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560" w:lineRule="exact"/>
        <w:jc w:val="both"/>
        <w:rPr>
          <w:rFonts w:hint="default" w:ascii="仿宋" w:hAnsi="仿宋" w:eastAsia="仿宋" w:cs="宋体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宋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pStyle w:val="2"/>
        <w:shd w:val="clear" w:color="auto" w:fill="FFFFFF"/>
        <w:spacing w:line="560" w:lineRule="exact"/>
        <w:ind w:firstLine="960" w:firstLineChars="300"/>
        <w:jc w:val="both"/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sz w:val="32"/>
          <w:szCs w:val="32"/>
          <w:shd w:val="clear" w:color="auto" w:fill="FFFFFF"/>
        </w:rPr>
        <w:t>阜阳市第四人民医院2020年自主招聘医疗卫生</w:t>
      </w:r>
    </w:p>
    <w:p>
      <w:pPr>
        <w:ind w:left="3000" w:hanging="3000" w:hangingChars="1000"/>
        <w:jc w:val="center"/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color w:val="000000"/>
          <w:sz w:val="30"/>
          <w:szCs w:val="30"/>
          <w:shd w:val="clear" w:color="auto" w:fill="FFFFFF"/>
        </w:rPr>
        <w:t>专业技术人员计划（37人）</w:t>
      </w:r>
    </w:p>
    <w:tbl>
      <w:tblPr>
        <w:tblStyle w:val="3"/>
        <w:tblW w:w="9400" w:type="dxa"/>
        <w:tblInd w:w="-44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1334"/>
        <w:gridCol w:w="2383"/>
        <w:gridCol w:w="567"/>
        <w:gridCol w:w="38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科室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相关要求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普内科 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主治医师，40周岁以下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30周岁以下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消化内科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呼吸内科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心血管科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肛肠科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外科学        （肛肠方向）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男，主治医师，40周岁以下，从事肛肠科工作不少于5年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普外科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男，28周岁以下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骨科  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男，28周岁以下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妇产科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主治医师，35周岁以下，从事妇产科工作不少于5年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康复医学科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康复医学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男，30周岁以下，具有执业医师证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康复治疗学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男，30周岁以下，具有康复治疗技术（师）以上资格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医学检验学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男，30周岁以下，有医学检验技术师证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120分站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男，28周岁以下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护理部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28周岁以下，具有从事消化内镜清洗消毒与管理工作经历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男，30周岁以下，具有护士执业资格证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专科及以上学历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普通全日制学历，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超声科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28周岁以下，具有执业医师证者可放宽至30周岁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行政职能科室</w:t>
            </w:r>
          </w:p>
        </w:tc>
        <w:tc>
          <w:tcPr>
            <w:tcW w:w="13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公共卫生管理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28周岁以下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27041"/>
    <w:rsid w:val="2302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2020-07-17T02:18:00Z</dcterms:created>
  <dc:creator>愿无岁月可回头</dc:creator>
  <cp:lastModifiedBy>愿无岁月可回头</cp:lastModifiedBy>
  <dcterms:modified xsi:type="dcterms:W3CDTF">2020-07-17T02:20:10Z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