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8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界首市公安局</w:t>
      </w: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年信息公开工作年度报告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2019年以来，界首市公安局在市委、市政府和阜阳市公安局的坚强领导下，以十九大精神为指导，按照《中华人民共和国政府信息公开条例》要求，坚持“公开为常态、不公开为例外”的原则，扎实推进公安信息公开工作，主动服务辖区群众，接受社会各界监督，有效提升了群众安全感和满意度。</w:t>
      </w:r>
    </w:p>
    <w:p>
      <w:pPr>
        <w:spacing w:before="0" w:after="0" w:line="58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一、总体情况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（一）加强领导，配强工作力量。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市局高度重视信息公开工作，成立以党委委员、副局长曹辉为组长，指挥中心、政工、警保、法制、治安、交管、出入境等相关警种主要负责人为成员的领导小组，确定指挥中心三名民警、两名辅警负责信息公开日常工作，规范日常工作流程，形成了体系清晰，责任明确的工作机制，为做好信息公开工作提供了组织和制度保障，确保了市局信息公开工作的顺利开展。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（二）拓宽渠道，主动接受监督。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市局按照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《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安徽省政务公开办公室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关于实施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&lt;政府信息主动公开目录基本规范（2019年版）&gt;的通知》要求，扎实做好本级公开目录升级工作，全年通过政务公开信息网发布信息1177条，通过“平安界首”微信公众号发布信息325条，通过各级媒体网站发布信息566条，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确保做到应公开、尽公开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。市局结合“不忘初心、牢记使命”主题教育、结合一年两度的“群众安全感、满意度测评”、结合界首公安工作实际，深入开展“两个问计”六进六访活动，组织召开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警企恳谈会、警民恳谈会，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举办警营开放日、扫黑除恶专题新闻发布会、公开退赃、销毁赌博机等具体公安特色的警务活动，主动接受社会各界监督，争取理解支持。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（三）完善机制，强化自身建设。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市局多次召开会议，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专题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听取信息公开工作汇报，研究加强和改进信息公开和政务服务工作，部署解决其中存在的体制性、机制性难题。进一步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提升全局对信息公开工作重要性的认识，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不断充实从业人员队伍，加强专业技能和工作业务培训，从设备完善、部门协作等方面全力保障，持续推进信息公开工作的常态化、制度化，为局党委谋划决策、深化公安改革、推进治理体系和治理能力现代化提供了科学依据。</w:t>
      </w:r>
    </w:p>
    <w:p>
      <w:pPr>
        <w:spacing w:before="0" w:after="0" w:line="58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8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二、主动公开政府信息情况</w:t>
      </w:r>
    </w:p>
    <w:tbl>
      <w:tblPr/>
      <w:tblGrid>
        <w:gridCol w:w="3952"/>
        <w:gridCol w:w="1920"/>
        <w:gridCol w:w="1620"/>
        <w:gridCol w:w="1936"/>
      </w:tblGrid>
      <w:tr>
        <w:trPr>
          <w:trHeight w:val="495" w:hRule="auto"/>
          <w:jc w:val="center"/>
        </w:trPr>
        <w:tc>
          <w:tcPr>
            <w:tcW w:w="9428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c6d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第二十条第（一）项</w:t>
            </w:r>
          </w:p>
        </w:tc>
      </w:tr>
      <w:tr>
        <w:trPr>
          <w:trHeight w:val="619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信息内容</w:t>
            </w:r>
          </w:p>
        </w:tc>
        <w:tc>
          <w:tcPr>
            <w:tcW w:w="19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本年新制作数量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本年新公开数量</w:t>
            </w:r>
          </w:p>
        </w:tc>
        <w:tc>
          <w:tcPr>
            <w:tcW w:w="19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对外公开总数量</w:t>
            </w:r>
          </w:p>
        </w:tc>
      </w:tr>
      <w:tr>
        <w:trPr>
          <w:trHeight w:val="523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规章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6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6</w:t>
            </w:r>
          </w:p>
        </w:tc>
        <w:tc>
          <w:tcPr>
            <w:tcW w:w="19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6</w:t>
            </w:r>
          </w:p>
        </w:tc>
      </w:tr>
      <w:tr>
        <w:trPr>
          <w:trHeight w:val="471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规范性文件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5</w:t>
            </w:r>
          </w:p>
        </w:tc>
        <w:tc>
          <w:tcPr>
            <w:tcW w:w="19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5</w:t>
            </w:r>
          </w:p>
        </w:tc>
      </w:tr>
      <w:tr>
        <w:trPr>
          <w:trHeight w:val="480" w:hRule="auto"/>
          <w:jc w:val="center"/>
        </w:trPr>
        <w:tc>
          <w:tcPr>
            <w:tcW w:w="9428" w:type="dxa"/>
            <w:gridSpan w:val="4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c6d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第二十条第（五）项</w:t>
            </w:r>
          </w:p>
        </w:tc>
      </w:tr>
      <w:tr>
        <w:trPr>
          <w:trHeight w:val="634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信息内容</w:t>
            </w:r>
          </w:p>
        </w:tc>
        <w:tc>
          <w:tcPr>
            <w:tcW w:w="19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上一年项目数量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本年增/减</w:t>
            </w:r>
          </w:p>
        </w:tc>
        <w:tc>
          <w:tcPr>
            <w:tcW w:w="19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处理决定数量</w:t>
            </w:r>
          </w:p>
        </w:tc>
      </w:tr>
      <w:tr>
        <w:trPr>
          <w:trHeight w:val="528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行政许可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178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-11</w:t>
            </w:r>
          </w:p>
        </w:tc>
        <w:tc>
          <w:tcPr>
            <w:tcW w:w="19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167</w:t>
            </w:r>
          </w:p>
        </w:tc>
      </w:tr>
      <w:tr>
        <w:trPr>
          <w:trHeight w:val="550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其他对外管理服务事项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1545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+83</w:t>
            </w:r>
          </w:p>
        </w:tc>
        <w:tc>
          <w:tcPr>
            <w:tcW w:w="19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1628</w:t>
            </w:r>
          </w:p>
        </w:tc>
      </w:tr>
      <w:tr>
        <w:trPr>
          <w:trHeight w:val="406" w:hRule="auto"/>
          <w:jc w:val="center"/>
        </w:trPr>
        <w:tc>
          <w:tcPr>
            <w:tcW w:w="9428" w:type="dxa"/>
            <w:gridSpan w:val="4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c6d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第二十条第（六）项</w:t>
            </w:r>
          </w:p>
        </w:tc>
      </w:tr>
      <w:tr>
        <w:trPr>
          <w:trHeight w:val="459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信息内容</w:t>
            </w:r>
          </w:p>
        </w:tc>
        <w:tc>
          <w:tcPr>
            <w:tcW w:w="19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上一年项目数量</w:t>
            </w:r>
          </w:p>
        </w:tc>
        <w:tc>
          <w:tcPr>
            <w:tcW w:w="16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本年增/减</w:t>
            </w:r>
          </w:p>
        </w:tc>
        <w:tc>
          <w:tcPr>
            <w:tcW w:w="19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处理决定数量</w:t>
            </w:r>
          </w:p>
        </w:tc>
      </w:tr>
      <w:tr>
        <w:trPr>
          <w:trHeight w:val="430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行政处罚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12120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+72</w:t>
            </w:r>
          </w:p>
        </w:tc>
        <w:tc>
          <w:tcPr>
            <w:tcW w:w="19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12192</w:t>
            </w:r>
          </w:p>
        </w:tc>
      </w:tr>
      <w:tr>
        <w:trPr>
          <w:trHeight w:val="409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行政强制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22951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-92</w:t>
            </w:r>
          </w:p>
        </w:tc>
        <w:tc>
          <w:tcPr>
            <w:tcW w:w="193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22859</w:t>
            </w:r>
          </w:p>
        </w:tc>
      </w:tr>
      <w:tr>
        <w:trPr>
          <w:trHeight w:val="474" w:hRule="auto"/>
          <w:jc w:val="center"/>
        </w:trPr>
        <w:tc>
          <w:tcPr>
            <w:tcW w:w="9428" w:type="dxa"/>
            <w:gridSpan w:val="4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c6d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第二十条第（八）项</w:t>
            </w:r>
          </w:p>
        </w:tc>
      </w:tr>
      <w:tr>
        <w:trPr>
          <w:trHeight w:val="270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信息内容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上一年项目数量</w:t>
            </w:r>
          </w:p>
        </w:tc>
        <w:tc>
          <w:tcPr>
            <w:tcW w:w="3556" w:type="dxa"/>
            <w:gridSpan w:val="2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本年增/减</w:t>
            </w:r>
          </w:p>
        </w:tc>
      </w:tr>
      <w:tr>
        <w:trPr>
          <w:trHeight w:val="551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行政事业性收费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0</w:t>
            </w:r>
          </w:p>
        </w:tc>
        <w:tc>
          <w:tcPr>
            <w:tcW w:w="3556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</w:tr>
      <w:tr>
        <w:trPr>
          <w:trHeight w:val="476" w:hRule="auto"/>
          <w:jc w:val="center"/>
        </w:trPr>
        <w:tc>
          <w:tcPr>
            <w:tcW w:w="9428" w:type="dxa"/>
            <w:gridSpan w:val="4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c6d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第二十条第（九）项</w:t>
            </w:r>
          </w:p>
        </w:tc>
      </w:tr>
      <w:tr>
        <w:trPr>
          <w:trHeight w:val="561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信息内容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采购项目数量</w:t>
            </w:r>
          </w:p>
        </w:tc>
        <w:tc>
          <w:tcPr>
            <w:tcW w:w="3556" w:type="dxa"/>
            <w:gridSpan w:val="2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采购总金额</w:t>
            </w:r>
          </w:p>
        </w:tc>
      </w:tr>
      <w:tr>
        <w:trPr>
          <w:trHeight w:val="539" w:hRule="auto"/>
          <w:jc w:val="center"/>
        </w:trPr>
        <w:tc>
          <w:tcPr>
            <w:tcW w:w="395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政府集中采购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　13</w:t>
            </w:r>
          </w:p>
        </w:tc>
        <w:tc>
          <w:tcPr>
            <w:tcW w:w="3556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13608711元</w:t>
            </w:r>
          </w:p>
        </w:tc>
      </w:tr>
    </w:tbl>
    <w:p>
      <w:pPr>
        <w:spacing w:before="0" w:after="0" w:line="58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三、收到和处理政府信息公开申请情况</w:t>
      </w:r>
    </w:p>
    <w:tbl>
      <w:tblPr/>
      <w:tblGrid>
        <w:gridCol w:w="424"/>
        <w:gridCol w:w="855"/>
        <w:gridCol w:w="2400"/>
        <w:gridCol w:w="555"/>
        <w:gridCol w:w="765"/>
        <w:gridCol w:w="765"/>
        <w:gridCol w:w="825"/>
        <w:gridCol w:w="990"/>
        <w:gridCol w:w="720"/>
        <w:gridCol w:w="702"/>
      </w:tblGrid>
      <w:tr>
        <w:trPr>
          <w:trHeight w:val="450" w:hRule="auto"/>
          <w:jc w:val="center"/>
        </w:trPr>
        <w:tc>
          <w:tcPr>
            <w:tcW w:w="3679" w:type="dxa"/>
            <w:gridSpan w:val="3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5322" w:type="dxa"/>
            <w:gridSpan w:val="7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申请人情况</w:t>
            </w:r>
          </w:p>
        </w:tc>
      </w:tr>
      <w:tr>
        <w:trPr>
          <w:trHeight w:val="426" w:hRule="auto"/>
          <w:jc w:val="center"/>
        </w:trPr>
        <w:tc>
          <w:tcPr>
            <w:tcW w:w="3679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自然人</w:t>
            </w:r>
          </w:p>
        </w:tc>
        <w:tc>
          <w:tcPr>
            <w:tcW w:w="4065" w:type="dxa"/>
            <w:gridSpan w:val="5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法人或其他组织</w:t>
            </w:r>
          </w:p>
        </w:tc>
        <w:tc>
          <w:tcPr>
            <w:tcW w:w="702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总计</w:t>
            </w:r>
          </w:p>
        </w:tc>
      </w:tr>
      <w:tr>
        <w:trPr>
          <w:trHeight w:val="1" w:hRule="atLeast"/>
          <w:jc w:val="center"/>
        </w:trPr>
        <w:tc>
          <w:tcPr>
            <w:tcW w:w="3679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商业企业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科研机构</w:t>
            </w:r>
          </w:p>
        </w:tc>
        <w:tc>
          <w:tcPr>
            <w:tcW w:w="82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社会公益组织</w:t>
            </w:r>
          </w:p>
        </w:tc>
        <w:tc>
          <w:tcPr>
            <w:tcW w:w="99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法律服务机构</w:t>
            </w:r>
          </w:p>
        </w:tc>
        <w:tc>
          <w:tcPr>
            <w:tcW w:w="7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其他</w:t>
            </w:r>
          </w:p>
        </w:tc>
        <w:tc>
          <w:tcPr>
            <w:tcW w:w="702" w:type="dxa"/>
            <w:vMerge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center"/>
        </w:trPr>
        <w:tc>
          <w:tcPr>
            <w:tcW w:w="3679" w:type="dxa"/>
            <w:gridSpan w:val="3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一、本年新收政府信息公开申请数量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3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3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3</w:t>
            </w:r>
          </w:p>
        </w:tc>
      </w:tr>
      <w:tr>
        <w:trPr>
          <w:trHeight w:val="517" w:hRule="auto"/>
          <w:jc w:val="center"/>
        </w:trPr>
        <w:tc>
          <w:tcPr>
            <w:tcW w:w="3679" w:type="dxa"/>
            <w:gridSpan w:val="3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二、上年结转政府信息公开申请数量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三、本年度办理结果</w:t>
            </w:r>
          </w:p>
        </w:tc>
        <w:tc>
          <w:tcPr>
            <w:tcW w:w="3255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（一）予以公开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3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3</w:t>
            </w:r>
          </w:p>
        </w:tc>
        <w:tc>
          <w:tcPr>
            <w:tcW w:w="70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3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（二）部分公开（区分处理的，只计这一情形，不计其他情形）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（三）不予公开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1.属于国家秘密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2.其他法律行政法规禁止公开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3.危及“三安全一稳定”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4.保护第三方合法权益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5.属于三类内部事务信息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6.属于四类过程性信息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7.属于行政执法案卷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8.属于行政查询事项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（四）无法提供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1.本机关不掌握相关政府信息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2.没有现成信息需要另行制作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3.补正后申请内容仍不明确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（五）不予处理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1.信访举报投诉类申请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2.重复申请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3.要求提供公开出版物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4.无正当理由大量反复申请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5.要求行政机关确认或重新出具已获取信息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（六）其他处理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2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（七）总计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3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3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3</w:t>
            </w:r>
          </w:p>
        </w:tc>
      </w:tr>
      <w:tr>
        <w:trPr>
          <w:trHeight w:val="1" w:hRule="atLeast"/>
          <w:jc w:val="center"/>
        </w:trPr>
        <w:tc>
          <w:tcPr>
            <w:tcW w:w="3679" w:type="dxa"/>
            <w:gridSpan w:val="3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四、结转下年度继续办理</w:t>
            </w:r>
          </w:p>
        </w:tc>
        <w:tc>
          <w:tcPr>
            <w:tcW w:w="55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6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82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70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8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80"/>
        <w:ind w:right="0" w:left="0" w:firstLine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四、政府信息公开行政复议、行政诉讼情况</w:t>
      </w:r>
    </w:p>
    <w:tbl>
      <w:tblPr/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trHeight w:val="1" w:hRule="atLeast"/>
          <w:jc w:val="center"/>
        </w:trPr>
        <w:tc>
          <w:tcPr>
            <w:tcW w:w="307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行政复议</w:t>
            </w:r>
          </w:p>
        </w:tc>
        <w:tc>
          <w:tcPr>
            <w:tcW w:w="5997" w:type="dxa"/>
            <w:gridSpan w:val="10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行政诉讼</w:t>
            </w:r>
          </w:p>
        </w:tc>
      </w:tr>
      <w:tr>
        <w:trPr>
          <w:trHeight w:val="1" w:hRule="atLeast"/>
          <w:jc w:val="center"/>
        </w:trPr>
        <w:tc>
          <w:tcPr>
            <w:tcW w:w="604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结果维持</w:t>
            </w:r>
          </w:p>
        </w:tc>
        <w:tc>
          <w:tcPr>
            <w:tcW w:w="604" w:type="dxa"/>
            <w:vMerge w:val="restart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结果纠正</w:t>
            </w:r>
          </w:p>
        </w:tc>
        <w:tc>
          <w:tcPr>
            <w:tcW w:w="604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其他结果</w:t>
            </w:r>
          </w:p>
        </w:tc>
        <w:tc>
          <w:tcPr>
            <w:tcW w:w="604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尚未审结</w:t>
            </w:r>
          </w:p>
        </w:tc>
        <w:tc>
          <w:tcPr>
            <w:tcW w:w="658" w:type="dxa"/>
            <w:vMerge w:val="restart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总计</w:t>
            </w:r>
          </w:p>
        </w:tc>
        <w:tc>
          <w:tcPr>
            <w:tcW w:w="2970" w:type="dxa"/>
            <w:gridSpan w:val="5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未经复议直接起诉</w:t>
            </w:r>
          </w:p>
        </w:tc>
        <w:tc>
          <w:tcPr>
            <w:tcW w:w="3027" w:type="dxa"/>
            <w:gridSpan w:val="5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复议后起诉</w:t>
            </w:r>
          </w:p>
        </w:tc>
      </w:tr>
      <w:tr>
        <w:trPr>
          <w:trHeight w:val="1" w:hRule="atLeast"/>
          <w:jc w:val="center"/>
        </w:trPr>
        <w:tc>
          <w:tcPr>
            <w:tcW w:w="604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vMerge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vMerge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vMerge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" w:type="dxa"/>
            <w:vMerge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结果维持</w:t>
            </w:r>
          </w:p>
        </w:tc>
        <w:tc>
          <w:tcPr>
            <w:tcW w:w="6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结果纠正</w:t>
            </w:r>
          </w:p>
        </w:tc>
        <w:tc>
          <w:tcPr>
            <w:tcW w:w="60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其他结果</w:t>
            </w:r>
          </w:p>
        </w:tc>
        <w:tc>
          <w:tcPr>
            <w:tcW w:w="60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尚未审结</w:t>
            </w:r>
          </w:p>
        </w:tc>
        <w:tc>
          <w:tcPr>
            <w:tcW w:w="60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总计</w:t>
            </w:r>
          </w:p>
        </w:tc>
        <w:tc>
          <w:tcPr>
            <w:tcW w:w="60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结果维持</w:t>
            </w:r>
          </w:p>
        </w:tc>
        <w:tc>
          <w:tcPr>
            <w:tcW w:w="60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结果纠正</w:t>
            </w:r>
          </w:p>
        </w:tc>
        <w:tc>
          <w:tcPr>
            <w:tcW w:w="60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其他结果</w:t>
            </w:r>
          </w:p>
        </w:tc>
        <w:tc>
          <w:tcPr>
            <w:tcW w:w="60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尚未审结</w:t>
            </w:r>
          </w:p>
        </w:tc>
        <w:tc>
          <w:tcPr>
            <w:tcW w:w="60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总计</w:t>
            </w:r>
          </w:p>
        </w:tc>
      </w:tr>
      <w:tr>
        <w:trPr>
          <w:trHeight w:val="581" w:hRule="auto"/>
          <w:jc w:val="center"/>
        </w:trPr>
        <w:tc>
          <w:tcPr>
            <w:tcW w:w="60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60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60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60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65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55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6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6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0 </w:t>
            </w:r>
          </w:p>
        </w:tc>
        <w:tc>
          <w:tcPr>
            <w:tcW w:w="6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0</w:t>
            </w:r>
          </w:p>
        </w:tc>
        <w:tc>
          <w:tcPr>
            <w:tcW w:w="6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6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60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0</w:t>
            </w:r>
          </w:p>
        </w:tc>
        <w:tc>
          <w:tcPr>
            <w:tcW w:w="60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0 </w:t>
            </w:r>
          </w:p>
        </w:tc>
        <w:tc>
          <w:tcPr>
            <w:tcW w:w="60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58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五、存在的主要问题及改进情况</w:t>
      </w:r>
    </w:p>
    <w:p>
      <w:pPr>
        <w:spacing w:before="0" w:after="0" w:line="580"/>
        <w:ind w:right="0" w:left="0" w:firstLine="640"/>
        <w:jc w:val="both"/>
        <w:rPr>
          <w:rFonts w:ascii="华文楷体" w:hAnsi="华文楷体" w:cs="华文楷体" w:eastAsia="华文楷体"/>
          <w:color w:val="auto"/>
          <w:spacing w:val="0"/>
          <w:position w:val="0"/>
          <w:sz w:val="32"/>
          <w:shd w:fill="auto" w:val="clear"/>
        </w:rPr>
      </w:pPr>
      <w:r>
        <w:rPr>
          <w:rFonts w:ascii="华文楷体" w:hAnsi="华文楷体" w:cs="华文楷体" w:eastAsia="华文楷体"/>
          <w:color w:val="auto"/>
          <w:spacing w:val="0"/>
          <w:position w:val="0"/>
          <w:sz w:val="32"/>
          <w:shd w:fill="auto" w:val="clear"/>
        </w:rPr>
        <w:t xml:space="preserve">（一）存在问题。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一是人员能力有待增强。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主要领导和分管领导对信息公开工作的认识，具办民警对新修订《条例》的学习掌握，对公安工作的熟悉程度，信息编辑筛选水平和统筹信息公开范围、内容、时间节点的能力都亟需提升。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二是信息质数有待提升。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信息公开时效性、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创新性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不强，方式方法和公开载体过于单一，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信息数量、质量不高，信息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公开后发挥作用不够明显。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三是沟通协作有待加强。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业务警种对信息公开工作重视程度不够，部门之间数据共享不够及时、完整和高效，尚未形成部门协同、警种配合的合力。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华文楷体" w:hAnsi="华文楷体" w:cs="华文楷体" w:eastAsia="华文楷体"/>
          <w:color w:val="auto"/>
          <w:spacing w:val="0"/>
          <w:position w:val="0"/>
          <w:sz w:val="32"/>
          <w:shd w:fill="auto" w:val="clear"/>
        </w:rPr>
        <w:t xml:space="preserve">（二）改进情况。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一是进一步加强组织领导。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市局建立健全“主要领导亲自抓、分管领导具体抓、警种各司其职、科室协调办理”的领导体制和工作机制，明确各警种信息公开要求和工作责任，确保信息公开内容的合法、全面、及时、准确。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二是进一步加强信息公开。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市局认真贯彻执行《中华人民共和国政府信息公开条例》，加强人员学习培训，丰富信息公开形式，扩大信息公开范围，深化网上服务工作，加大亮点工作、重点工作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及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典型案例公开力度，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提高信息公开规范性、透明度，拓宽信息公开受众面，稳步提高公安信息公开工作质量。 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32"/>
          <w:shd w:fill="auto" w:val="clear"/>
        </w:rPr>
        <w:t xml:space="preserve">三是进一步加强机制建设。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按照市委、市政府相关工作要求，进一步健全公安信息公开制度，规范公安信息主动公开工作机制、依申请公开受理机制和信息发布、保密、审查制度等，确保各项工作有章可循、依法办事。</w:t>
      </w:r>
    </w:p>
    <w:p>
      <w:pPr>
        <w:spacing w:before="0" w:after="0" w:line="580"/>
        <w:ind w:right="0" w:left="0" w:firstLine="64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六、其他需要报告的事项</w:t>
      </w:r>
    </w:p>
    <w:p>
      <w:pPr>
        <w:spacing w:before="0" w:after="0" w:line="58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我单位暂无其它需要报告的事项。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