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rPr>
          <w:rFonts w:ascii="楷体_GB2312" w:hAnsi="Times New Roman" w:eastAsia="楷体_GB2312" w:cs="Times New Roman"/>
          <w:sz w:val="11"/>
          <w:szCs w:val="11"/>
        </w:rPr>
      </w:pPr>
    </w:p>
    <w:p>
      <w:pPr>
        <w:pStyle w:val="2"/>
        <w:rPr>
          <w:rFonts w:ascii="楷体_GB2312" w:hAnsi="Times New Roman" w:eastAsia="楷体_GB2312" w:cs="Times New Roman"/>
          <w:sz w:val="11"/>
          <w:szCs w:val="1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rPr>
          <w:rFonts w:ascii="楷体_GB2312" w:hAnsi="Times New Roman" w:eastAsia="楷体_GB2312" w:cs="Times New Roman"/>
          <w:sz w:val="32"/>
          <w:szCs w:val="32"/>
        </w:rPr>
      </w:pPr>
    </w:p>
    <w:tbl>
      <w:tblPr>
        <w:tblStyle w:val="5"/>
        <w:tblpPr w:leftFromText="180" w:rightFromText="180" w:vertAnchor="page" w:horzAnchor="page" w:tblpX="1675" w:tblpY="3268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3"/>
        <w:gridCol w:w="25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313" w:type="dxa"/>
            <w:noWrap w:val="0"/>
            <w:vAlign w:val="center"/>
          </w:tcPr>
          <w:p>
            <w:pPr>
              <w:spacing w:line="1100" w:lineRule="exact"/>
              <w:ind w:firstLine="0" w:firstLineChars="0"/>
              <w:jc w:val="distribute"/>
              <w:rPr>
                <w:rFonts w:hint="eastAsia" w:ascii="方正小标宋简体" w:hAnsi="Times New Roman" w:eastAsia="方正小标宋简体" w:cs="Times New Roman"/>
                <w:color w:val="FF0000"/>
                <w:spacing w:val="-62"/>
                <w:w w:val="70"/>
                <w:sz w:val="72"/>
                <w:szCs w:val="72"/>
                <w:lang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color w:val="FF0000"/>
                <w:spacing w:val="-62"/>
                <w:w w:val="70"/>
                <w:sz w:val="72"/>
                <w:szCs w:val="72"/>
                <w:lang w:eastAsia="zh-CN"/>
              </w:rPr>
              <w:t>太和县直</w:t>
            </w:r>
            <w:bookmarkStart w:id="0" w:name="_GoBack"/>
            <w:bookmarkEnd w:id="0"/>
            <w:r>
              <w:rPr>
                <w:rFonts w:hint="eastAsia" w:ascii="方正小标宋简体" w:hAnsi="Times New Roman" w:eastAsia="方正小标宋简体" w:cs="Times New Roman"/>
                <w:color w:val="FF0000"/>
                <w:spacing w:val="-62"/>
                <w:w w:val="70"/>
                <w:sz w:val="72"/>
                <w:szCs w:val="72"/>
                <w:lang w:eastAsia="zh-CN"/>
              </w:rPr>
              <w:t>机关作风</w:t>
            </w:r>
          </w:p>
        </w:tc>
        <w:tc>
          <w:tcPr>
            <w:tcW w:w="2527" w:type="dxa"/>
            <w:vMerge w:val="restart"/>
            <w:noWrap w:val="0"/>
            <w:vAlign w:val="center"/>
          </w:tcPr>
          <w:p>
            <w:pPr>
              <w:spacing w:line="1600" w:lineRule="exact"/>
              <w:ind w:firstLine="0" w:firstLineChars="0"/>
              <w:jc w:val="distribute"/>
              <w:rPr>
                <w:rFonts w:hint="eastAsia" w:ascii="方正小标宋简体" w:hAnsi="Times New Roman" w:eastAsia="方正小标宋简体" w:cs="Times New Roman"/>
                <w:color w:val="FF0000"/>
                <w:w w:val="50"/>
                <w:sz w:val="96"/>
                <w:szCs w:val="96"/>
                <w:lang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color w:val="FF0000"/>
                <w:w w:val="50"/>
                <w:sz w:val="144"/>
                <w:szCs w:val="144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FF0000"/>
                <w:w w:val="50"/>
                <w:sz w:val="96"/>
                <w:szCs w:val="96"/>
                <w:lang w:eastAsia="zh-CN"/>
              </w:rPr>
              <w:t>通报</w:t>
            </w:r>
            <w:r>
              <w:rPr>
                <w:rFonts w:hint="eastAsia" w:ascii="方正小标宋简体" w:hAnsi="Times New Roman" w:eastAsia="方正小标宋简体" w:cs="Times New Roman"/>
                <w:color w:val="FF0000"/>
                <w:w w:val="50"/>
                <w:sz w:val="144"/>
                <w:szCs w:val="14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313" w:type="dxa"/>
            <w:noWrap w:val="0"/>
            <w:vAlign w:val="center"/>
          </w:tcPr>
          <w:p>
            <w:pPr>
              <w:spacing w:line="1100" w:lineRule="exact"/>
              <w:ind w:firstLine="0" w:firstLineChars="0"/>
              <w:jc w:val="distribute"/>
              <w:rPr>
                <w:rFonts w:hint="eastAsia" w:ascii="方正小标宋简体" w:hAnsi="Times New Roman" w:eastAsia="方正小标宋简体" w:cs="Times New Roman"/>
                <w:color w:val="FF0000"/>
                <w:spacing w:val="-62"/>
                <w:w w:val="70"/>
                <w:sz w:val="72"/>
                <w:szCs w:val="72"/>
                <w:lang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color w:val="FF0000"/>
                <w:spacing w:val="-62"/>
                <w:w w:val="70"/>
                <w:sz w:val="72"/>
                <w:szCs w:val="72"/>
                <w:lang w:eastAsia="zh-CN"/>
              </w:rPr>
              <w:t>效能建设领导小组</w:t>
            </w:r>
          </w:p>
        </w:tc>
        <w:tc>
          <w:tcPr>
            <w:tcW w:w="2527" w:type="dxa"/>
            <w:vMerge w:val="continue"/>
            <w:noWrap w:val="0"/>
            <w:vAlign w:val="center"/>
          </w:tcPr>
          <w:p>
            <w:pPr>
              <w:spacing w:line="1600" w:lineRule="exact"/>
              <w:ind w:firstLine="0" w:firstLineChars="0"/>
              <w:jc w:val="distribute"/>
              <w:rPr>
                <w:rFonts w:hint="eastAsia" w:ascii="方正小标宋简体" w:hAnsi="Times New Roman" w:eastAsia="方正小标宋简体" w:cs="Times New Roman"/>
                <w:color w:val="FF0000"/>
                <w:w w:val="50"/>
                <w:sz w:val="144"/>
                <w:szCs w:val="96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rPr>
          <w:rFonts w:ascii="楷体_GB2312" w:hAnsi="Times New Roman" w:eastAsia="楷体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太直效能通〔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</w:pPr>
      <w:r>
        <w:rPr>
          <w:rFonts w:ascii="方正小标宋简体" w:hAnsi="Times New Roman" w:eastAsia="方正小标宋简体" w:cs="Times New Roman"/>
          <w:spacing w:val="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102235</wp:posOffset>
                </wp:positionV>
                <wp:extent cx="5600700" cy="0"/>
                <wp:effectExtent l="0" t="9525" r="0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05pt;margin-top:8.05pt;height:0pt;width:441pt;z-index:251658240;mso-width-relative:page;mso-height-relative:page;" filled="f" stroked="t" coordsize="21600,21600" o:gfxdata="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QLstDTAAAABgEAAA8AAAAAAAAAAQAgAAAAIgAAAGRycy9kb3ducmV2LnhtbFBLAQIU&#10;ABQAAAAIAIdO4kC7YgvE+AEAAOUDAAAOAAAAAAAAAAEAIAAAACIBAABkcnMvZTJvRG9jLnhtbFBL&#10;BQYAAAAABgAGAFkBAACM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关于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202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年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春节假期后收心归位</w:t>
      </w:r>
    </w:p>
    <w:p>
      <w:pPr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督查情况的通报</w:t>
      </w:r>
    </w:p>
    <w:p>
      <w:pPr>
        <w:pStyle w:val="2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firstLine="0" w:firstLineChars="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县直及中央、省、市驻太单位：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县委县政府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收心工作要求以及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领导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安排，2月19日至2月20日，太和县直效能办组成四个工作组，通过不打招呼、不定时间、不定路线的方式，对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87家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县直单位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及其所属机构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春节假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期后干部职工收心归位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情况开展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明察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暗访，其中重点督查干部职工在岗在位情况、考勤管理情况及其他违反作风效能规定的现象等。现将督查情况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如下：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一、督查总体情况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大部分</w:t>
      </w:r>
      <w:r>
        <w:rPr>
          <w:rFonts w:hint="eastAsia" w:ascii="仿宋_GB2312" w:hAnsi="仿宋_GB2312" w:cs="仿宋_GB2312"/>
          <w:lang w:val="en-US" w:eastAsia="zh-CN"/>
        </w:rPr>
        <w:t>县直</w:t>
      </w:r>
      <w:r>
        <w:rPr>
          <w:rFonts w:hint="eastAsia" w:ascii="仿宋_GB2312" w:hAnsi="仿宋_GB2312" w:eastAsia="仿宋_GB2312" w:cs="仿宋_GB2312"/>
          <w:lang w:val="en-US" w:eastAsia="zh-CN"/>
        </w:rPr>
        <w:t>单位</w:t>
      </w:r>
      <w:r>
        <w:rPr>
          <w:rFonts w:hint="eastAsia" w:ascii="仿宋_GB2312" w:hAnsi="仿宋_GB2312" w:cs="仿宋_GB2312"/>
          <w:lang w:val="en-US" w:eastAsia="zh-CN"/>
        </w:rPr>
        <w:t>能够</w:t>
      </w:r>
      <w:r>
        <w:rPr>
          <w:rFonts w:hint="eastAsia" w:ascii="仿宋_GB2312" w:hAnsi="仿宋_GB2312" w:eastAsia="仿宋_GB2312" w:cs="仿宋_GB2312"/>
          <w:lang w:val="en-US" w:eastAsia="zh-CN"/>
        </w:rPr>
        <w:t>认真落实县委关于新春收心工作</w:t>
      </w:r>
      <w:r>
        <w:rPr>
          <w:rFonts w:hint="eastAsia" w:ascii="仿宋_GB2312" w:hAnsi="仿宋_GB2312" w:cs="仿宋_GB2312"/>
          <w:lang w:val="en-US" w:eastAsia="zh-CN"/>
        </w:rPr>
        <w:t>的通知精神</w:t>
      </w:r>
      <w:r>
        <w:rPr>
          <w:rFonts w:hint="eastAsia" w:ascii="仿宋_GB2312" w:hAnsi="仿宋_GB2312" w:eastAsia="仿宋_GB2312" w:cs="仿宋_GB231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组织召开新春收心会，多途径开展学习，认真谋划年度工作，工作统筹协调推进。</w:t>
      </w:r>
      <w:r>
        <w:rPr>
          <w:rFonts w:hint="eastAsia" w:ascii="仿宋_GB2312" w:hAnsi="仿宋_GB2312" w:cs="仿宋_GB2312"/>
          <w:lang w:val="en-US" w:eastAsia="zh-CN"/>
        </w:rPr>
        <w:t>单位工作</w:t>
      </w:r>
      <w:r>
        <w:rPr>
          <w:rFonts w:hint="eastAsia" w:ascii="仿宋_GB2312" w:hAnsi="仿宋_GB2312" w:eastAsia="仿宋_GB2312" w:cs="仿宋_GB2312"/>
          <w:lang w:val="en-US" w:eastAsia="zh-CN"/>
        </w:rPr>
        <w:t>人员精神状态好，</w:t>
      </w:r>
      <w:r>
        <w:rPr>
          <w:rFonts w:hint="eastAsia" w:ascii="仿宋_GB2312" w:hAnsi="仿宋_GB2312" w:cs="仿宋_GB2312"/>
          <w:lang w:val="en-US" w:eastAsia="zh-CN"/>
        </w:rPr>
        <w:t>出勤</w:t>
      </w:r>
      <w:r>
        <w:rPr>
          <w:rFonts w:hint="eastAsia" w:ascii="仿宋_GB2312" w:hAnsi="仿宋_GB2312" w:eastAsia="仿宋_GB2312" w:cs="仿宋_GB2312"/>
          <w:lang w:val="en-US" w:eastAsia="zh-CN"/>
        </w:rPr>
        <w:t>考勤及请销假制度执行到位。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lang w:eastAsia="zh-CN"/>
        </w:rPr>
        <w:t>（一）迅速收心归位，提前谋划发展。</w:t>
      </w:r>
      <w:r>
        <w:rPr>
          <w:rFonts w:hint="eastAsia" w:ascii="仿宋_GB2312" w:hAnsi="仿宋_GB2312" w:eastAsia="仿宋_GB2312" w:cs="仿宋_GB2312"/>
          <w:b w:val="0"/>
          <w:bCs/>
          <w:lang w:eastAsia="zh-CN"/>
        </w:rPr>
        <w:t>各单位按照《中共太和县委办公室关于召开新春收心会的通知》（会〔2021〕9号）文件要求，认真组织学习党的十九大、十九届三中、四中、五中全会精神、习近平总书记考察安徽重要讲话指示精神、《习近平谈治国理政》第三卷、中央</w:t>
      </w:r>
      <w:r>
        <w:rPr>
          <w:rFonts w:hint="eastAsia" w:ascii="仿宋_GB2312" w:hAnsi="仿宋_GB2312" w:cs="仿宋_GB2312"/>
          <w:b w:val="0"/>
          <w:bCs/>
          <w:lang w:eastAsia="zh-CN"/>
        </w:rPr>
        <w:t>纪委</w:t>
      </w:r>
      <w:r>
        <w:rPr>
          <w:rFonts w:hint="eastAsia" w:ascii="仿宋_GB2312" w:hAnsi="仿宋_GB2312" w:eastAsia="仿宋_GB2312" w:cs="仿宋_GB2312"/>
          <w:b w:val="0"/>
          <w:bCs/>
          <w:lang w:eastAsia="zh-CN"/>
        </w:rPr>
        <w:t>和省</w:t>
      </w:r>
      <w:r>
        <w:rPr>
          <w:rFonts w:hint="eastAsia" w:ascii="仿宋_GB2312" w:hAnsi="仿宋_GB2312" w:cs="仿宋_GB2312"/>
          <w:b w:val="0"/>
          <w:bCs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lang w:eastAsia="zh-CN"/>
        </w:rPr>
        <w:t>市纪委全会精神以及省</w:t>
      </w:r>
      <w:r>
        <w:rPr>
          <w:rFonts w:hint="eastAsia" w:ascii="仿宋_GB2312" w:hAnsi="仿宋_GB2312" w:cs="仿宋_GB2312"/>
          <w:b w:val="0"/>
          <w:bCs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lang w:eastAsia="zh-CN"/>
        </w:rPr>
        <w:t>市</w:t>
      </w:r>
      <w:r>
        <w:rPr>
          <w:rFonts w:hint="eastAsia" w:ascii="仿宋_GB2312" w:hAnsi="仿宋_GB2312" w:cs="仿宋_GB2312"/>
          <w:b w:val="0"/>
          <w:bCs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lang w:eastAsia="zh-CN"/>
        </w:rPr>
        <w:t>县</w:t>
      </w:r>
      <w:r>
        <w:rPr>
          <w:rFonts w:hint="eastAsia" w:ascii="仿宋_GB2312" w:hAnsi="仿宋_GB2312" w:cs="仿宋_GB2312"/>
          <w:b w:val="0"/>
          <w:bCs/>
          <w:lang w:eastAsia="zh-CN"/>
        </w:rPr>
        <w:t>人大政协</w:t>
      </w:r>
      <w:r>
        <w:rPr>
          <w:rFonts w:hint="eastAsia" w:ascii="仿宋_GB2312" w:hAnsi="仿宋_GB2312" w:eastAsia="仿宋_GB2312" w:cs="仿宋_GB2312"/>
          <w:b w:val="0"/>
          <w:bCs/>
          <w:lang w:eastAsia="zh-CN"/>
        </w:rPr>
        <w:t>“两会”精神等，</w:t>
      </w:r>
      <w:r>
        <w:rPr>
          <w:rFonts w:hint="eastAsia" w:ascii="仿宋_GB2312" w:hAnsi="仿宋_GB2312" w:cs="仿宋_GB2312"/>
          <w:b w:val="0"/>
          <w:bCs/>
          <w:lang w:eastAsia="zh-CN"/>
        </w:rPr>
        <w:t>抓好学习教育、思想发动和工作谋划，统一思想认识</w:t>
      </w:r>
      <w:r>
        <w:rPr>
          <w:rFonts w:hint="eastAsia" w:ascii="仿宋_GB2312" w:hAnsi="仿宋_GB2312" w:eastAsia="仿宋_GB2312" w:cs="仿宋_GB2312"/>
          <w:b w:val="0"/>
          <w:bCs/>
          <w:lang w:eastAsia="zh-CN"/>
        </w:rPr>
        <w:t>，</w:t>
      </w:r>
      <w:r>
        <w:rPr>
          <w:rFonts w:hint="eastAsia" w:ascii="仿宋_GB2312" w:hAnsi="仿宋_GB2312" w:cs="仿宋_GB2312"/>
          <w:b w:val="0"/>
          <w:bCs/>
          <w:lang w:eastAsia="zh-CN"/>
        </w:rPr>
        <w:t>凝聚发展共识。</w:t>
      </w:r>
      <w:r>
        <w:rPr>
          <w:rFonts w:hint="eastAsia" w:ascii="仿宋_GB2312" w:hAnsi="仿宋_GB2312" w:eastAsia="仿宋_GB2312" w:cs="仿宋_GB2312"/>
          <w:b w:val="0"/>
          <w:bCs/>
          <w:lang w:eastAsia="zh-CN"/>
        </w:rPr>
        <w:t>集体学习、</w:t>
      </w:r>
      <w:r>
        <w:rPr>
          <w:rFonts w:hint="eastAsia" w:ascii="仿宋_GB2312" w:hAnsi="仿宋_GB2312" w:cs="仿宋_GB2312"/>
          <w:b w:val="0"/>
          <w:bCs/>
          <w:lang w:eastAsia="zh-CN"/>
        </w:rPr>
        <w:t>专题动员</w:t>
      </w:r>
      <w:r>
        <w:rPr>
          <w:rFonts w:hint="eastAsia" w:ascii="仿宋_GB2312" w:hAnsi="仿宋_GB2312" w:eastAsia="仿宋_GB2312" w:cs="仿宋_GB2312"/>
          <w:b w:val="0"/>
          <w:bCs/>
          <w:lang w:eastAsia="zh-CN"/>
        </w:rPr>
        <w:t>、交流研讨</w:t>
      </w:r>
      <w:r>
        <w:rPr>
          <w:rFonts w:hint="eastAsia" w:ascii="仿宋_GB2312" w:hAnsi="仿宋_GB2312" w:cs="仿宋_GB2312"/>
          <w:b w:val="0"/>
          <w:bCs/>
          <w:lang w:eastAsia="zh-CN"/>
        </w:rPr>
        <w:t>与工作谋划</w:t>
      </w:r>
      <w:r>
        <w:rPr>
          <w:rFonts w:hint="eastAsia" w:ascii="仿宋_GB2312" w:hAnsi="仿宋_GB2312" w:eastAsia="仿宋_GB2312" w:cs="仿宋_GB2312"/>
          <w:b w:val="0"/>
          <w:bCs/>
          <w:lang w:eastAsia="zh-CN"/>
        </w:rPr>
        <w:t>相结合，引导全体人员迅速收心聚神，提早谋划行动，奋力逐梦拼搏。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管理严格规范，精神风貌良好。</w:t>
      </w:r>
      <w:r>
        <w:rPr>
          <w:rFonts w:hint="eastAsia" w:ascii="仿宋_GB2312" w:hAnsi="仿宋_GB2312" w:cs="仿宋_GB2312"/>
          <w:b w:val="0"/>
          <w:bCs/>
          <w:lang w:val="en-US" w:eastAsia="zh-CN"/>
        </w:rPr>
        <w:t>县纪委监委、</w:t>
      </w:r>
      <w:r>
        <w:rPr>
          <w:rFonts w:hint="eastAsia" w:ascii="仿宋_GB2312" w:hAnsi="仿宋_GB2312" w:cs="仿宋_GB2312"/>
          <w:b w:val="0"/>
          <w:bCs/>
          <w:lang w:eastAsia="zh-CN"/>
        </w:rPr>
        <w:t>县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发改委、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法局、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县人社局、县应急管理局、县农业农村局、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生态环境分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局、县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文化旅游体育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局、县扶贫开发局、县民政局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县自然资源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规划局、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教育局、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县编办、团县委机关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、县委党校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县档案馆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以及</w:t>
      </w:r>
      <w:r>
        <w:rPr>
          <w:rFonts w:hint="eastAsia" w:ascii="仿宋_GB2312" w:hAnsi="仿宋_GB2312" w:eastAsia="仿宋_GB2312" w:cs="仿宋_GB2312"/>
          <w:sz w:val="32"/>
          <w:szCs w:val="32"/>
        </w:rPr>
        <w:t>县招商投资促进中心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、县劳动保障监察综合执法大队、县税务局第一分局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等单位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内部管理规范，严格执行考勤及请销假制度，办公环境干净整洁，工作人员精神风貌良好。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rPr>
          <w:rFonts w:hint="eastAsia" w:ascii="黑体" w:hAnsi="黑体" w:eastAsia="黑体" w:cs="黑体"/>
          <w:b w:val="0"/>
          <w:bCs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二、督查存在问题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在督查中也发现个别单位新春收心不到位，违反工作纪律，考勤、请销假制度执行不严格，办公环境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脏乱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差等现象</w:t>
      </w:r>
      <w:r>
        <w:rPr>
          <w:rFonts w:hint="eastAsia" w:ascii="仿宋_GB2312" w:hAnsi="仿宋_GB2312" w:cs="仿宋_GB231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（一）工作纪律方面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1.2021年</w:t>
      </w:r>
      <w:r>
        <w:rPr>
          <w:rFonts w:hint="eastAsia" w:ascii="仿宋_GB2312" w:hAnsi="仿宋_GB2312" w:eastAsia="仿宋_GB2312" w:cs="仿宋_GB2312"/>
          <w:lang w:val="en-US" w:eastAsia="zh-CN"/>
        </w:rPr>
        <w:t>2月19日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县疾病预防控制中心</w:t>
      </w:r>
      <w:r>
        <w:rPr>
          <w:rFonts w:hint="eastAsia" w:ascii="仿宋_GB2312" w:hAnsi="仿宋_GB2312" w:eastAsia="仿宋_GB2312" w:cs="仿宋_GB2312"/>
          <w:lang w:val="en-US" w:eastAsia="zh-CN"/>
        </w:rPr>
        <w:t>李虎彪、郭晨朗两人在值班室看视频、刷朋友圈；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2.2021年2月20日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15，</w:t>
      </w:r>
      <w:r>
        <w:rPr>
          <w:rFonts w:hint="eastAsia" w:ascii="仿宋_GB2312" w:hAnsi="仿宋_GB2312" w:eastAsia="仿宋_GB2312" w:cs="仿宋_GB2312"/>
          <w:lang w:val="en-US" w:eastAsia="zh-CN"/>
        </w:rPr>
        <w:t>县政务服务大厅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二楼办公室、值班室及审批室个别工作人员上班时间吃水果、零食，食物放在办公桌上；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3.2021年2月20日10</w:t>
      </w:r>
      <w:r>
        <w:rPr>
          <w:rFonts w:hint="eastAsia" w:ascii="仿宋_GB2312" w:hAnsi="仿宋_GB2312" w:cs="仿宋_GB231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lang w:val="en-US" w:eastAsia="zh-CN"/>
        </w:rPr>
        <w:t>25，县政务服务大厅一楼综合窗口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张凯伦等3人聚集聊天，影响服务窗口形象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（二）考勤制度方面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2021年2月19日8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18，太和调查队考勤签到卡显示，应有6人考勤，其中5人未签到也不在岗；</w:t>
      </w:r>
    </w:p>
    <w:p>
      <w:pPr>
        <w:numPr>
          <w:ilvl w:val="0"/>
          <w:numId w:val="0"/>
        </w:numPr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2021年2月19日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9：15，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县气象局办公楼一楼大厅大门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未开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不能提供19日签到表，只有一人值班且未签到。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2021年2月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17：00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督查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发现县企业养老保险基金管理中心韩露露请销假手续不严格，请假条名字为韩露，与本人不符；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2021年2月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—20日，督查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发现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一些单位考勤不规范或不严格，存在上班时间人员在岗未签到、补签到的现象，还有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个别工作人员存在迟到早退现象。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（三）办公环境方面</w:t>
      </w:r>
    </w:p>
    <w:p>
      <w:pPr>
        <w:pStyle w:val="7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督查发现，部分单位办公桌上有烟头、零食、杂物等，办公室卫生较差：县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疾控中心办公室桌面脏乱，地面烟头多；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县重点工程建设管理中心办公室桌面香烟摆放较多，垃圾桶内垃圾已满无人清理，文件摆放杂乱；县妇幼保健计划生育服务中心一楼服务大厅前台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办公桌灰尘较多未及时清理。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lang w:val="en-US" w:eastAsia="zh-CN"/>
        </w:rPr>
        <w:t>工作</w:t>
      </w:r>
      <w:r>
        <w:rPr>
          <w:rFonts w:hint="eastAsia" w:ascii="黑体" w:hAnsi="黑体" w:eastAsia="黑体" w:cs="黑体"/>
          <w:b/>
          <w:bCs w:val="0"/>
          <w:lang w:val="en-US" w:eastAsia="zh-CN"/>
        </w:rPr>
        <w:t>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lang w:val="en-US" w:eastAsia="zh-CN"/>
        </w:rPr>
        <w:t>大地回春，绿意渐浓。在全县上下深入贯彻党的十九届五中全会精神之际，各单位及广大党员干部要坚决贯彻县委县政府决策部署，收心归位，开好局起好步，让各项工作都赢在起跑线上，开启新篇章，作风形象实现新转变。为此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及时动员学习、</w:t>
      </w:r>
      <w:r>
        <w:rPr>
          <w:rFonts w:hint="eastAsia" w:ascii="仿宋_GB2312" w:hAnsi="仿宋_GB2312" w:cs="仿宋_GB2312"/>
          <w:lang w:val="en-US" w:eastAsia="zh-CN"/>
        </w:rPr>
        <w:t>严格规范考勤的上述单位予以表扬，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存在问题的单位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（部门）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及个人给予通报批评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。其他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（部门）</w:t>
      </w:r>
      <w:r>
        <w:rPr>
          <w:rFonts w:hint="eastAsia" w:ascii="仿宋_GB2312" w:hAnsi="仿宋_GB2312" w:eastAsia="仿宋_GB2312" w:cs="仿宋_GB2312"/>
          <w:sz w:val="32"/>
          <w:szCs w:val="32"/>
        </w:rPr>
        <w:t>要引以为戒，落实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规章</w:t>
      </w:r>
      <w:r>
        <w:rPr>
          <w:rFonts w:hint="eastAsia" w:ascii="仿宋_GB2312" w:hAnsi="仿宋_GB2312" w:eastAsia="仿宋_GB2312" w:cs="仿宋_GB2312"/>
          <w:sz w:val="32"/>
          <w:szCs w:val="32"/>
        </w:rPr>
        <w:t>制度，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严格</w:t>
      </w:r>
      <w:r>
        <w:rPr>
          <w:rFonts w:hint="eastAsia" w:ascii="仿宋_GB2312" w:hAnsi="仿宋_GB2312" w:eastAsia="仿宋_GB2312" w:cs="仿宋_GB2312"/>
          <w:sz w:val="32"/>
          <w:szCs w:val="32"/>
        </w:rPr>
        <w:t>内部管理，切实加强机关效能建设，促使干部养成有令必行、有禁必止的良好习惯。被通报批评的单位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主管部门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要认真对待存在问题，对相关人员给予处理，对存在问题进行整改，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并将处理和整改情况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主管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单位负责人签字、盖章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202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年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月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前报县直效能办（电话：8695726）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right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太和县直机关作风效能建设领导小组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 xml:space="preserve">                     2021年2月25日</w:t>
      </w:r>
    </w:p>
    <w:p>
      <w:pPr>
        <w:ind w:left="0" w:leftChars="0" w:firstLine="0" w:firstLineChars="0"/>
        <w:rPr>
          <w:rFonts w:hint="default"/>
          <w:lang w:val="en-US" w:eastAsia="zh-CN"/>
        </w:rPr>
      </w:pPr>
    </w:p>
    <w:p>
      <w:pPr>
        <w:ind w:left="838" w:leftChars="87" w:hanging="560" w:hangingChars="200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12065</wp:posOffset>
                </wp:positionV>
                <wp:extent cx="52324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60145" y="7662545"/>
                          <a:ext cx="52324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35pt;margin-top:0.95pt;height:0pt;width:412pt;z-index:251660288;mso-width-relative:page;mso-height-relative:page;" filled="f" stroked="t" coordsize="21600,21600" o:gfxdata="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T&#10;7pOK0wAAAAUBAAAPAAAAAAAAAAEAIAAAACIAAABkcnMvZG93bnJldi54bWxQSwECFAAUAAAACACH&#10;TuJApfVy4vABAAC+AwAADgAAAAAAAAABACAAAAAiAQAAZHJzL2Uyb0RvYy54bWxQSwUGAAAAAAYA&#10;BgBZAQAAhAUAAAAA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报：县委、县人大、县政府、县政协领导同志，市直效能办及县直机关作风效能建设领导小组成员</w:t>
      </w:r>
    </w:p>
    <w:p>
      <w:pPr>
        <w:ind w:left="558" w:leftChars="87" w:hanging="280" w:hangingChars="100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383540</wp:posOffset>
                </wp:positionV>
                <wp:extent cx="52578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34745" y="8467090"/>
                          <a:ext cx="5257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65pt;margin-top:30.2pt;height:0pt;width:414pt;z-index:251661312;mso-width-relative:page;mso-height-relative:page;" filled="f" stroked="t" coordsize="21600,21600" o:gfxdata="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+KhEFtgAAAAIAQAADwAAAAAAAAABACAAAAAiAAAAZHJzL2Rvd25yZXYueG1sUEsBAhQAFAAA&#10;AAgAh07iQM3VVRzvAQAAvQMAAA4AAAAAAAAAAQAgAAAAJwEAAGRycy9lMm9Eb2MueG1sUEsFBgAA&#10;AAAGAAYAWQEAAIg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发：县直各单位</w:t>
      </w:r>
    </w:p>
    <w:p>
      <w:pPr>
        <w:ind w:firstLine="252" w:firstLineChars="100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pacing w:val="-34"/>
          <w:sz w:val="32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385445</wp:posOffset>
                </wp:positionV>
                <wp:extent cx="52578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48715" y="9203055"/>
                          <a:ext cx="5257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45pt;margin-top:30.35pt;height:0pt;width:414pt;z-index:251662336;mso-width-relative:page;mso-height-relative:page;" filled="f" stroked="t" coordsize="21600,21600" o:gfxdata="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B7oAY1AAAAAYBAAAPAAAAAAAAAAEAIAAAACIAAABkcnMvZG93bnJldi54bWxQSwECFAAUAAAA&#10;CACHTuJAPqq6EPIBAAC+AwAADgAAAAAAAAABACAAAAAjAQAAZHJzL2Uyb0RvYy54bWxQSwUGAAAA&#10;AAYABgBZAQAAhwUA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 w:themeColor="text1"/>
          <w:spacing w:val="-3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太和县直机关作风效能建设领导小组   </w:t>
      </w:r>
      <w:r>
        <w:rPr>
          <w:rFonts w:hint="eastAsia" w:ascii="仿宋" w:hAnsi="仿宋" w:eastAsia="仿宋" w:cs="仿宋"/>
          <w:color w:val="000000" w:themeColor="text1"/>
          <w:spacing w:val="-3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" w:hAnsi="仿宋" w:eastAsia="仿宋" w:cs="仿宋"/>
          <w:color w:val="000000" w:themeColor="text1"/>
          <w:spacing w:val="-3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pacing w:val="-3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pacing w:val="-3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pacing w:val="-3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pacing w:val="-3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pacing w:val="-3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仿宋" w:hAnsi="仿宋" w:eastAsia="仿宋" w:cs="仿宋"/>
          <w:color w:val="000000" w:themeColor="text1"/>
          <w:spacing w:val="-3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日印发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72AFC"/>
    <w:rsid w:val="03B13921"/>
    <w:rsid w:val="0BEA136A"/>
    <w:rsid w:val="195E4667"/>
    <w:rsid w:val="1CB91869"/>
    <w:rsid w:val="1E8F7FF7"/>
    <w:rsid w:val="272F67B7"/>
    <w:rsid w:val="413C249E"/>
    <w:rsid w:val="4BFB62E0"/>
    <w:rsid w:val="67772AFC"/>
    <w:rsid w:val="700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42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ascii="Arial" w:hAnsi="Arial" w:eastAsia="黑体"/>
      <w:b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_Style 2"/>
    <w:basedOn w:val="1"/>
    <w:qFormat/>
    <w:uiPriority w:val="0"/>
    <w:pPr>
      <w:spacing w:line="351" w:lineRule="atLeast"/>
      <w:ind w:firstLine="623"/>
      <w:textAlignment w:val="baseline"/>
    </w:pPr>
    <w:rPr>
      <w:rFonts w:ascii="Calibri" w:hAnsi="Calibri" w:eastAsia="仿宋_GB2312"/>
      <w:color w:val="000000"/>
      <w:sz w:val="3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2021-02-22T08:05:00Z</dcterms:created>
  <dc:creator>pi平ng</dc:creator>
  <cp:lastModifiedBy>pi平ng</cp:lastModifiedBy>
  <cp:lastPrinted>2021-02-25T02:55:34Z</cp:lastPrinted>
  <dcterms:modified xsi:type="dcterms:W3CDTF">2021-02-25T02:56:14Z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