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topLinePunct/>
        <w:spacing w:line="440" w:lineRule="exact"/>
        <w:rPr>
          <w:color w:val="auto"/>
          <w:sz w:val="32"/>
          <w:szCs w:val="32"/>
          <w:shd w:val="clear" w:color="auto" w:fill="auto"/>
        </w:rPr>
      </w:pPr>
      <w:bookmarkStart w:id="0" w:name="_Toc18562_WPSOffice_Level1"/>
      <w:bookmarkStart w:id="1" w:name="_Toc25077_WPSOffice_Level1"/>
    </w:p>
    <w:p>
      <w:pPr>
        <w:widowControl/>
        <w:topLinePunct/>
        <w:spacing w:line="440" w:lineRule="exact"/>
        <w:ind w:left="0" w:leftChars="0" w:firstLine="0" w:firstLineChars="0"/>
        <w:rPr>
          <w:color w:val="auto"/>
          <w:sz w:val="20"/>
          <w:szCs w:val="20"/>
          <w:shd w:val="clear" w:color="auto" w:fill="auto"/>
        </w:rPr>
      </w:pPr>
    </w:p>
    <w:p>
      <w:pPr>
        <w:widowControl/>
        <w:topLinePunct/>
        <w:spacing w:line="440" w:lineRule="exact"/>
        <w:rPr>
          <w:color w:val="auto"/>
          <w:sz w:val="20"/>
          <w:szCs w:val="20"/>
          <w:shd w:val="clear" w:color="auto" w:fill="auto"/>
        </w:rPr>
      </w:pPr>
    </w:p>
    <w:p>
      <w:pPr>
        <w:widowControl/>
        <w:topLinePunct/>
        <w:spacing w:line="360" w:lineRule="auto"/>
        <w:ind w:left="0" w:leftChars="0" w:firstLine="0" w:firstLineChars="0"/>
        <w:jc w:val="center"/>
        <w:rPr>
          <w:rFonts w:hint="eastAsia" w:ascii="宋体" w:hAnsi="宋体" w:eastAsia="宋体" w:cs="宋体"/>
          <w:b/>
          <w:bCs w:val="0"/>
          <w:color w:val="auto"/>
          <w:spacing w:val="2"/>
          <w:sz w:val="52"/>
          <w:szCs w:val="52"/>
          <w:shd w:val="clear" w:color="auto" w:fill="auto"/>
          <w:lang w:val="en-US" w:eastAsia="zh-CN"/>
        </w:rPr>
      </w:pPr>
      <w:r>
        <w:rPr>
          <w:rFonts w:hint="eastAsia" w:ascii="宋体" w:hAnsi="宋体" w:cs="宋体"/>
          <w:b/>
          <w:bCs w:val="0"/>
          <w:color w:val="auto"/>
          <w:spacing w:val="2"/>
          <w:sz w:val="52"/>
          <w:szCs w:val="52"/>
          <w:shd w:val="clear" w:color="auto" w:fill="auto"/>
          <w:lang w:val="en-US" w:eastAsia="zh-CN"/>
        </w:rPr>
        <w:t>太和县鸿泰港口服务有限公司</w:t>
      </w:r>
    </w:p>
    <w:p>
      <w:pPr>
        <w:widowControl/>
        <w:topLinePunct/>
        <w:spacing w:line="360" w:lineRule="auto"/>
        <w:ind w:left="0" w:leftChars="0" w:firstLine="0" w:firstLineChars="0"/>
        <w:jc w:val="center"/>
        <w:rPr>
          <w:rFonts w:hint="eastAsia" w:ascii="宋体" w:hAnsi="宋体" w:eastAsia="宋体" w:cs="宋体"/>
          <w:b/>
          <w:bCs w:val="0"/>
          <w:color w:val="auto"/>
          <w:spacing w:val="2"/>
          <w:sz w:val="52"/>
          <w:szCs w:val="52"/>
          <w:shd w:val="clear" w:color="auto" w:fill="auto"/>
          <w:lang w:val="en-US" w:eastAsia="zh-CN"/>
        </w:rPr>
      </w:pPr>
      <w:r>
        <w:rPr>
          <w:rFonts w:hint="eastAsia" w:ascii="宋体" w:hAnsi="宋体" w:cs="宋体"/>
          <w:b/>
          <w:bCs w:val="0"/>
          <w:color w:val="auto"/>
          <w:spacing w:val="2"/>
          <w:sz w:val="52"/>
          <w:szCs w:val="52"/>
          <w:shd w:val="clear" w:color="auto" w:fill="auto"/>
          <w:lang w:val="en-US" w:eastAsia="zh-CN"/>
        </w:rPr>
        <w:t>阜阳港太和港区陶庙作业区码头工程</w:t>
      </w:r>
    </w:p>
    <w:p>
      <w:pPr>
        <w:pStyle w:val="2"/>
        <w:rPr>
          <w:rFonts w:hint="eastAsia"/>
          <w:color w:val="auto"/>
          <w:lang w:val="en-US" w:eastAsia="zh-CN"/>
        </w:rPr>
      </w:pPr>
    </w:p>
    <w:p>
      <w:pPr>
        <w:spacing w:line="240" w:lineRule="auto"/>
        <w:ind w:firstLine="0" w:firstLineChars="0"/>
        <w:jc w:val="center"/>
        <w:rPr>
          <w:rFonts w:hint="eastAsia" w:ascii="宋体" w:hAnsi="宋体" w:eastAsia="宋体" w:cs="宋体"/>
          <w:bCs/>
          <w:color w:val="auto"/>
          <w:sz w:val="84"/>
          <w:szCs w:val="84"/>
          <w:lang w:val="en-US" w:eastAsia="zh-CN"/>
        </w:rPr>
      </w:pPr>
      <w:r>
        <w:rPr>
          <w:rFonts w:hint="eastAsia" w:ascii="宋体" w:hAnsi="宋体" w:eastAsia="宋体" w:cs="宋体"/>
          <w:b/>
          <w:bCs w:val="0"/>
          <w:color w:val="auto"/>
          <w:sz w:val="84"/>
          <w:szCs w:val="84"/>
          <w:lang w:val="en-US" w:eastAsia="zh-CN"/>
        </w:rPr>
        <w:t>环境影响报告书</w:t>
      </w:r>
    </w:p>
    <w:p>
      <w:pPr>
        <w:pStyle w:val="15"/>
        <w:keepNext w:val="0"/>
        <w:keepLines w:val="0"/>
        <w:pageBreakBefore w:val="0"/>
        <w:widowControl w:val="0"/>
        <w:kinsoku/>
        <w:wordWrap/>
        <w:overflowPunct/>
        <w:topLinePunct w:val="0"/>
        <w:autoSpaceDE/>
        <w:autoSpaceDN/>
        <w:bidi w:val="0"/>
        <w:adjustRightInd/>
        <w:snapToGrid/>
        <w:spacing w:before="157" w:beforeLines="50" w:line="360" w:lineRule="auto"/>
        <w:ind w:left="0" w:leftChars="0" w:firstLine="0" w:firstLineChars="0"/>
        <w:jc w:val="center"/>
        <w:textAlignment w:val="auto"/>
        <w:rPr>
          <w:rFonts w:hint="eastAsia" w:ascii="宋体" w:hAnsi="宋体" w:eastAsia="宋体" w:cs="宋体"/>
          <w:b/>
          <w:bCs/>
          <w:color w:val="auto"/>
          <w:sz w:val="44"/>
          <w:szCs w:val="44"/>
        </w:rPr>
      </w:pPr>
    </w:p>
    <w:p>
      <w:pPr>
        <w:pStyle w:val="2"/>
        <w:rPr>
          <w:rFonts w:hint="eastAsia"/>
          <w:color w:val="auto"/>
          <w:lang w:val="en-US" w:eastAsia="zh-CN"/>
        </w:rPr>
      </w:pPr>
    </w:p>
    <w:p>
      <w:pPr>
        <w:widowControl/>
        <w:topLinePunct/>
        <w:spacing w:line="440" w:lineRule="exact"/>
        <w:rPr>
          <w:color w:val="auto"/>
          <w:sz w:val="32"/>
          <w:szCs w:val="32"/>
          <w:shd w:val="clear" w:color="auto" w:fill="auto"/>
        </w:rPr>
      </w:pPr>
    </w:p>
    <w:p>
      <w:pPr>
        <w:pStyle w:val="12"/>
        <w:rPr>
          <w:color w:val="auto"/>
          <w:shd w:val="clear" w:color="auto" w:fill="auto"/>
        </w:rPr>
      </w:pPr>
    </w:p>
    <w:p>
      <w:pPr>
        <w:widowControl/>
        <w:topLinePunct/>
        <w:spacing w:line="440" w:lineRule="exact"/>
        <w:rPr>
          <w:color w:val="auto"/>
          <w:sz w:val="32"/>
          <w:szCs w:val="32"/>
          <w:shd w:val="clear" w:color="auto" w:fill="auto"/>
        </w:rPr>
      </w:pPr>
    </w:p>
    <w:p>
      <w:pPr>
        <w:widowControl/>
        <w:topLinePunct/>
        <w:spacing w:line="440" w:lineRule="exact"/>
        <w:jc w:val="center"/>
        <w:rPr>
          <w:color w:val="auto"/>
          <w:sz w:val="32"/>
          <w:szCs w:val="32"/>
          <w:shd w:val="clear" w:color="auto" w:fill="auto"/>
        </w:rPr>
      </w:pPr>
    </w:p>
    <w:p>
      <w:pPr>
        <w:widowControl/>
        <w:topLinePunct/>
        <w:spacing w:line="440" w:lineRule="exact"/>
        <w:jc w:val="center"/>
        <w:rPr>
          <w:color w:val="auto"/>
          <w:sz w:val="32"/>
          <w:szCs w:val="32"/>
          <w:shd w:val="clear" w:color="auto" w:fill="auto"/>
        </w:rPr>
      </w:pPr>
    </w:p>
    <w:p>
      <w:pPr>
        <w:widowControl/>
        <w:topLinePunct/>
        <w:spacing w:line="440" w:lineRule="exact"/>
        <w:jc w:val="center"/>
        <w:rPr>
          <w:color w:val="auto"/>
          <w:sz w:val="32"/>
          <w:szCs w:val="32"/>
          <w:shd w:val="clear" w:color="auto" w:fill="auto"/>
        </w:rPr>
      </w:pPr>
    </w:p>
    <w:p>
      <w:pPr>
        <w:widowControl/>
        <w:topLinePunct/>
        <w:spacing w:line="440" w:lineRule="exact"/>
        <w:jc w:val="center"/>
        <w:rPr>
          <w:color w:val="auto"/>
          <w:sz w:val="32"/>
          <w:szCs w:val="32"/>
          <w:shd w:val="clear" w:color="auto" w:fill="auto"/>
        </w:rPr>
      </w:pPr>
    </w:p>
    <w:p>
      <w:pPr>
        <w:widowControl/>
        <w:topLinePunct/>
        <w:spacing w:line="440" w:lineRule="exact"/>
        <w:jc w:val="center"/>
        <w:rPr>
          <w:color w:val="auto"/>
          <w:sz w:val="32"/>
          <w:szCs w:val="32"/>
          <w:shd w:val="clear" w:color="auto" w:fill="auto"/>
        </w:rPr>
      </w:pPr>
    </w:p>
    <w:p>
      <w:pPr>
        <w:pStyle w:val="12"/>
        <w:rPr>
          <w:color w:val="auto"/>
          <w:shd w:val="clear" w:color="auto" w:fill="auto"/>
        </w:rPr>
      </w:pPr>
    </w:p>
    <w:p>
      <w:pPr>
        <w:pStyle w:val="12"/>
        <w:rPr>
          <w:color w:val="auto"/>
          <w:shd w:val="clear" w:color="auto" w:fill="auto"/>
        </w:rPr>
      </w:pPr>
    </w:p>
    <w:p>
      <w:pPr>
        <w:pStyle w:val="12"/>
        <w:rPr>
          <w:color w:val="auto"/>
          <w:shd w:val="clear" w:color="auto" w:fill="auto"/>
        </w:rPr>
      </w:pPr>
    </w:p>
    <w:p>
      <w:pPr>
        <w:widowControl/>
        <w:topLinePunct/>
        <w:spacing w:line="440" w:lineRule="exact"/>
        <w:jc w:val="center"/>
        <w:rPr>
          <w:color w:val="auto"/>
          <w:sz w:val="32"/>
          <w:szCs w:val="32"/>
          <w:shd w:val="clear" w:color="auto" w:fill="auto"/>
        </w:rPr>
      </w:pPr>
    </w:p>
    <w:p>
      <w:pPr>
        <w:widowControl/>
        <w:topLinePunct/>
        <w:spacing w:line="440" w:lineRule="exact"/>
        <w:jc w:val="center"/>
        <w:rPr>
          <w:color w:val="auto"/>
          <w:sz w:val="32"/>
          <w:szCs w:val="32"/>
          <w:shd w:val="clear" w:color="auto" w:fill="auto"/>
        </w:rPr>
      </w:pPr>
    </w:p>
    <w:p>
      <w:pPr>
        <w:widowControl/>
        <w:topLinePunct/>
        <w:spacing w:line="440" w:lineRule="exact"/>
        <w:jc w:val="center"/>
        <w:rPr>
          <w:color w:val="auto"/>
          <w:sz w:val="32"/>
          <w:szCs w:val="32"/>
          <w:shd w:val="clear" w:color="auto" w:fill="auto"/>
        </w:rPr>
      </w:pPr>
    </w:p>
    <w:p>
      <w:pPr>
        <w:widowControl/>
        <w:topLinePunct/>
        <w:spacing w:line="360" w:lineRule="auto"/>
        <w:ind w:left="0" w:leftChars="0" w:firstLine="0" w:firstLineChars="0"/>
        <w:jc w:val="center"/>
        <w:rPr>
          <w:color w:val="auto"/>
          <w:sz w:val="32"/>
          <w:szCs w:val="32"/>
          <w:shd w:val="clear" w:color="auto" w:fill="auto"/>
          <w:lang w:val="en-US"/>
        </w:rPr>
      </w:pPr>
      <w:r>
        <w:rPr>
          <w:color w:val="auto"/>
          <w:sz w:val="32"/>
          <w:szCs w:val="32"/>
          <w:shd w:val="clear" w:color="auto" w:fill="auto"/>
        </w:rPr>
        <w:t>建设单位：</w:t>
      </w:r>
      <w:r>
        <w:rPr>
          <w:rFonts w:hint="eastAsia"/>
          <w:color w:val="auto"/>
          <w:sz w:val="32"/>
          <w:szCs w:val="32"/>
          <w:shd w:val="clear" w:color="auto" w:fill="auto"/>
          <w:lang w:val="en-US" w:eastAsia="zh-CN"/>
        </w:rPr>
        <w:t>太和县鸿泰港口服务有限公司</w:t>
      </w:r>
    </w:p>
    <w:p>
      <w:pPr>
        <w:widowControl/>
        <w:topLinePunct/>
        <w:spacing w:line="360" w:lineRule="auto"/>
        <w:ind w:left="0" w:leftChars="0" w:firstLine="0" w:firstLineChars="0"/>
        <w:jc w:val="center"/>
        <w:rPr>
          <w:rFonts w:hint="eastAsia" w:ascii="Times New Roman" w:hAnsi="Times New Roman" w:eastAsia="宋体"/>
          <w:color w:val="auto"/>
          <w:sz w:val="32"/>
          <w:szCs w:val="32"/>
          <w:shd w:val="clear" w:color="auto" w:fill="auto"/>
          <w:lang w:val="en-US" w:eastAsia="zh-CN"/>
        </w:rPr>
      </w:pPr>
      <w:r>
        <w:rPr>
          <w:color w:val="auto"/>
          <w:sz w:val="32"/>
          <w:szCs w:val="32"/>
          <w:shd w:val="clear" w:color="auto" w:fill="auto"/>
        </w:rPr>
        <w:t>评价单位：</w:t>
      </w:r>
      <w:r>
        <w:rPr>
          <w:rFonts w:hint="eastAsia"/>
          <w:color w:val="auto"/>
          <w:sz w:val="32"/>
          <w:szCs w:val="32"/>
          <w:shd w:val="clear" w:color="auto" w:fill="auto"/>
          <w:lang w:val="en-US" w:eastAsia="zh-CN"/>
        </w:rPr>
        <w:t>安徽禾美环保集团有限公司</w:t>
      </w:r>
    </w:p>
    <w:p>
      <w:pPr>
        <w:widowControl/>
        <w:topLinePunct/>
        <w:spacing w:line="360" w:lineRule="auto"/>
        <w:ind w:left="0" w:leftChars="0" w:firstLine="0" w:firstLineChars="0"/>
        <w:jc w:val="center"/>
        <w:rPr>
          <w:rFonts w:hint="eastAsia" w:ascii="Times New Roman" w:hAnsi="Times New Roman" w:eastAsia="宋体"/>
          <w:color w:val="auto"/>
          <w:sz w:val="32"/>
          <w:szCs w:val="32"/>
          <w:shd w:val="clear" w:color="auto" w:fill="auto"/>
          <w:lang w:val="en-US" w:eastAsia="zh-CN"/>
        </w:rPr>
        <w:sectPr>
          <w:headerReference r:id="rId3" w:type="default"/>
          <w:pgSz w:w="11906" w:h="16838"/>
          <w:pgMar w:top="1418" w:right="1418" w:bottom="1418" w:left="1418" w:header="851" w:footer="992" w:gutter="0"/>
          <w:pgBorders>
            <w:top w:val="none" w:sz="0" w:space="0"/>
            <w:left w:val="none" w:sz="0" w:space="0"/>
            <w:bottom w:val="none" w:sz="0" w:space="0"/>
            <w:right w:val="none" w:sz="0" w:space="0"/>
          </w:pgBorders>
          <w:pgNumType w:fmt="upperRoman" w:start="1"/>
          <w:cols w:space="425" w:num="1"/>
          <w:docGrid w:linePitch="312" w:charSpace="0"/>
        </w:sectPr>
      </w:pPr>
      <w:r>
        <w:rPr>
          <w:rFonts w:hint="eastAsia" w:ascii="Times New Roman" w:hAnsi="Times New Roman" w:eastAsia="宋体"/>
          <w:color w:val="auto"/>
          <w:sz w:val="32"/>
          <w:szCs w:val="32"/>
          <w:shd w:val="clear" w:color="auto" w:fill="auto"/>
          <w:lang w:val="en-US" w:eastAsia="zh-CN"/>
        </w:rPr>
        <w:t>二</w:t>
      </w:r>
      <w:r>
        <w:rPr>
          <w:rFonts w:hint="eastAsia"/>
          <w:color w:val="auto"/>
          <w:sz w:val="32"/>
          <w:szCs w:val="32"/>
          <w:shd w:val="clear" w:color="auto" w:fill="auto"/>
          <w:lang w:val="en-US" w:eastAsia="zh-CN"/>
        </w:rPr>
        <w:t>〇</w:t>
      </w:r>
      <w:r>
        <w:rPr>
          <w:rFonts w:hint="eastAsia" w:ascii="Times New Roman" w:hAnsi="Times New Roman" w:eastAsia="宋体"/>
          <w:color w:val="auto"/>
          <w:sz w:val="32"/>
          <w:szCs w:val="32"/>
          <w:shd w:val="clear" w:color="auto" w:fill="auto"/>
          <w:lang w:val="en-US" w:eastAsia="zh-CN"/>
        </w:rPr>
        <w:t>二</w:t>
      </w:r>
      <w:r>
        <w:rPr>
          <w:rFonts w:hint="eastAsia"/>
          <w:color w:val="auto"/>
          <w:sz w:val="32"/>
          <w:szCs w:val="32"/>
          <w:shd w:val="clear" w:color="auto" w:fill="auto"/>
          <w:lang w:val="en-US" w:eastAsia="zh-CN"/>
        </w:rPr>
        <w:t>〇</w:t>
      </w:r>
      <w:r>
        <w:rPr>
          <w:rFonts w:hint="eastAsia" w:ascii="Times New Roman" w:hAnsi="Times New Roman" w:eastAsia="宋体"/>
          <w:color w:val="auto"/>
          <w:sz w:val="32"/>
          <w:szCs w:val="32"/>
          <w:shd w:val="clear" w:color="auto" w:fill="auto"/>
          <w:lang w:val="en-US" w:eastAsia="zh-CN"/>
        </w:rPr>
        <w:t>年</w:t>
      </w:r>
      <w:r>
        <w:rPr>
          <w:rFonts w:hint="eastAsia"/>
          <w:color w:val="auto"/>
          <w:sz w:val="32"/>
          <w:szCs w:val="32"/>
          <w:shd w:val="clear" w:color="auto" w:fill="auto"/>
          <w:lang w:val="en-US" w:eastAsia="zh-CN"/>
        </w:rPr>
        <w:t>六</w:t>
      </w:r>
      <w:r>
        <w:rPr>
          <w:rFonts w:hint="eastAsia" w:ascii="Times New Roman" w:hAnsi="Times New Roman" w:eastAsia="宋体"/>
          <w:color w:val="auto"/>
          <w:sz w:val="32"/>
          <w:szCs w:val="32"/>
          <w:shd w:val="clear" w:color="auto" w:fill="auto"/>
          <w:lang w:val="en-US" w:eastAsia="zh-CN"/>
        </w:rPr>
        <w:t>月</w:t>
      </w:r>
    </w:p>
    <w:p>
      <w:pPr>
        <w:pStyle w:val="20"/>
        <w:keepNext w:val="0"/>
        <w:keepLines w:val="0"/>
        <w:pageBreakBefore w:val="0"/>
        <w:widowControl w:val="0"/>
        <w:tabs>
          <w:tab w:val="right" w:leader="dot" w:pos="8306"/>
        </w:tabs>
        <w:kinsoku/>
        <w:wordWrap/>
        <w:overflowPunct/>
        <w:topLinePunct w:val="0"/>
        <w:autoSpaceDE/>
        <w:autoSpaceDN/>
        <w:bidi w:val="0"/>
        <w:adjustRightInd/>
        <w:snapToGrid/>
        <w:spacing w:before="313" w:beforeLines="100" w:after="313" w:afterLines="100"/>
        <w:ind w:firstLine="0" w:firstLineChars="0"/>
        <w:jc w:val="center"/>
        <w:textAlignment w:val="auto"/>
        <w:rPr>
          <w:b/>
          <w:bCs/>
          <w:color w:val="auto"/>
          <w:sz w:val="32"/>
          <w:szCs w:val="32"/>
          <w:shd w:val="clear" w:color="auto" w:fill="auto"/>
        </w:rPr>
      </w:pPr>
      <w:r>
        <w:rPr>
          <w:rFonts w:hint="eastAsia"/>
          <w:b/>
          <w:bCs/>
          <w:color w:val="auto"/>
          <w:sz w:val="32"/>
          <w:szCs w:val="32"/>
          <w:shd w:val="clear" w:color="auto" w:fill="auto"/>
        </w:rPr>
        <w:t>目 录</w:t>
      </w:r>
    </w:p>
    <w:p>
      <w:pPr>
        <w:pStyle w:val="20"/>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color w:val="auto"/>
          <w:shd w:val="clear" w:color="auto" w:fill="auto"/>
        </w:rPr>
        <w:instrText xml:space="preserve">TOC \o "1-2" \h \u </w:instrText>
      </w:r>
      <w:r>
        <w:rPr>
          <w:rFonts w:hint="eastAsia"/>
          <w:color w:val="auto"/>
          <w:shd w:val="clear" w:color="auto" w:fill="auto"/>
        </w:rPr>
        <w:fldChar w:fldCharType="separate"/>
      </w:r>
      <w:r>
        <w:rPr>
          <w:rFonts w:hint="eastAsia"/>
          <w:color w:val="auto"/>
          <w:shd w:val="clear" w:color="auto" w:fill="auto"/>
        </w:rPr>
        <w:fldChar w:fldCharType="begin"/>
      </w:r>
      <w:r>
        <w:rPr>
          <w:rFonts w:hint="eastAsia"/>
          <w:shd w:val="clear" w:color="auto" w:fill="auto"/>
        </w:rPr>
        <w:instrText xml:space="preserve"> HYPERLINK \l _Toc5127 </w:instrText>
      </w:r>
      <w:r>
        <w:rPr>
          <w:rFonts w:hint="eastAsia"/>
          <w:shd w:val="clear" w:color="auto" w:fill="auto"/>
        </w:rPr>
        <w:fldChar w:fldCharType="separate"/>
      </w:r>
      <w:r>
        <w:rPr>
          <w:rFonts w:hint="eastAsia"/>
          <w:shd w:val="clear" w:color="auto" w:fill="auto"/>
          <w:lang w:val="en-US" w:eastAsia="zh-CN"/>
        </w:rPr>
        <w:t>概 述</w:t>
      </w:r>
      <w:r>
        <w:tab/>
      </w:r>
      <w:r>
        <w:fldChar w:fldCharType="begin"/>
      </w:r>
      <w:r>
        <w:instrText xml:space="preserve"> PAGEREF _Toc5127 </w:instrText>
      </w:r>
      <w:r>
        <w:fldChar w:fldCharType="separate"/>
      </w:r>
      <w:r>
        <w:t>1</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_Toc29550 </w:instrText>
      </w:r>
      <w:r>
        <w:rPr>
          <w:rFonts w:hint="eastAsia"/>
          <w:shd w:val="clear" w:color="auto" w:fill="auto"/>
        </w:rPr>
        <w:fldChar w:fldCharType="separate"/>
      </w:r>
      <w:r>
        <w:rPr>
          <w:rFonts w:hint="eastAsia"/>
          <w:shd w:val="clear" w:color="auto" w:fill="auto"/>
          <w:lang w:val="en-US" w:eastAsia="zh-CN"/>
        </w:rPr>
        <w:t>1.</w:t>
      </w:r>
      <w:r>
        <w:rPr>
          <w:rFonts w:hint="eastAsia"/>
          <w:shd w:val="clear" w:color="auto" w:fill="auto"/>
        </w:rPr>
        <w:t>项目特点</w:t>
      </w:r>
      <w:r>
        <w:tab/>
      </w:r>
      <w:r>
        <w:fldChar w:fldCharType="begin"/>
      </w:r>
      <w:r>
        <w:instrText xml:space="preserve"> PAGEREF _Toc29550 </w:instrText>
      </w:r>
      <w:r>
        <w:fldChar w:fldCharType="separate"/>
      </w:r>
      <w:r>
        <w:t>1</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_Toc3167 </w:instrText>
      </w:r>
      <w:r>
        <w:rPr>
          <w:rFonts w:hint="eastAsia"/>
          <w:shd w:val="clear" w:color="auto" w:fill="auto"/>
        </w:rPr>
        <w:fldChar w:fldCharType="separate"/>
      </w:r>
      <w:r>
        <w:rPr>
          <w:rFonts w:hint="eastAsia"/>
          <w:shd w:val="clear" w:color="auto" w:fill="auto"/>
          <w:lang w:val="en-US" w:eastAsia="zh-CN"/>
        </w:rPr>
        <w:t>2.</w:t>
      </w:r>
      <w:r>
        <w:rPr>
          <w:rFonts w:hint="eastAsia"/>
          <w:shd w:val="clear" w:color="auto" w:fill="auto"/>
        </w:rPr>
        <w:t>环评工作过程</w:t>
      </w:r>
      <w:r>
        <w:tab/>
      </w:r>
      <w:r>
        <w:fldChar w:fldCharType="begin"/>
      </w:r>
      <w:r>
        <w:instrText xml:space="preserve"> PAGEREF _Toc3167 </w:instrText>
      </w:r>
      <w:r>
        <w:fldChar w:fldCharType="separate"/>
      </w:r>
      <w:r>
        <w:t>2</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_Toc28044 </w:instrText>
      </w:r>
      <w:r>
        <w:rPr>
          <w:rFonts w:hint="eastAsia"/>
          <w:shd w:val="clear" w:color="auto" w:fill="auto"/>
        </w:rPr>
        <w:fldChar w:fldCharType="separate"/>
      </w:r>
      <w:r>
        <w:rPr>
          <w:rFonts w:hint="eastAsia"/>
          <w:shd w:val="clear" w:color="auto" w:fill="auto"/>
          <w:lang w:val="en-US" w:eastAsia="zh-CN"/>
        </w:rPr>
        <w:t>3.</w:t>
      </w:r>
      <w:r>
        <w:rPr>
          <w:shd w:val="clear" w:color="auto" w:fill="auto"/>
        </w:rPr>
        <w:t>分析判定相关情况</w:t>
      </w:r>
      <w:r>
        <w:tab/>
      </w:r>
      <w:r>
        <w:fldChar w:fldCharType="begin"/>
      </w:r>
      <w:r>
        <w:instrText xml:space="preserve"> PAGEREF _Toc28044 </w:instrText>
      </w:r>
      <w:r>
        <w:fldChar w:fldCharType="separate"/>
      </w:r>
      <w:r>
        <w:t>2</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_Toc4536 </w:instrText>
      </w:r>
      <w:r>
        <w:rPr>
          <w:rFonts w:hint="eastAsia"/>
          <w:shd w:val="clear" w:color="auto" w:fill="auto"/>
        </w:rPr>
        <w:fldChar w:fldCharType="separate"/>
      </w:r>
      <w:r>
        <w:rPr>
          <w:rFonts w:hint="eastAsia"/>
          <w:shd w:val="clear" w:color="auto" w:fill="auto"/>
          <w:lang w:val="en-US" w:eastAsia="zh-CN"/>
        </w:rPr>
        <w:t>4.</w:t>
      </w:r>
      <w:r>
        <w:rPr>
          <w:rFonts w:hint="eastAsia"/>
          <w:shd w:val="clear" w:color="auto" w:fill="auto"/>
        </w:rPr>
        <w:t>关注的主要环境问题</w:t>
      </w:r>
      <w:r>
        <w:tab/>
      </w:r>
      <w:r>
        <w:fldChar w:fldCharType="begin"/>
      </w:r>
      <w:r>
        <w:instrText xml:space="preserve"> PAGEREF _Toc4536 </w:instrText>
      </w:r>
      <w:r>
        <w:fldChar w:fldCharType="separate"/>
      </w:r>
      <w:r>
        <w:t>3</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_Toc11021 </w:instrText>
      </w:r>
      <w:r>
        <w:rPr>
          <w:rFonts w:hint="eastAsia"/>
          <w:shd w:val="clear" w:color="auto" w:fill="auto"/>
        </w:rPr>
        <w:fldChar w:fldCharType="separate"/>
      </w:r>
      <w:r>
        <w:rPr>
          <w:rFonts w:hint="eastAsia"/>
          <w:shd w:val="clear" w:color="auto" w:fill="auto"/>
        </w:rPr>
        <w:t>5</w:t>
      </w:r>
      <w:r>
        <w:rPr>
          <w:rFonts w:hint="eastAsia"/>
          <w:shd w:val="clear" w:color="auto" w:fill="auto"/>
          <w:lang w:val="en-US" w:eastAsia="zh-CN"/>
        </w:rPr>
        <w:t>.</w:t>
      </w:r>
      <w:r>
        <w:rPr>
          <w:rFonts w:hint="eastAsia"/>
          <w:shd w:val="clear" w:color="auto" w:fill="auto"/>
        </w:rPr>
        <w:t>报告书主要结论</w:t>
      </w:r>
      <w:r>
        <w:tab/>
      </w:r>
      <w:r>
        <w:fldChar w:fldCharType="begin"/>
      </w:r>
      <w:r>
        <w:instrText xml:space="preserve"> PAGEREF _Toc11021 </w:instrText>
      </w:r>
      <w:r>
        <w:fldChar w:fldCharType="separate"/>
      </w:r>
      <w:r>
        <w:t>3</w:t>
      </w:r>
      <w:r>
        <w:fldChar w:fldCharType="end"/>
      </w:r>
      <w:r>
        <w:rPr>
          <w:rFonts w:hint="eastAsia"/>
          <w:color w:val="auto"/>
          <w:shd w:val="clear" w:color="auto" w:fill="auto"/>
        </w:rPr>
        <w:fldChar w:fldCharType="end"/>
      </w:r>
    </w:p>
    <w:p>
      <w:pPr>
        <w:pStyle w:val="20"/>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_Toc30387 </w:instrText>
      </w:r>
      <w:r>
        <w:rPr>
          <w:rFonts w:hint="eastAsia"/>
          <w:shd w:val="clear" w:color="auto" w:fill="auto"/>
        </w:rPr>
        <w:fldChar w:fldCharType="separate"/>
      </w:r>
      <w:r>
        <w:rPr>
          <w:shd w:val="clear" w:fill="auto"/>
        </w:rPr>
        <w:t xml:space="preserve">第1章 </w:t>
      </w:r>
      <w:r>
        <w:rPr>
          <w:rFonts w:hint="eastAsia"/>
          <w:shd w:val="clear" w:color="auto" w:fill="auto"/>
        </w:rPr>
        <w:t>总</w:t>
      </w:r>
      <w:r>
        <w:rPr>
          <w:rFonts w:hint="eastAsia"/>
          <w:shd w:val="clear" w:color="auto" w:fill="auto"/>
          <w:lang w:val="en-US" w:eastAsia="zh-CN"/>
        </w:rPr>
        <w:t>则</w:t>
      </w:r>
      <w:r>
        <w:tab/>
      </w:r>
      <w:r>
        <w:fldChar w:fldCharType="begin"/>
      </w:r>
      <w:r>
        <w:instrText xml:space="preserve"> PAGEREF _Toc30387 </w:instrText>
      </w:r>
      <w:r>
        <w:fldChar w:fldCharType="separate"/>
      </w:r>
      <w:r>
        <w:t>5</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_Toc4415 </w:instrText>
      </w:r>
      <w:r>
        <w:rPr>
          <w:rFonts w:hint="eastAsia"/>
          <w:shd w:val="clear" w:color="auto" w:fill="auto"/>
        </w:rPr>
        <w:fldChar w:fldCharType="separate"/>
      </w:r>
      <w:r>
        <w:rPr>
          <w:shd w:val="clear" w:color="auto" w:fill="auto"/>
        </w:rPr>
        <w:t>1.1</w:t>
      </w:r>
      <w:r>
        <w:rPr>
          <w:rFonts w:hint="eastAsia"/>
          <w:shd w:val="clear" w:color="auto" w:fill="auto"/>
          <w:lang w:val="en-US" w:eastAsia="zh-CN"/>
        </w:rPr>
        <w:t xml:space="preserve"> </w:t>
      </w:r>
      <w:r>
        <w:rPr>
          <w:shd w:val="clear" w:color="auto" w:fill="auto"/>
        </w:rPr>
        <w:t>评价目的、指导思想</w:t>
      </w:r>
      <w:r>
        <w:tab/>
      </w:r>
      <w:r>
        <w:fldChar w:fldCharType="begin"/>
      </w:r>
      <w:r>
        <w:instrText xml:space="preserve"> PAGEREF _Toc4415 </w:instrText>
      </w:r>
      <w:r>
        <w:fldChar w:fldCharType="separate"/>
      </w:r>
      <w:r>
        <w:t>5</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_Toc15315 </w:instrText>
      </w:r>
      <w:r>
        <w:rPr>
          <w:rFonts w:hint="eastAsia"/>
          <w:shd w:val="clear" w:color="auto" w:fill="auto"/>
        </w:rPr>
        <w:fldChar w:fldCharType="separate"/>
      </w:r>
      <w:r>
        <w:rPr>
          <w:rFonts w:hint="eastAsia"/>
          <w:shd w:val="clear" w:color="auto" w:fill="auto"/>
        </w:rPr>
        <w:t>1.2</w:t>
      </w:r>
      <w:r>
        <w:rPr>
          <w:rFonts w:hint="eastAsia"/>
          <w:shd w:val="clear" w:color="auto" w:fill="auto"/>
          <w:lang w:val="en-US" w:eastAsia="zh-CN"/>
        </w:rPr>
        <w:t xml:space="preserve"> </w:t>
      </w:r>
      <w:r>
        <w:rPr>
          <w:rFonts w:hint="eastAsia"/>
          <w:shd w:val="clear" w:color="auto" w:fill="auto"/>
        </w:rPr>
        <w:t>编制依据</w:t>
      </w:r>
      <w:r>
        <w:tab/>
      </w:r>
      <w:r>
        <w:fldChar w:fldCharType="begin"/>
      </w:r>
      <w:r>
        <w:instrText xml:space="preserve"> PAGEREF _Toc15315 </w:instrText>
      </w:r>
      <w:r>
        <w:fldChar w:fldCharType="separate"/>
      </w:r>
      <w:r>
        <w:t>5</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_Toc13659 </w:instrText>
      </w:r>
      <w:r>
        <w:rPr>
          <w:rFonts w:hint="eastAsia"/>
          <w:shd w:val="clear" w:color="auto" w:fill="auto"/>
        </w:rPr>
        <w:fldChar w:fldCharType="separate"/>
      </w:r>
      <w:r>
        <w:rPr>
          <w:rFonts w:hint="eastAsia"/>
          <w:shd w:val="clear" w:color="auto" w:fill="auto"/>
        </w:rPr>
        <w:t>1.3 评价因子与评价标准</w:t>
      </w:r>
      <w:r>
        <w:tab/>
      </w:r>
      <w:r>
        <w:fldChar w:fldCharType="begin"/>
      </w:r>
      <w:r>
        <w:instrText xml:space="preserve"> PAGEREF _Toc13659 </w:instrText>
      </w:r>
      <w:r>
        <w:fldChar w:fldCharType="separate"/>
      </w:r>
      <w:r>
        <w:t>8</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_Toc25894 </w:instrText>
      </w:r>
      <w:r>
        <w:rPr>
          <w:rFonts w:hint="eastAsia"/>
          <w:shd w:val="clear" w:color="auto" w:fill="auto"/>
        </w:rPr>
        <w:fldChar w:fldCharType="separate"/>
      </w:r>
      <w:r>
        <w:rPr>
          <w:rFonts w:hint="eastAsia"/>
          <w:highlight w:val="none"/>
          <w:shd w:val="clear" w:color="auto" w:fill="auto"/>
        </w:rPr>
        <w:t>1.4 评价等级和评价重点</w:t>
      </w:r>
      <w:r>
        <w:tab/>
      </w:r>
      <w:r>
        <w:fldChar w:fldCharType="begin"/>
      </w:r>
      <w:r>
        <w:instrText xml:space="preserve"> PAGEREF _Toc25894 </w:instrText>
      </w:r>
      <w:r>
        <w:fldChar w:fldCharType="separate"/>
      </w:r>
      <w:r>
        <w:t>11</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_Toc10253 </w:instrText>
      </w:r>
      <w:r>
        <w:rPr>
          <w:rFonts w:hint="eastAsia"/>
          <w:shd w:val="clear" w:color="auto" w:fill="auto"/>
        </w:rPr>
        <w:fldChar w:fldCharType="separate"/>
      </w:r>
      <w:r>
        <w:rPr>
          <w:rFonts w:hint="eastAsia"/>
          <w:shd w:val="clear" w:color="auto" w:fill="auto"/>
        </w:rPr>
        <w:t>1.5 评价范围及环境保护目标</w:t>
      </w:r>
      <w:r>
        <w:tab/>
      </w:r>
      <w:r>
        <w:fldChar w:fldCharType="begin"/>
      </w:r>
      <w:r>
        <w:instrText xml:space="preserve"> PAGEREF _Toc10253 </w:instrText>
      </w:r>
      <w:r>
        <w:fldChar w:fldCharType="separate"/>
      </w:r>
      <w:r>
        <w:t>12</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_Toc12853 </w:instrText>
      </w:r>
      <w:r>
        <w:rPr>
          <w:rFonts w:hint="eastAsia"/>
          <w:shd w:val="clear" w:color="auto" w:fill="auto"/>
        </w:rPr>
        <w:fldChar w:fldCharType="separate"/>
      </w:r>
      <w:r>
        <w:rPr>
          <w:rFonts w:hint="eastAsia"/>
          <w:highlight w:val="none"/>
          <w:shd w:val="clear" w:color="auto" w:fill="auto"/>
          <w:lang w:val="en-US" w:eastAsia="zh-CN"/>
        </w:rPr>
        <w:t>1.6 选址可行性论证</w:t>
      </w:r>
      <w:r>
        <w:tab/>
      </w:r>
      <w:r>
        <w:fldChar w:fldCharType="begin"/>
      </w:r>
      <w:r>
        <w:instrText xml:space="preserve"> PAGEREF _Toc12853 </w:instrText>
      </w:r>
      <w:r>
        <w:fldChar w:fldCharType="separate"/>
      </w:r>
      <w:r>
        <w:t>14</w:t>
      </w:r>
      <w:r>
        <w:fldChar w:fldCharType="end"/>
      </w:r>
      <w:r>
        <w:rPr>
          <w:rFonts w:hint="eastAsia"/>
          <w:color w:val="auto"/>
          <w:shd w:val="clear" w:color="auto" w:fill="auto"/>
        </w:rPr>
        <w:fldChar w:fldCharType="end"/>
      </w:r>
    </w:p>
    <w:p>
      <w:pPr>
        <w:pStyle w:val="20"/>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_Toc32281 </w:instrText>
      </w:r>
      <w:r>
        <w:rPr>
          <w:rFonts w:hint="eastAsia"/>
          <w:shd w:val="clear" w:color="auto" w:fill="auto"/>
        </w:rPr>
        <w:fldChar w:fldCharType="separate"/>
      </w:r>
      <w:r>
        <w:rPr>
          <w:rFonts w:hint="eastAsia"/>
          <w:shd w:val="clear" w:color="auto" w:fill="auto"/>
          <w:lang w:val="en-US" w:eastAsia="zh-CN"/>
        </w:rPr>
        <w:t>第2章 建设项目</w:t>
      </w:r>
      <w:r>
        <w:rPr>
          <w:rFonts w:hint="eastAsia"/>
          <w:shd w:val="clear" w:color="auto" w:fill="auto"/>
        </w:rPr>
        <w:t>工程</w:t>
      </w:r>
      <w:r>
        <w:rPr>
          <w:rFonts w:hint="eastAsia"/>
          <w:shd w:val="clear" w:color="auto" w:fill="auto"/>
          <w:lang w:val="en-US" w:eastAsia="zh-CN"/>
        </w:rPr>
        <w:t>分析</w:t>
      </w:r>
      <w:r>
        <w:tab/>
      </w:r>
      <w:r>
        <w:fldChar w:fldCharType="begin"/>
      </w:r>
      <w:r>
        <w:instrText xml:space="preserve"> PAGEREF _Toc32281 </w:instrText>
      </w:r>
      <w:r>
        <w:fldChar w:fldCharType="separate"/>
      </w:r>
      <w:r>
        <w:t>26</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_Toc29320 </w:instrText>
      </w:r>
      <w:r>
        <w:rPr>
          <w:rFonts w:hint="eastAsia"/>
          <w:shd w:val="clear" w:color="auto" w:fill="auto"/>
        </w:rPr>
        <w:fldChar w:fldCharType="separate"/>
      </w:r>
      <w:r>
        <w:rPr>
          <w:rFonts w:hint="eastAsia"/>
          <w:shd w:val="clear" w:color="auto" w:fill="auto"/>
        </w:rPr>
        <w:t>2.1 工程概况</w:t>
      </w:r>
      <w:r>
        <w:tab/>
      </w:r>
      <w:r>
        <w:fldChar w:fldCharType="begin"/>
      </w:r>
      <w:r>
        <w:instrText xml:space="preserve"> PAGEREF _Toc29320 </w:instrText>
      </w:r>
      <w:r>
        <w:fldChar w:fldCharType="separate"/>
      </w:r>
      <w:r>
        <w:t>26</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_Toc1879 </w:instrText>
      </w:r>
      <w:r>
        <w:rPr>
          <w:rFonts w:hint="eastAsia"/>
          <w:shd w:val="clear" w:color="auto" w:fill="auto"/>
        </w:rPr>
        <w:fldChar w:fldCharType="separate"/>
      </w:r>
      <w:r>
        <w:rPr>
          <w:rFonts w:hint="eastAsia"/>
          <w:shd w:val="clear" w:color="auto" w:fill="auto"/>
          <w:lang w:val="en-US" w:eastAsia="zh-CN"/>
        </w:rPr>
        <w:t>2.2 工程分析</w:t>
      </w:r>
      <w:r>
        <w:tab/>
      </w:r>
      <w:r>
        <w:fldChar w:fldCharType="begin"/>
      </w:r>
      <w:r>
        <w:instrText xml:space="preserve"> PAGEREF _Toc1879 </w:instrText>
      </w:r>
      <w:r>
        <w:fldChar w:fldCharType="separate"/>
      </w:r>
      <w:r>
        <w:t>41</w:t>
      </w:r>
      <w:r>
        <w:fldChar w:fldCharType="end"/>
      </w:r>
      <w:r>
        <w:rPr>
          <w:rFonts w:hint="eastAsia"/>
          <w:color w:val="auto"/>
          <w:shd w:val="clear" w:color="auto" w:fill="auto"/>
        </w:rPr>
        <w:fldChar w:fldCharType="end"/>
      </w:r>
    </w:p>
    <w:p>
      <w:pPr>
        <w:pStyle w:val="20"/>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_Toc17221 </w:instrText>
      </w:r>
      <w:r>
        <w:rPr>
          <w:rFonts w:hint="eastAsia"/>
          <w:shd w:val="clear" w:color="auto" w:fill="auto"/>
        </w:rPr>
        <w:fldChar w:fldCharType="separate"/>
      </w:r>
      <w:r>
        <w:rPr>
          <w:rFonts w:hint="eastAsia"/>
          <w:shd w:val="clear" w:color="auto" w:fill="auto"/>
          <w:lang w:val="en-US" w:eastAsia="zh-CN"/>
        </w:rPr>
        <w:t>第3章</w:t>
      </w:r>
      <w:r>
        <w:rPr>
          <w:rFonts w:hint="eastAsia"/>
          <w:shd w:val="clear" w:color="auto" w:fill="auto"/>
        </w:rPr>
        <w:t xml:space="preserve"> 环境质量现状调查与评价</w:t>
      </w:r>
      <w:r>
        <w:tab/>
      </w:r>
      <w:r>
        <w:fldChar w:fldCharType="begin"/>
      </w:r>
      <w:r>
        <w:instrText xml:space="preserve"> PAGEREF _Toc17221 </w:instrText>
      </w:r>
      <w:r>
        <w:fldChar w:fldCharType="separate"/>
      </w:r>
      <w:r>
        <w:t>59</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_Toc28251 </w:instrText>
      </w:r>
      <w:r>
        <w:rPr>
          <w:rFonts w:hint="eastAsia"/>
          <w:shd w:val="clear" w:color="auto" w:fill="auto"/>
        </w:rPr>
        <w:fldChar w:fldCharType="separate"/>
      </w:r>
      <w:r>
        <w:rPr>
          <w:rFonts w:hint="eastAsia"/>
          <w:shd w:val="clear" w:color="auto" w:fill="auto"/>
          <w:lang w:val="en-US" w:eastAsia="zh-CN"/>
        </w:rPr>
        <w:t>3</w:t>
      </w:r>
      <w:r>
        <w:rPr>
          <w:rFonts w:hint="eastAsia"/>
          <w:shd w:val="clear" w:color="auto" w:fill="auto"/>
        </w:rPr>
        <w:t>.1 自然环境概况</w:t>
      </w:r>
      <w:r>
        <w:tab/>
      </w:r>
      <w:r>
        <w:fldChar w:fldCharType="begin"/>
      </w:r>
      <w:r>
        <w:instrText xml:space="preserve"> PAGEREF _Toc28251 </w:instrText>
      </w:r>
      <w:r>
        <w:fldChar w:fldCharType="separate"/>
      </w:r>
      <w:r>
        <w:t>59</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_Toc9896 </w:instrText>
      </w:r>
      <w:r>
        <w:rPr>
          <w:rFonts w:hint="eastAsia"/>
          <w:shd w:val="clear" w:color="auto" w:fill="auto"/>
        </w:rPr>
        <w:fldChar w:fldCharType="separate"/>
      </w:r>
      <w:r>
        <w:rPr>
          <w:rFonts w:hint="eastAsia"/>
          <w:highlight w:val="none"/>
          <w:shd w:val="clear" w:color="auto" w:fill="auto"/>
          <w:lang w:val="en-US" w:eastAsia="zh-CN"/>
        </w:rPr>
        <w:t>3</w:t>
      </w:r>
      <w:r>
        <w:rPr>
          <w:rFonts w:hint="eastAsia"/>
          <w:highlight w:val="none"/>
          <w:shd w:val="clear" w:color="auto" w:fill="auto"/>
        </w:rPr>
        <w:t>.2 大气环境质量现状监测与评价</w:t>
      </w:r>
      <w:r>
        <w:tab/>
      </w:r>
      <w:r>
        <w:fldChar w:fldCharType="begin"/>
      </w:r>
      <w:r>
        <w:instrText xml:space="preserve"> PAGEREF _Toc9896 </w:instrText>
      </w:r>
      <w:r>
        <w:fldChar w:fldCharType="separate"/>
      </w:r>
      <w:r>
        <w:t>67</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_Toc3712 </w:instrText>
      </w:r>
      <w:r>
        <w:rPr>
          <w:rFonts w:hint="eastAsia"/>
          <w:shd w:val="clear" w:color="auto" w:fill="auto"/>
        </w:rPr>
        <w:fldChar w:fldCharType="separate"/>
      </w:r>
      <w:r>
        <w:rPr>
          <w:rFonts w:hint="eastAsia"/>
          <w:shd w:val="clear" w:color="auto" w:fill="auto"/>
          <w:lang w:val="en-US" w:eastAsia="zh-CN"/>
        </w:rPr>
        <w:t>3</w:t>
      </w:r>
      <w:r>
        <w:rPr>
          <w:rFonts w:hint="eastAsia"/>
          <w:shd w:val="clear" w:color="auto" w:fill="auto"/>
        </w:rPr>
        <w:t>.3 地表水环境质量现状监测与评价</w:t>
      </w:r>
      <w:r>
        <w:tab/>
      </w:r>
      <w:r>
        <w:fldChar w:fldCharType="begin"/>
      </w:r>
      <w:r>
        <w:instrText xml:space="preserve"> PAGEREF _Toc3712 </w:instrText>
      </w:r>
      <w:r>
        <w:fldChar w:fldCharType="separate"/>
      </w:r>
      <w:r>
        <w:t>70</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_Toc11375 </w:instrText>
      </w:r>
      <w:r>
        <w:rPr>
          <w:rFonts w:hint="eastAsia"/>
          <w:shd w:val="clear" w:color="auto" w:fill="auto"/>
        </w:rPr>
        <w:fldChar w:fldCharType="separate"/>
      </w:r>
      <w:r>
        <w:rPr>
          <w:rFonts w:hint="eastAsia"/>
          <w:highlight w:val="none"/>
          <w:shd w:val="clear" w:color="auto" w:fill="auto"/>
          <w:lang w:val="en-US" w:eastAsia="zh-CN"/>
        </w:rPr>
        <w:t>3</w:t>
      </w:r>
      <w:r>
        <w:rPr>
          <w:rFonts w:hint="eastAsia"/>
          <w:highlight w:val="none"/>
          <w:shd w:val="clear" w:color="auto" w:fill="auto"/>
        </w:rPr>
        <w:t>.4 声环境质量现状监测与评价</w:t>
      </w:r>
      <w:r>
        <w:tab/>
      </w:r>
      <w:r>
        <w:fldChar w:fldCharType="begin"/>
      </w:r>
      <w:r>
        <w:instrText xml:space="preserve"> PAGEREF _Toc11375 </w:instrText>
      </w:r>
      <w:r>
        <w:fldChar w:fldCharType="separate"/>
      </w:r>
      <w:r>
        <w:t>74</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_Toc31538 </w:instrText>
      </w:r>
      <w:r>
        <w:rPr>
          <w:rFonts w:hint="eastAsia"/>
          <w:shd w:val="clear" w:color="auto" w:fill="auto"/>
        </w:rPr>
        <w:fldChar w:fldCharType="separate"/>
      </w:r>
      <w:r>
        <w:rPr>
          <w:rFonts w:hint="eastAsia"/>
          <w:highlight w:val="none"/>
          <w:shd w:val="clear" w:color="auto" w:fill="auto"/>
          <w:lang w:val="en-US" w:eastAsia="zh-CN"/>
        </w:rPr>
        <w:t>3</w:t>
      </w:r>
      <w:r>
        <w:rPr>
          <w:rFonts w:hint="eastAsia"/>
          <w:highlight w:val="none"/>
          <w:shd w:val="clear" w:color="auto" w:fill="auto"/>
        </w:rPr>
        <w:t>.5 底泥环境质量现状监测与评价</w:t>
      </w:r>
      <w:r>
        <w:tab/>
      </w:r>
      <w:r>
        <w:fldChar w:fldCharType="begin"/>
      </w:r>
      <w:r>
        <w:instrText xml:space="preserve"> PAGEREF _Toc31538 </w:instrText>
      </w:r>
      <w:r>
        <w:fldChar w:fldCharType="separate"/>
      </w:r>
      <w:r>
        <w:t>76</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_Toc23146 </w:instrText>
      </w:r>
      <w:r>
        <w:rPr>
          <w:rFonts w:hint="eastAsia"/>
          <w:shd w:val="clear" w:color="auto" w:fill="auto"/>
        </w:rPr>
        <w:fldChar w:fldCharType="separate"/>
      </w:r>
      <w:r>
        <w:rPr>
          <w:rFonts w:hint="eastAsia"/>
          <w:highlight w:val="none"/>
          <w:shd w:val="clear" w:color="auto" w:fill="auto"/>
          <w:lang w:val="en-US" w:eastAsia="zh-CN"/>
        </w:rPr>
        <w:t>3</w:t>
      </w:r>
      <w:r>
        <w:rPr>
          <w:rFonts w:hint="eastAsia"/>
          <w:highlight w:val="none"/>
          <w:shd w:val="clear" w:color="auto" w:fill="auto"/>
        </w:rPr>
        <w:t>.6 生态环境现状调查与评价</w:t>
      </w:r>
      <w:r>
        <w:tab/>
      </w:r>
      <w:r>
        <w:fldChar w:fldCharType="begin"/>
      </w:r>
      <w:r>
        <w:instrText xml:space="preserve"> PAGEREF _Toc23146 </w:instrText>
      </w:r>
      <w:r>
        <w:fldChar w:fldCharType="separate"/>
      </w:r>
      <w:r>
        <w:t>78</w:t>
      </w:r>
      <w:r>
        <w:fldChar w:fldCharType="end"/>
      </w:r>
      <w:r>
        <w:rPr>
          <w:rFonts w:hint="eastAsia"/>
          <w:color w:val="auto"/>
          <w:shd w:val="clear" w:color="auto" w:fill="auto"/>
        </w:rPr>
        <w:fldChar w:fldCharType="end"/>
      </w:r>
    </w:p>
    <w:p>
      <w:pPr>
        <w:pStyle w:val="20"/>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_Toc19116 </w:instrText>
      </w:r>
      <w:r>
        <w:rPr>
          <w:rFonts w:hint="eastAsia"/>
          <w:shd w:val="clear" w:color="auto" w:fill="auto"/>
        </w:rPr>
        <w:fldChar w:fldCharType="separate"/>
      </w:r>
      <w:r>
        <w:rPr>
          <w:rFonts w:hint="eastAsia"/>
        </w:rPr>
        <w:t>第4章 环境影响预测与评价</w:t>
      </w:r>
      <w:r>
        <w:tab/>
      </w:r>
      <w:r>
        <w:fldChar w:fldCharType="begin"/>
      </w:r>
      <w:r>
        <w:instrText xml:space="preserve"> PAGEREF _Toc19116 </w:instrText>
      </w:r>
      <w:r>
        <w:fldChar w:fldCharType="separate"/>
      </w:r>
      <w:r>
        <w:t>94</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_Toc16084 </w:instrText>
      </w:r>
      <w:r>
        <w:rPr>
          <w:rFonts w:hint="eastAsia"/>
          <w:shd w:val="clear" w:color="auto" w:fill="auto"/>
        </w:rPr>
        <w:fldChar w:fldCharType="separate"/>
      </w:r>
      <w:r>
        <w:rPr>
          <w:rFonts w:hint="eastAsia"/>
          <w:lang w:val="en-US" w:eastAsia="zh-CN"/>
        </w:rPr>
        <w:t>4.1</w:t>
      </w:r>
      <w:r>
        <w:rPr>
          <w:rFonts w:hint="eastAsia"/>
        </w:rPr>
        <w:t>水文动力、冲淤、水质、沉积物环境影响分析</w:t>
      </w:r>
      <w:r>
        <w:tab/>
      </w:r>
      <w:r>
        <w:fldChar w:fldCharType="begin"/>
      </w:r>
      <w:r>
        <w:instrText xml:space="preserve"> PAGEREF _Toc16084 </w:instrText>
      </w:r>
      <w:r>
        <w:fldChar w:fldCharType="separate"/>
      </w:r>
      <w:r>
        <w:t>94</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_Toc1927 </w:instrText>
      </w:r>
      <w:r>
        <w:rPr>
          <w:rFonts w:hint="eastAsia"/>
          <w:shd w:val="clear" w:color="auto" w:fill="auto"/>
        </w:rPr>
        <w:fldChar w:fldCharType="separate"/>
      </w:r>
      <w:r>
        <w:rPr>
          <w:rFonts w:hint="eastAsia"/>
          <w:shd w:val="clear" w:color="auto" w:fill="auto"/>
          <w:lang w:val="en-US" w:eastAsia="zh-CN"/>
        </w:rPr>
        <w:t>4</w:t>
      </w:r>
      <w:r>
        <w:rPr>
          <w:rFonts w:hint="eastAsia"/>
          <w:shd w:val="clear" w:color="auto" w:fill="auto"/>
        </w:rPr>
        <w:t>.</w:t>
      </w:r>
      <w:r>
        <w:rPr>
          <w:rFonts w:hint="eastAsia"/>
          <w:shd w:val="clear" w:color="auto" w:fill="auto"/>
          <w:lang w:val="en-US" w:eastAsia="zh-CN"/>
        </w:rPr>
        <w:t>2</w:t>
      </w:r>
      <w:r>
        <w:rPr>
          <w:rFonts w:hint="eastAsia"/>
          <w:shd w:val="clear" w:color="auto" w:fill="auto"/>
        </w:rPr>
        <w:t xml:space="preserve"> 施工期环境影响分析</w:t>
      </w:r>
      <w:r>
        <w:tab/>
      </w:r>
      <w:r>
        <w:fldChar w:fldCharType="begin"/>
      </w:r>
      <w:r>
        <w:instrText xml:space="preserve"> PAGEREF _Toc1927 </w:instrText>
      </w:r>
      <w:r>
        <w:fldChar w:fldCharType="separate"/>
      </w:r>
      <w:r>
        <w:t>96</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_Toc8730 </w:instrText>
      </w:r>
      <w:r>
        <w:rPr>
          <w:rFonts w:hint="eastAsia"/>
          <w:shd w:val="clear" w:color="auto" w:fill="auto"/>
        </w:rPr>
        <w:fldChar w:fldCharType="separate"/>
      </w:r>
      <w:r>
        <w:rPr>
          <w:rFonts w:hint="eastAsia"/>
          <w:shd w:val="clear" w:color="auto" w:fill="auto"/>
          <w:lang w:val="en-US" w:eastAsia="zh-CN"/>
        </w:rPr>
        <w:t>4</w:t>
      </w:r>
      <w:r>
        <w:rPr>
          <w:rFonts w:hint="eastAsia"/>
          <w:shd w:val="clear" w:color="auto" w:fill="auto"/>
        </w:rPr>
        <w:t>.</w:t>
      </w:r>
      <w:r>
        <w:rPr>
          <w:rFonts w:hint="eastAsia"/>
          <w:shd w:val="clear" w:color="auto" w:fill="auto"/>
          <w:lang w:val="en-US" w:eastAsia="zh-CN"/>
        </w:rPr>
        <w:t>3</w:t>
      </w:r>
      <w:r>
        <w:rPr>
          <w:rFonts w:hint="eastAsia"/>
          <w:shd w:val="clear" w:color="auto" w:fill="auto"/>
        </w:rPr>
        <w:t xml:space="preserve"> 营运期环境影响分析</w:t>
      </w:r>
      <w:r>
        <w:tab/>
      </w:r>
      <w:r>
        <w:fldChar w:fldCharType="begin"/>
      </w:r>
      <w:r>
        <w:instrText xml:space="preserve"> PAGEREF _Toc8730 </w:instrText>
      </w:r>
      <w:r>
        <w:fldChar w:fldCharType="separate"/>
      </w:r>
      <w:r>
        <w:t>109</w:t>
      </w:r>
      <w:r>
        <w:fldChar w:fldCharType="end"/>
      </w:r>
      <w:r>
        <w:rPr>
          <w:rFonts w:hint="eastAsia"/>
          <w:color w:val="auto"/>
          <w:shd w:val="clear" w:color="auto" w:fill="auto"/>
        </w:rPr>
        <w:fldChar w:fldCharType="end"/>
      </w:r>
    </w:p>
    <w:p>
      <w:pPr>
        <w:pStyle w:val="20"/>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_Toc1991 </w:instrText>
      </w:r>
      <w:r>
        <w:rPr>
          <w:rFonts w:hint="eastAsia"/>
          <w:shd w:val="clear" w:color="auto" w:fill="auto"/>
        </w:rPr>
        <w:fldChar w:fldCharType="separate"/>
      </w:r>
      <w:r>
        <w:rPr>
          <w:rFonts w:hint="eastAsia"/>
          <w:shd w:val="clear" w:color="auto" w:fill="auto"/>
        </w:rPr>
        <w:t>第</w:t>
      </w:r>
      <w:r>
        <w:rPr>
          <w:rFonts w:hint="eastAsia"/>
          <w:shd w:val="clear" w:color="auto" w:fill="auto"/>
          <w:lang w:val="en-US" w:eastAsia="zh-CN"/>
        </w:rPr>
        <w:t>5</w:t>
      </w:r>
      <w:r>
        <w:rPr>
          <w:rFonts w:hint="eastAsia"/>
          <w:shd w:val="clear" w:color="auto" w:fill="auto"/>
        </w:rPr>
        <w:t>章 环境风险评价</w:t>
      </w:r>
      <w:r>
        <w:tab/>
      </w:r>
      <w:r>
        <w:fldChar w:fldCharType="begin"/>
      </w:r>
      <w:r>
        <w:instrText xml:space="preserve"> PAGEREF _Toc1991 </w:instrText>
      </w:r>
      <w:r>
        <w:fldChar w:fldCharType="separate"/>
      </w:r>
      <w:r>
        <w:t>123</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_Toc15423 </w:instrText>
      </w:r>
      <w:r>
        <w:rPr>
          <w:rFonts w:hint="eastAsia"/>
          <w:shd w:val="clear" w:color="auto" w:fill="auto"/>
        </w:rPr>
        <w:fldChar w:fldCharType="separate"/>
      </w:r>
      <w:r>
        <w:rPr>
          <w:rFonts w:hint="eastAsia"/>
          <w:shd w:val="clear" w:color="auto" w:fill="auto"/>
          <w:lang w:val="en-US" w:eastAsia="zh-CN"/>
        </w:rPr>
        <w:t>5</w:t>
      </w:r>
      <w:r>
        <w:rPr>
          <w:shd w:val="clear" w:color="auto" w:fill="auto"/>
        </w:rPr>
        <w:t>.1评价目的</w:t>
      </w:r>
      <w:r>
        <w:tab/>
      </w:r>
      <w:r>
        <w:fldChar w:fldCharType="begin"/>
      </w:r>
      <w:r>
        <w:instrText xml:space="preserve"> PAGEREF _Toc15423 </w:instrText>
      </w:r>
      <w:r>
        <w:fldChar w:fldCharType="separate"/>
      </w:r>
      <w:r>
        <w:t>123</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_Toc7498 </w:instrText>
      </w:r>
      <w:r>
        <w:rPr>
          <w:rFonts w:hint="eastAsia"/>
          <w:shd w:val="clear" w:color="auto" w:fill="auto"/>
        </w:rPr>
        <w:fldChar w:fldCharType="separate"/>
      </w:r>
      <w:r>
        <w:rPr>
          <w:rFonts w:hint="eastAsia"/>
          <w:lang w:val="en-US" w:eastAsia="zh-CN"/>
        </w:rPr>
        <w:t>5.2评价依据</w:t>
      </w:r>
      <w:r>
        <w:tab/>
      </w:r>
      <w:r>
        <w:fldChar w:fldCharType="begin"/>
      </w:r>
      <w:r>
        <w:instrText xml:space="preserve"> PAGEREF _Toc7498 </w:instrText>
      </w:r>
      <w:r>
        <w:fldChar w:fldCharType="separate"/>
      </w:r>
      <w:r>
        <w:t>123</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_Toc12800 </w:instrText>
      </w:r>
      <w:r>
        <w:rPr>
          <w:rFonts w:hint="eastAsia"/>
          <w:shd w:val="clear" w:color="auto" w:fill="auto"/>
        </w:rPr>
        <w:fldChar w:fldCharType="separate"/>
      </w:r>
      <w:r>
        <w:rPr>
          <w:rFonts w:hint="eastAsia"/>
          <w:lang w:val="en-US" w:eastAsia="zh-CN"/>
        </w:rPr>
        <w:t>5.3环境敏感目标概况</w:t>
      </w:r>
      <w:r>
        <w:tab/>
      </w:r>
      <w:r>
        <w:fldChar w:fldCharType="begin"/>
      </w:r>
      <w:r>
        <w:instrText xml:space="preserve"> PAGEREF _Toc12800 </w:instrText>
      </w:r>
      <w:r>
        <w:fldChar w:fldCharType="separate"/>
      </w:r>
      <w:r>
        <w:t>124</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_Toc29386 </w:instrText>
      </w:r>
      <w:r>
        <w:rPr>
          <w:rFonts w:hint="eastAsia"/>
          <w:shd w:val="clear" w:color="auto" w:fill="auto"/>
        </w:rPr>
        <w:fldChar w:fldCharType="separate"/>
      </w:r>
      <w:r>
        <w:rPr>
          <w:rFonts w:hint="eastAsia"/>
          <w:lang w:val="en-US" w:eastAsia="zh-CN"/>
        </w:rPr>
        <w:t>5</w:t>
      </w:r>
      <w:r>
        <w:t>.</w:t>
      </w:r>
      <w:r>
        <w:rPr>
          <w:rFonts w:hint="eastAsia"/>
          <w:lang w:val="en-US" w:eastAsia="zh-CN"/>
        </w:rPr>
        <w:t xml:space="preserve">4 </w:t>
      </w:r>
      <w:r>
        <w:t>风险识别</w:t>
      </w:r>
      <w:r>
        <w:tab/>
      </w:r>
      <w:r>
        <w:fldChar w:fldCharType="begin"/>
      </w:r>
      <w:r>
        <w:instrText xml:space="preserve"> PAGEREF _Toc29386 </w:instrText>
      </w:r>
      <w:r>
        <w:fldChar w:fldCharType="separate"/>
      </w:r>
      <w:r>
        <w:t>124</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_Toc91 </w:instrText>
      </w:r>
      <w:r>
        <w:rPr>
          <w:rFonts w:hint="eastAsia"/>
          <w:shd w:val="clear" w:color="auto" w:fill="auto"/>
        </w:rPr>
        <w:fldChar w:fldCharType="separate"/>
      </w:r>
      <w:r>
        <w:rPr>
          <w:rFonts w:hint="eastAsia"/>
          <w:lang w:val="en-US" w:eastAsia="zh-CN"/>
        </w:rPr>
        <w:t>5.5 环境风险分析</w:t>
      </w:r>
      <w:r>
        <w:tab/>
      </w:r>
      <w:r>
        <w:fldChar w:fldCharType="begin"/>
      </w:r>
      <w:r>
        <w:instrText xml:space="preserve"> PAGEREF _Toc91 </w:instrText>
      </w:r>
      <w:r>
        <w:fldChar w:fldCharType="separate"/>
      </w:r>
      <w:r>
        <w:t>125</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_Toc16845 </w:instrText>
      </w:r>
      <w:r>
        <w:rPr>
          <w:rFonts w:hint="eastAsia"/>
          <w:shd w:val="clear" w:color="auto" w:fill="auto"/>
        </w:rPr>
        <w:fldChar w:fldCharType="separate"/>
      </w:r>
      <w:r>
        <w:rPr>
          <w:rFonts w:hint="eastAsia"/>
          <w:shd w:val="clear" w:color="auto" w:fill="auto"/>
          <w:lang w:val="en-US" w:eastAsia="zh-CN"/>
        </w:rPr>
        <w:t>5</w:t>
      </w:r>
      <w:r>
        <w:rPr>
          <w:rFonts w:hint="eastAsia"/>
          <w:shd w:val="clear" w:color="auto" w:fill="auto"/>
        </w:rPr>
        <w:t>.</w:t>
      </w:r>
      <w:r>
        <w:rPr>
          <w:rFonts w:hint="eastAsia"/>
          <w:shd w:val="clear" w:color="auto" w:fill="auto"/>
          <w:lang w:val="en-US" w:eastAsia="zh-CN"/>
        </w:rPr>
        <w:t xml:space="preserve">6 </w:t>
      </w:r>
      <w:r>
        <w:rPr>
          <w:shd w:val="clear" w:color="auto" w:fill="auto"/>
        </w:rPr>
        <w:t>风险防范措施和应急预案</w:t>
      </w:r>
      <w:r>
        <w:tab/>
      </w:r>
      <w:r>
        <w:fldChar w:fldCharType="begin"/>
      </w:r>
      <w:r>
        <w:instrText xml:space="preserve"> PAGEREF _Toc16845 </w:instrText>
      </w:r>
      <w:r>
        <w:fldChar w:fldCharType="separate"/>
      </w:r>
      <w:r>
        <w:t>130</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_Toc28981 </w:instrText>
      </w:r>
      <w:r>
        <w:rPr>
          <w:rFonts w:hint="eastAsia"/>
          <w:shd w:val="clear" w:color="auto" w:fill="auto"/>
        </w:rPr>
        <w:fldChar w:fldCharType="separate"/>
      </w:r>
      <w:r>
        <w:rPr>
          <w:rFonts w:hint="eastAsia"/>
          <w:szCs w:val="28"/>
          <w:shd w:val="clear" w:color="auto" w:fill="auto"/>
          <w:lang w:val="en-US" w:eastAsia="zh-CN"/>
        </w:rPr>
        <w:t>5</w:t>
      </w:r>
      <w:r>
        <w:rPr>
          <w:rFonts w:hint="eastAsia"/>
          <w:szCs w:val="28"/>
          <w:shd w:val="clear" w:color="auto" w:fill="auto"/>
        </w:rPr>
        <w:t>.</w:t>
      </w:r>
      <w:r>
        <w:rPr>
          <w:rFonts w:hint="eastAsia"/>
          <w:szCs w:val="28"/>
          <w:shd w:val="clear" w:color="auto" w:fill="auto"/>
          <w:lang w:val="en-US" w:eastAsia="zh-CN"/>
        </w:rPr>
        <w:t>7</w:t>
      </w:r>
      <w:r>
        <w:rPr>
          <w:rFonts w:hint="eastAsia"/>
          <w:szCs w:val="28"/>
          <w:shd w:val="clear" w:color="auto" w:fill="auto"/>
        </w:rPr>
        <w:t xml:space="preserve"> 应急监测方案</w:t>
      </w:r>
      <w:r>
        <w:tab/>
      </w:r>
      <w:r>
        <w:fldChar w:fldCharType="begin"/>
      </w:r>
      <w:r>
        <w:instrText xml:space="preserve"> PAGEREF _Toc28981 </w:instrText>
      </w:r>
      <w:r>
        <w:fldChar w:fldCharType="separate"/>
      </w:r>
      <w:r>
        <w:t>136</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_Toc12601 </w:instrText>
      </w:r>
      <w:r>
        <w:rPr>
          <w:rFonts w:hint="eastAsia"/>
          <w:shd w:val="clear" w:color="auto" w:fill="auto"/>
        </w:rPr>
        <w:fldChar w:fldCharType="separate"/>
      </w:r>
      <w:r>
        <w:rPr>
          <w:rFonts w:hint="eastAsia"/>
          <w:szCs w:val="28"/>
          <w:shd w:val="clear" w:color="auto" w:fill="auto"/>
          <w:lang w:val="en-US" w:eastAsia="zh-CN"/>
        </w:rPr>
        <w:t>5</w:t>
      </w:r>
      <w:r>
        <w:rPr>
          <w:rFonts w:hint="eastAsia"/>
          <w:szCs w:val="28"/>
          <w:shd w:val="clear" w:color="auto" w:fill="auto"/>
        </w:rPr>
        <w:t>.</w:t>
      </w:r>
      <w:r>
        <w:rPr>
          <w:rFonts w:hint="eastAsia"/>
          <w:szCs w:val="28"/>
          <w:shd w:val="clear" w:color="auto" w:fill="auto"/>
          <w:lang w:val="en-US" w:eastAsia="zh-CN"/>
        </w:rPr>
        <w:t>8</w:t>
      </w:r>
      <w:r>
        <w:rPr>
          <w:rFonts w:hint="eastAsia"/>
          <w:szCs w:val="28"/>
          <w:shd w:val="clear" w:color="auto" w:fill="auto"/>
        </w:rPr>
        <w:t xml:space="preserve"> 结论</w:t>
      </w:r>
      <w:r>
        <w:tab/>
      </w:r>
      <w:r>
        <w:fldChar w:fldCharType="begin"/>
      </w:r>
      <w:r>
        <w:instrText xml:space="preserve"> PAGEREF _Toc12601 </w:instrText>
      </w:r>
      <w:r>
        <w:fldChar w:fldCharType="separate"/>
      </w:r>
      <w:r>
        <w:t>137</w:t>
      </w:r>
      <w:r>
        <w:fldChar w:fldCharType="end"/>
      </w:r>
      <w:r>
        <w:rPr>
          <w:rFonts w:hint="eastAsia"/>
          <w:color w:val="auto"/>
          <w:shd w:val="clear" w:color="auto" w:fill="auto"/>
        </w:rPr>
        <w:fldChar w:fldCharType="end"/>
      </w:r>
    </w:p>
    <w:p>
      <w:pPr>
        <w:pStyle w:val="20"/>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_Toc18980 </w:instrText>
      </w:r>
      <w:r>
        <w:rPr>
          <w:rFonts w:hint="eastAsia"/>
          <w:shd w:val="clear" w:color="auto" w:fill="auto"/>
        </w:rPr>
        <w:fldChar w:fldCharType="separate"/>
      </w:r>
      <w:r>
        <w:rPr>
          <w:rFonts w:hint="eastAsia"/>
          <w:shd w:val="clear" w:color="auto" w:fill="auto"/>
        </w:rPr>
        <w:t>第</w:t>
      </w:r>
      <w:r>
        <w:rPr>
          <w:rFonts w:hint="eastAsia"/>
          <w:shd w:val="clear" w:color="auto" w:fill="auto"/>
          <w:lang w:val="en-US" w:eastAsia="zh-CN"/>
        </w:rPr>
        <w:t>6</w:t>
      </w:r>
      <w:r>
        <w:rPr>
          <w:rFonts w:hint="eastAsia"/>
          <w:shd w:val="clear" w:color="auto" w:fill="auto"/>
        </w:rPr>
        <w:t>章 环境保护措施及其技术经济论证</w:t>
      </w:r>
      <w:r>
        <w:tab/>
      </w:r>
      <w:r>
        <w:fldChar w:fldCharType="begin"/>
      </w:r>
      <w:r>
        <w:instrText xml:space="preserve"> PAGEREF _Toc18980 </w:instrText>
      </w:r>
      <w:r>
        <w:fldChar w:fldCharType="separate"/>
      </w:r>
      <w:r>
        <w:t>139</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_Toc26986 </w:instrText>
      </w:r>
      <w:r>
        <w:rPr>
          <w:rFonts w:hint="eastAsia"/>
          <w:shd w:val="clear" w:color="auto" w:fill="auto"/>
        </w:rPr>
        <w:fldChar w:fldCharType="separate"/>
      </w:r>
      <w:r>
        <w:rPr>
          <w:rFonts w:hint="eastAsia"/>
          <w:shd w:val="clear" w:color="auto" w:fill="auto"/>
          <w:lang w:val="en-US" w:eastAsia="zh-CN"/>
        </w:rPr>
        <w:t>6</w:t>
      </w:r>
      <w:r>
        <w:rPr>
          <w:rFonts w:hint="eastAsia"/>
          <w:shd w:val="clear" w:color="auto" w:fill="auto"/>
        </w:rPr>
        <w:t>.1 施工期环境保护措施</w:t>
      </w:r>
      <w:r>
        <w:tab/>
      </w:r>
      <w:r>
        <w:fldChar w:fldCharType="begin"/>
      </w:r>
      <w:r>
        <w:instrText xml:space="preserve"> PAGEREF _Toc26986 </w:instrText>
      </w:r>
      <w:r>
        <w:fldChar w:fldCharType="separate"/>
      </w:r>
      <w:r>
        <w:t>139</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_Toc11957 </w:instrText>
      </w:r>
      <w:r>
        <w:rPr>
          <w:rFonts w:hint="eastAsia"/>
          <w:shd w:val="clear" w:color="auto" w:fill="auto"/>
        </w:rPr>
        <w:fldChar w:fldCharType="separate"/>
      </w:r>
      <w:r>
        <w:rPr>
          <w:rFonts w:hint="eastAsia"/>
          <w:shd w:val="clear" w:color="auto" w:fill="auto"/>
          <w:lang w:val="en-US" w:eastAsia="zh-CN"/>
        </w:rPr>
        <w:t>6</w:t>
      </w:r>
      <w:r>
        <w:rPr>
          <w:rFonts w:hint="eastAsia"/>
          <w:shd w:val="clear" w:color="auto" w:fill="auto"/>
        </w:rPr>
        <w:t>.2 营运期环境保护措施</w:t>
      </w:r>
      <w:r>
        <w:tab/>
      </w:r>
      <w:r>
        <w:fldChar w:fldCharType="begin"/>
      </w:r>
      <w:r>
        <w:instrText xml:space="preserve"> PAGEREF _Toc11957 </w:instrText>
      </w:r>
      <w:r>
        <w:fldChar w:fldCharType="separate"/>
      </w:r>
      <w:r>
        <w:t>144</w:t>
      </w:r>
      <w:r>
        <w:fldChar w:fldCharType="end"/>
      </w:r>
      <w:r>
        <w:rPr>
          <w:rFonts w:hint="eastAsia"/>
          <w:color w:val="auto"/>
          <w:shd w:val="clear" w:color="auto" w:fill="auto"/>
        </w:rPr>
        <w:fldChar w:fldCharType="end"/>
      </w:r>
    </w:p>
    <w:p>
      <w:pPr>
        <w:pStyle w:val="20"/>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_Toc4592 </w:instrText>
      </w:r>
      <w:r>
        <w:rPr>
          <w:rFonts w:hint="eastAsia"/>
          <w:shd w:val="clear" w:color="auto" w:fill="auto"/>
        </w:rPr>
        <w:fldChar w:fldCharType="separate"/>
      </w:r>
      <w:r>
        <w:rPr>
          <w:rFonts w:hint="eastAsia"/>
          <w:shd w:val="clear" w:color="auto" w:fill="auto"/>
        </w:rPr>
        <w:t>第</w:t>
      </w:r>
      <w:r>
        <w:rPr>
          <w:rFonts w:hint="eastAsia"/>
          <w:shd w:val="clear" w:color="auto" w:fill="auto"/>
          <w:lang w:val="en-US" w:eastAsia="zh-CN"/>
        </w:rPr>
        <w:t>7</w:t>
      </w:r>
      <w:r>
        <w:rPr>
          <w:rFonts w:hint="eastAsia"/>
          <w:shd w:val="clear" w:color="auto" w:fill="auto"/>
        </w:rPr>
        <w:t>章 环境管理与</w:t>
      </w:r>
      <w:r>
        <w:rPr>
          <w:rFonts w:hint="eastAsia"/>
          <w:shd w:val="clear" w:color="auto" w:fill="auto"/>
          <w:lang w:val="en-US" w:eastAsia="zh-CN"/>
        </w:rPr>
        <w:t>监测计划</w:t>
      </w:r>
      <w:r>
        <w:tab/>
      </w:r>
      <w:r>
        <w:fldChar w:fldCharType="begin"/>
      </w:r>
      <w:r>
        <w:instrText xml:space="preserve"> PAGEREF _Toc4592 </w:instrText>
      </w:r>
      <w:r>
        <w:fldChar w:fldCharType="separate"/>
      </w:r>
      <w:r>
        <w:t>148</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_Toc14748 </w:instrText>
      </w:r>
      <w:r>
        <w:rPr>
          <w:rFonts w:hint="eastAsia"/>
          <w:shd w:val="clear" w:color="auto" w:fill="auto"/>
        </w:rPr>
        <w:fldChar w:fldCharType="separate"/>
      </w:r>
      <w:r>
        <w:rPr>
          <w:rFonts w:hint="eastAsia"/>
          <w:shd w:val="clear" w:color="auto" w:fill="auto"/>
          <w:lang w:val="en-US" w:eastAsia="zh-CN"/>
        </w:rPr>
        <w:t>7.1</w:t>
      </w:r>
      <w:r>
        <w:rPr>
          <w:rFonts w:hint="eastAsia"/>
          <w:shd w:val="clear" w:color="auto" w:fill="auto"/>
        </w:rPr>
        <w:t>环境管理计划</w:t>
      </w:r>
      <w:r>
        <w:tab/>
      </w:r>
      <w:r>
        <w:fldChar w:fldCharType="begin"/>
      </w:r>
      <w:r>
        <w:instrText xml:space="preserve"> PAGEREF _Toc14748 </w:instrText>
      </w:r>
      <w:r>
        <w:fldChar w:fldCharType="separate"/>
      </w:r>
      <w:r>
        <w:t>148</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_Toc20076 </w:instrText>
      </w:r>
      <w:r>
        <w:rPr>
          <w:rFonts w:hint="eastAsia"/>
          <w:shd w:val="clear" w:color="auto" w:fill="auto"/>
        </w:rPr>
        <w:fldChar w:fldCharType="separate"/>
      </w:r>
      <w:r>
        <w:rPr>
          <w:rFonts w:hint="eastAsia"/>
          <w:shd w:val="clear" w:color="auto" w:fill="auto"/>
          <w:lang w:val="en-US" w:eastAsia="zh-CN"/>
        </w:rPr>
        <w:t>7</w:t>
      </w:r>
      <w:r>
        <w:rPr>
          <w:shd w:val="clear" w:color="auto" w:fill="auto"/>
        </w:rPr>
        <w:t>.</w:t>
      </w:r>
      <w:r>
        <w:rPr>
          <w:rFonts w:hint="eastAsia"/>
          <w:shd w:val="clear" w:color="auto" w:fill="auto"/>
          <w:lang w:val="en-US" w:eastAsia="zh-CN"/>
        </w:rPr>
        <w:t>2</w:t>
      </w:r>
      <w:r>
        <w:rPr>
          <w:rFonts w:hint="eastAsia"/>
          <w:shd w:val="clear" w:color="auto" w:fill="auto"/>
        </w:rPr>
        <w:t xml:space="preserve"> </w:t>
      </w:r>
      <w:r>
        <w:rPr>
          <w:shd w:val="clear" w:color="auto" w:fill="auto"/>
        </w:rPr>
        <w:t>环境监测</w:t>
      </w:r>
      <w:r>
        <w:rPr>
          <w:rFonts w:hint="eastAsia"/>
          <w:shd w:val="clear" w:color="auto" w:fill="auto"/>
          <w:lang w:val="en-US" w:eastAsia="zh-CN"/>
        </w:rPr>
        <w:t>计划</w:t>
      </w:r>
      <w:r>
        <w:tab/>
      </w:r>
      <w:r>
        <w:fldChar w:fldCharType="begin"/>
      </w:r>
      <w:r>
        <w:instrText xml:space="preserve"> PAGEREF _Toc20076 </w:instrText>
      </w:r>
      <w:r>
        <w:fldChar w:fldCharType="separate"/>
      </w:r>
      <w:r>
        <w:t>153</w:t>
      </w:r>
      <w:r>
        <w:fldChar w:fldCharType="end"/>
      </w:r>
      <w:r>
        <w:rPr>
          <w:rFonts w:hint="eastAsia"/>
          <w:color w:val="auto"/>
          <w:shd w:val="clear" w:color="auto" w:fill="auto"/>
        </w:rPr>
        <w:fldChar w:fldCharType="end"/>
      </w:r>
    </w:p>
    <w:p>
      <w:pPr>
        <w:pStyle w:val="20"/>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_Toc11444 </w:instrText>
      </w:r>
      <w:r>
        <w:rPr>
          <w:rFonts w:hint="eastAsia"/>
          <w:shd w:val="clear" w:color="auto" w:fill="auto"/>
        </w:rPr>
        <w:fldChar w:fldCharType="separate"/>
      </w:r>
      <w:r>
        <w:rPr>
          <w:rFonts w:hint="eastAsia"/>
          <w:shd w:val="clear" w:color="auto" w:fill="auto"/>
        </w:rPr>
        <w:t>第</w:t>
      </w:r>
      <w:r>
        <w:rPr>
          <w:rFonts w:hint="eastAsia"/>
          <w:shd w:val="clear" w:color="auto" w:fill="auto"/>
          <w:lang w:val="en-US" w:eastAsia="zh-CN"/>
        </w:rPr>
        <w:t>8</w:t>
      </w:r>
      <w:r>
        <w:rPr>
          <w:rFonts w:hint="eastAsia"/>
          <w:shd w:val="clear" w:color="auto" w:fill="auto"/>
        </w:rPr>
        <w:t>章 环境经济损益分析</w:t>
      </w:r>
      <w:r>
        <w:tab/>
      </w:r>
      <w:r>
        <w:fldChar w:fldCharType="begin"/>
      </w:r>
      <w:r>
        <w:instrText xml:space="preserve"> PAGEREF _Toc11444 </w:instrText>
      </w:r>
      <w:r>
        <w:fldChar w:fldCharType="separate"/>
      </w:r>
      <w:r>
        <w:t>156</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_Toc15136 </w:instrText>
      </w:r>
      <w:r>
        <w:rPr>
          <w:rFonts w:hint="eastAsia"/>
          <w:shd w:val="clear" w:color="auto" w:fill="auto"/>
        </w:rPr>
        <w:fldChar w:fldCharType="separate"/>
      </w:r>
      <w:r>
        <w:rPr>
          <w:rFonts w:hint="eastAsia"/>
          <w:highlight w:val="none"/>
          <w:shd w:val="clear" w:color="auto" w:fill="auto"/>
          <w:lang w:val="en-US" w:eastAsia="zh-CN"/>
        </w:rPr>
        <w:t>8</w:t>
      </w:r>
      <w:r>
        <w:rPr>
          <w:rFonts w:hint="eastAsia"/>
          <w:highlight w:val="none"/>
          <w:shd w:val="clear" w:color="auto" w:fill="auto"/>
        </w:rPr>
        <w:t>.1 项目的经济效益分析</w:t>
      </w:r>
      <w:r>
        <w:tab/>
      </w:r>
      <w:r>
        <w:fldChar w:fldCharType="begin"/>
      </w:r>
      <w:r>
        <w:instrText xml:space="preserve"> PAGEREF _Toc15136 </w:instrText>
      </w:r>
      <w:r>
        <w:fldChar w:fldCharType="separate"/>
      </w:r>
      <w:r>
        <w:t>156</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_Toc21951 </w:instrText>
      </w:r>
      <w:r>
        <w:rPr>
          <w:rFonts w:hint="eastAsia"/>
          <w:shd w:val="clear" w:color="auto" w:fill="auto"/>
        </w:rPr>
        <w:fldChar w:fldCharType="separate"/>
      </w:r>
      <w:r>
        <w:rPr>
          <w:rFonts w:hint="eastAsia"/>
          <w:highlight w:val="none"/>
          <w:shd w:val="clear" w:color="auto" w:fill="auto"/>
          <w:lang w:val="en-US" w:eastAsia="zh-CN"/>
        </w:rPr>
        <w:t>8</w:t>
      </w:r>
      <w:r>
        <w:rPr>
          <w:rFonts w:hint="eastAsia"/>
          <w:highlight w:val="none"/>
          <w:shd w:val="clear" w:color="auto" w:fill="auto"/>
        </w:rPr>
        <w:t>.2 环保经济损益分析</w:t>
      </w:r>
      <w:r>
        <w:tab/>
      </w:r>
      <w:r>
        <w:fldChar w:fldCharType="begin"/>
      </w:r>
      <w:r>
        <w:instrText xml:space="preserve"> PAGEREF _Toc21951 </w:instrText>
      </w:r>
      <w:r>
        <w:fldChar w:fldCharType="separate"/>
      </w:r>
      <w:r>
        <w:t>156</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_Toc12077 </w:instrText>
      </w:r>
      <w:r>
        <w:rPr>
          <w:rFonts w:hint="eastAsia"/>
          <w:shd w:val="clear" w:color="auto" w:fill="auto"/>
        </w:rPr>
        <w:fldChar w:fldCharType="separate"/>
      </w:r>
      <w:r>
        <w:rPr>
          <w:rFonts w:hint="eastAsia"/>
          <w:shd w:val="clear" w:color="auto" w:fill="auto"/>
          <w:lang w:val="en-US" w:eastAsia="zh-CN"/>
        </w:rPr>
        <w:t>8</w:t>
      </w:r>
      <w:r>
        <w:rPr>
          <w:rFonts w:hint="eastAsia"/>
          <w:shd w:val="clear" w:color="auto" w:fill="auto"/>
        </w:rPr>
        <w:t>.3 社会效益分析</w:t>
      </w:r>
      <w:r>
        <w:tab/>
      </w:r>
      <w:r>
        <w:fldChar w:fldCharType="begin"/>
      </w:r>
      <w:r>
        <w:instrText xml:space="preserve"> PAGEREF _Toc12077 </w:instrText>
      </w:r>
      <w:r>
        <w:fldChar w:fldCharType="separate"/>
      </w:r>
      <w:r>
        <w:t>157</w:t>
      </w:r>
      <w:r>
        <w:fldChar w:fldCharType="end"/>
      </w:r>
      <w:r>
        <w:rPr>
          <w:rFonts w:hint="eastAsia"/>
          <w:color w:val="auto"/>
          <w:shd w:val="clear" w:color="auto" w:fill="auto"/>
        </w:rPr>
        <w:fldChar w:fldCharType="end"/>
      </w:r>
    </w:p>
    <w:p>
      <w:pPr>
        <w:pStyle w:val="20"/>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_Toc30262 </w:instrText>
      </w:r>
      <w:r>
        <w:rPr>
          <w:rFonts w:hint="eastAsia"/>
          <w:shd w:val="clear" w:color="auto" w:fill="auto"/>
        </w:rPr>
        <w:fldChar w:fldCharType="separate"/>
      </w:r>
      <w:r>
        <w:rPr>
          <w:rFonts w:hint="eastAsia"/>
          <w:shd w:val="clear" w:color="auto" w:fill="auto"/>
        </w:rPr>
        <w:t>第</w:t>
      </w:r>
      <w:r>
        <w:rPr>
          <w:rFonts w:hint="eastAsia"/>
          <w:shd w:val="clear" w:color="auto" w:fill="auto"/>
          <w:lang w:val="en-US" w:eastAsia="zh-CN"/>
        </w:rPr>
        <w:t>9</w:t>
      </w:r>
      <w:r>
        <w:rPr>
          <w:rFonts w:hint="eastAsia"/>
          <w:shd w:val="clear" w:color="auto" w:fill="auto"/>
        </w:rPr>
        <w:t>章 评价结论</w:t>
      </w:r>
      <w:r>
        <w:tab/>
      </w:r>
      <w:r>
        <w:fldChar w:fldCharType="begin"/>
      </w:r>
      <w:r>
        <w:instrText xml:space="preserve"> PAGEREF _Toc30262 </w:instrText>
      </w:r>
      <w:r>
        <w:fldChar w:fldCharType="separate"/>
      </w:r>
      <w:r>
        <w:t>159</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_Toc31125 </w:instrText>
      </w:r>
      <w:r>
        <w:rPr>
          <w:rFonts w:hint="eastAsia"/>
          <w:shd w:val="clear" w:color="auto" w:fill="auto"/>
        </w:rPr>
        <w:fldChar w:fldCharType="separate"/>
      </w:r>
      <w:r>
        <w:rPr>
          <w:rFonts w:hint="eastAsia"/>
          <w:shd w:val="clear" w:color="auto" w:fill="auto"/>
          <w:lang w:val="en-US" w:eastAsia="zh-CN"/>
        </w:rPr>
        <w:t>9</w:t>
      </w:r>
      <w:r>
        <w:rPr>
          <w:rFonts w:hint="eastAsia"/>
          <w:shd w:val="clear" w:color="auto" w:fill="auto"/>
        </w:rPr>
        <w:t>.1 工程概况</w:t>
      </w:r>
      <w:r>
        <w:tab/>
      </w:r>
      <w:r>
        <w:fldChar w:fldCharType="begin"/>
      </w:r>
      <w:r>
        <w:instrText xml:space="preserve"> PAGEREF _Toc31125 </w:instrText>
      </w:r>
      <w:r>
        <w:fldChar w:fldCharType="separate"/>
      </w:r>
      <w:r>
        <w:t>159</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_Toc11960 </w:instrText>
      </w:r>
      <w:r>
        <w:rPr>
          <w:rFonts w:hint="eastAsia"/>
          <w:shd w:val="clear" w:color="auto" w:fill="auto"/>
        </w:rPr>
        <w:fldChar w:fldCharType="separate"/>
      </w:r>
      <w:r>
        <w:rPr>
          <w:rFonts w:hint="eastAsia"/>
          <w:shd w:val="clear" w:color="auto" w:fill="auto"/>
          <w:lang w:val="en-US" w:eastAsia="zh-CN"/>
        </w:rPr>
        <w:t>9</w:t>
      </w:r>
      <w:r>
        <w:rPr>
          <w:shd w:val="clear" w:color="auto" w:fill="auto"/>
        </w:rPr>
        <w:t>.2 产业政策、法规和规划相符性</w:t>
      </w:r>
      <w:r>
        <w:tab/>
      </w:r>
      <w:r>
        <w:fldChar w:fldCharType="begin"/>
      </w:r>
      <w:r>
        <w:instrText xml:space="preserve"> PAGEREF _Toc11960 </w:instrText>
      </w:r>
      <w:r>
        <w:fldChar w:fldCharType="separate"/>
      </w:r>
      <w:r>
        <w:t>159</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_Toc14203 </w:instrText>
      </w:r>
      <w:r>
        <w:rPr>
          <w:rFonts w:hint="eastAsia"/>
          <w:shd w:val="clear" w:color="auto" w:fill="auto"/>
        </w:rPr>
        <w:fldChar w:fldCharType="separate"/>
      </w:r>
      <w:r>
        <w:rPr>
          <w:rFonts w:hint="eastAsia"/>
          <w:highlight w:val="none"/>
          <w:shd w:val="clear" w:color="auto" w:fill="auto"/>
          <w:lang w:val="en-US" w:eastAsia="zh-CN"/>
        </w:rPr>
        <w:t>9</w:t>
      </w:r>
      <w:r>
        <w:rPr>
          <w:rFonts w:hint="eastAsia"/>
          <w:highlight w:val="none"/>
          <w:shd w:val="clear" w:color="auto" w:fill="auto"/>
        </w:rPr>
        <w:t>.3 环境质量现状</w:t>
      </w:r>
      <w:r>
        <w:tab/>
      </w:r>
      <w:r>
        <w:fldChar w:fldCharType="begin"/>
      </w:r>
      <w:r>
        <w:instrText xml:space="preserve"> PAGEREF _Toc14203 </w:instrText>
      </w:r>
      <w:r>
        <w:fldChar w:fldCharType="separate"/>
      </w:r>
      <w:r>
        <w:t>159</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_Toc13018 </w:instrText>
      </w:r>
      <w:r>
        <w:rPr>
          <w:rFonts w:hint="eastAsia"/>
          <w:shd w:val="clear" w:color="auto" w:fill="auto"/>
        </w:rPr>
        <w:fldChar w:fldCharType="separate"/>
      </w:r>
      <w:r>
        <w:rPr>
          <w:rFonts w:hint="eastAsia"/>
          <w:shd w:val="clear" w:color="auto" w:fill="auto"/>
          <w:lang w:val="en-US" w:eastAsia="zh-CN"/>
        </w:rPr>
        <w:t>9</w:t>
      </w:r>
      <w:r>
        <w:rPr>
          <w:rFonts w:hint="eastAsia"/>
          <w:shd w:val="clear" w:color="auto" w:fill="auto"/>
        </w:rPr>
        <w:t xml:space="preserve">.4 </w:t>
      </w:r>
      <w:r>
        <w:rPr>
          <w:shd w:val="clear" w:color="auto" w:fill="auto"/>
        </w:rPr>
        <w:t>环境影响评价</w:t>
      </w:r>
      <w:r>
        <w:rPr>
          <w:rFonts w:hint="eastAsia"/>
          <w:shd w:val="clear" w:color="auto" w:fill="auto"/>
        </w:rPr>
        <w:t>结论</w:t>
      </w:r>
      <w:r>
        <w:tab/>
      </w:r>
      <w:r>
        <w:fldChar w:fldCharType="begin"/>
      </w:r>
      <w:r>
        <w:instrText xml:space="preserve"> PAGEREF _Toc13018 </w:instrText>
      </w:r>
      <w:r>
        <w:fldChar w:fldCharType="separate"/>
      </w:r>
      <w:r>
        <w:t>160</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_Toc5434 </w:instrText>
      </w:r>
      <w:r>
        <w:rPr>
          <w:rFonts w:hint="eastAsia"/>
          <w:shd w:val="clear" w:color="auto" w:fill="auto"/>
        </w:rPr>
        <w:fldChar w:fldCharType="separate"/>
      </w:r>
      <w:r>
        <w:rPr>
          <w:rFonts w:hint="eastAsia" w:ascii="Times New Roman" w:hAnsi="Times New Roman" w:cs="Times New Roman"/>
          <w:szCs w:val="28"/>
          <w:highlight w:val="none"/>
          <w:shd w:val="clear" w:color="auto" w:fill="auto"/>
          <w:lang w:val="en-US" w:eastAsia="zh-CN"/>
        </w:rPr>
        <w:t>9.5 污染防治措施结论</w:t>
      </w:r>
      <w:r>
        <w:tab/>
      </w:r>
      <w:r>
        <w:fldChar w:fldCharType="begin"/>
      </w:r>
      <w:r>
        <w:instrText xml:space="preserve"> PAGEREF _Toc5434 </w:instrText>
      </w:r>
      <w:r>
        <w:fldChar w:fldCharType="separate"/>
      </w:r>
      <w:r>
        <w:t>163</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_Toc28757 </w:instrText>
      </w:r>
      <w:r>
        <w:rPr>
          <w:rFonts w:hint="eastAsia"/>
          <w:shd w:val="clear" w:color="auto" w:fill="auto"/>
        </w:rPr>
        <w:fldChar w:fldCharType="separate"/>
      </w:r>
      <w:r>
        <w:rPr>
          <w:rFonts w:hint="eastAsia" w:ascii="Times New Roman" w:hAnsi="Times New Roman" w:cs="Times New Roman"/>
          <w:szCs w:val="28"/>
          <w:highlight w:val="none"/>
          <w:shd w:val="clear" w:color="auto" w:fill="auto"/>
          <w:lang w:val="en-US" w:eastAsia="zh-CN"/>
        </w:rPr>
        <w:t>9.</w:t>
      </w:r>
      <w:r>
        <w:rPr>
          <w:rFonts w:hint="eastAsia" w:cs="Times New Roman"/>
          <w:szCs w:val="28"/>
          <w:highlight w:val="none"/>
          <w:shd w:val="clear" w:color="auto" w:fill="auto"/>
          <w:lang w:val="en-US" w:eastAsia="zh-CN"/>
        </w:rPr>
        <w:t>6</w:t>
      </w:r>
      <w:r>
        <w:rPr>
          <w:rFonts w:hint="eastAsia" w:ascii="Times New Roman" w:hAnsi="Times New Roman" w:cs="Times New Roman"/>
          <w:szCs w:val="28"/>
          <w:highlight w:val="none"/>
          <w:shd w:val="clear" w:color="auto" w:fill="auto"/>
          <w:lang w:val="en-US" w:eastAsia="zh-CN"/>
        </w:rPr>
        <w:t xml:space="preserve"> 总量控制</w:t>
      </w:r>
      <w:r>
        <w:tab/>
      </w:r>
      <w:r>
        <w:fldChar w:fldCharType="begin"/>
      </w:r>
      <w:r>
        <w:instrText xml:space="preserve"> PAGEREF _Toc28757 </w:instrText>
      </w:r>
      <w:r>
        <w:fldChar w:fldCharType="separate"/>
      </w:r>
      <w:r>
        <w:t>164</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_Toc6464 </w:instrText>
      </w:r>
      <w:r>
        <w:rPr>
          <w:rFonts w:hint="eastAsia"/>
          <w:shd w:val="clear" w:color="auto" w:fill="auto"/>
        </w:rPr>
        <w:fldChar w:fldCharType="separate"/>
      </w:r>
      <w:r>
        <w:rPr>
          <w:rFonts w:hint="eastAsia"/>
          <w:szCs w:val="28"/>
          <w:highlight w:val="none"/>
          <w:shd w:val="clear" w:color="auto" w:fill="auto"/>
          <w:lang w:val="en-US" w:eastAsia="zh-CN"/>
        </w:rPr>
        <w:t>9</w:t>
      </w:r>
      <w:r>
        <w:rPr>
          <w:rFonts w:hint="eastAsia"/>
          <w:szCs w:val="28"/>
          <w:highlight w:val="none"/>
          <w:shd w:val="clear" w:color="auto" w:fill="auto"/>
        </w:rPr>
        <w:t>.</w:t>
      </w:r>
      <w:r>
        <w:rPr>
          <w:rFonts w:hint="eastAsia"/>
          <w:szCs w:val="28"/>
          <w:highlight w:val="none"/>
          <w:shd w:val="clear" w:color="auto" w:fill="auto"/>
          <w:lang w:val="en-US" w:eastAsia="zh-CN"/>
        </w:rPr>
        <w:t xml:space="preserve">7 </w:t>
      </w:r>
      <w:r>
        <w:rPr>
          <w:szCs w:val="28"/>
          <w:highlight w:val="none"/>
          <w:shd w:val="clear" w:color="auto" w:fill="auto"/>
        </w:rPr>
        <w:t>“三同时”验收</w:t>
      </w:r>
      <w:r>
        <w:rPr>
          <w:highlight w:val="none"/>
          <w:shd w:val="clear" w:color="auto" w:fill="auto"/>
        </w:rPr>
        <w:t>要求</w:t>
      </w:r>
      <w:r>
        <w:tab/>
      </w:r>
      <w:r>
        <w:fldChar w:fldCharType="begin"/>
      </w:r>
      <w:r>
        <w:instrText xml:space="preserve"> PAGEREF _Toc6464 </w:instrText>
      </w:r>
      <w:r>
        <w:fldChar w:fldCharType="separate"/>
      </w:r>
      <w:r>
        <w:t>164</w:t>
      </w:r>
      <w:r>
        <w:fldChar w:fldCharType="end"/>
      </w:r>
      <w:r>
        <w:rPr>
          <w:rFonts w:hint="eastAsia"/>
          <w:color w:val="auto"/>
          <w:shd w:val="clear" w:color="auto" w:fill="auto"/>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snapToGrid/>
        <w:ind w:firstLine="0" w:firstLineChars="0"/>
        <w:textAlignment w:val="auto"/>
      </w:pPr>
      <w:r>
        <w:rPr>
          <w:rFonts w:hint="eastAsia"/>
          <w:color w:val="auto"/>
          <w:shd w:val="clear" w:color="auto" w:fill="auto"/>
        </w:rPr>
        <w:fldChar w:fldCharType="begin"/>
      </w:r>
      <w:r>
        <w:rPr>
          <w:rFonts w:hint="eastAsia"/>
          <w:shd w:val="clear" w:color="auto" w:fill="auto"/>
        </w:rPr>
        <w:instrText xml:space="preserve"> HYPERLINK \l _Toc27894 </w:instrText>
      </w:r>
      <w:r>
        <w:rPr>
          <w:rFonts w:hint="eastAsia"/>
          <w:shd w:val="clear" w:color="auto" w:fill="auto"/>
        </w:rPr>
        <w:fldChar w:fldCharType="separate"/>
      </w:r>
      <w:r>
        <w:rPr>
          <w:rFonts w:hint="eastAsia"/>
          <w:shd w:val="clear" w:color="auto" w:fill="auto"/>
          <w:lang w:val="en-US" w:eastAsia="zh-CN"/>
        </w:rPr>
        <w:t>9</w:t>
      </w:r>
      <w:r>
        <w:rPr>
          <w:rFonts w:hint="eastAsia"/>
          <w:shd w:val="clear" w:color="auto" w:fill="auto"/>
        </w:rPr>
        <w:t>.</w:t>
      </w:r>
      <w:r>
        <w:rPr>
          <w:rFonts w:hint="eastAsia"/>
          <w:shd w:val="clear" w:color="auto" w:fill="auto"/>
          <w:lang w:val="en-US" w:eastAsia="zh-CN"/>
        </w:rPr>
        <w:t xml:space="preserve">8 </w:t>
      </w:r>
      <w:r>
        <w:rPr>
          <w:rFonts w:hint="eastAsia"/>
          <w:shd w:val="clear" w:color="auto" w:fill="auto"/>
        </w:rPr>
        <w:t>总体评价结论</w:t>
      </w:r>
      <w:r>
        <w:tab/>
      </w:r>
      <w:r>
        <w:fldChar w:fldCharType="begin"/>
      </w:r>
      <w:r>
        <w:instrText xml:space="preserve"> PAGEREF _Toc27894 </w:instrText>
      </w:r>
      <w:r>
        <w:fldChar w:fldCharType="separate"/>
      </w:r>
      <w:r>
        <w:t>165</w:t>
      </w:r>
      <w:r>
        <w:fldChar w:fldCharType="end"/>
      </w:r>
      <w:r>
        <w:rPr>
          <w:rFonts w:hint="eastAsia"/>
          <w:color w:val="auto"/>
          <w:shd w:val="clear" w:color="auto" w:fill="auto"/>
        </w:rPr>
        <w:fldChar w:fldCharType="end"/>
      </w:r>
    </w:p>
    <w:p>
      <w:pPr>
        <w:widowControl w:val="0"/>
        <w:kinsoku/>
        <w:wordWrap/>
        <w:overflowPunct/>
        <w:topLinePunct w:val="0"/>
        <w:autoSpaceDE/>
        <w:autoSpaceDN/>
        <w:bidi w:val="0"/>
        <w:adjustRightInd/>
        <w:snapToGrid/>
        <w:ind w:firstLine="0" w:firstLineChars="0"/>
        <w:textAlignment w:val="auto"/>
        <w:rPr>
          <w:color w:val="auto"/>
          <w:shd w:val="clear" w:color="auto" w:fill="auto"/>
        </w:rPr>
      </w:pPr>
      <w:r>
        <w:rPr>
          <w:rFonts w:hint="eastAsia"/>
          <w:color w:val="auto"/>
          <w:shd w:val="clear" w:color="auto" w:fill="auto"/>
        </w:rPr>
        <w:fldChar w:fldCharType="end"/>
      </w:r>
    </w:p>
    <w:p>
      <w:pPr>
        <w:pStyle w:val="3"/>
        <w:widowControl w:val="0"/>
        <w:kinsoku/>
        <w:wordWrap/>
        <w:overflowPunct/>
        <w:topLinePunct w:val="0"/>
        <w:autoSpaceDE/>
        <w:autoSpaceDN/>
        <w:bidi w:val="0"/>
        <w:adjustRightInd/>
        <w:snapToGrid/>
        <w:spacing w:before="156" w:after="156"/>
        <w:ind w:firstLine="0" w:firstLineChars="0"/>
        <w:textAlignment w:val="auto"/>
        <w:rPr>
          <w:color w:val="auto"/>
          <w:shd w:val="clear" w:color="auto" w:fill="auto"/>
        </w:rPr>
        <w:sectPr>
          <w:headerReference r:id="rId4"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24" w:lineRule="auto"/>
        <w:textAlignment w:val="auto"/>
        <w:rPr>
          <w:b/>
          <w:bCs/>
          <w:color w:val="auto"/>
          <w:shd w:val="clear" w:color="auto" w:fill="auto"/>
        </w:rPr>
      </w:pPr>
      <w:r>
        <w:rPr>
          <w:rFonts w:hint="eastAsia"/>
          <w:b/>
          <w:bCs/>
          <w:color w:val="auto"/>
          <w:shd w:val="clear" w:color="auto" w:fill="auto"/>
        </w:rPr>
        <w:t>附件：</w:t>
      </w:r>
    </w:p>
    <w:p>
      <w:pPr>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rPr>
      </w:pPr>
      <w:r>
        <w:rPr>
          <w:rFonts w:hint="eastAsia"/>
          <w:color w:val="auto"/>
          <w:shd w:val="clear" w:color="auto" w:fill="auto"/>
        </w:rPr>
        <w:t>附件1</w:t>
      </w:r>
      <w:r>
        <w:rPr>
          <w:rFonts w:hint="eastAsia"/>
          <w:color w:val="auto"/>
          <w:shd w:val="clear" w:color="auto" w:fill="auto"/>
          <w:lang w:val="en-US" w:eastAsia="zh-CN"/>
        </w:rPr>
        <w:t xml:space="preserve"> </w:t>
      </w:r>
      <w:r>
        <w:rPr>
          <w:rFonts w:hint="eastAsia"/>
          <w:color w:val="auto"/>
          <w:shd w:val="clear" w:color="auto" w:fill="auto"/>
        </w:rPr>
        <w:t xml:space="preserve"> 委托书；</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附件2  项目立项；</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附件3  阜阳市港航局关于项目选址意见的函；</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附件4  太和县国土资源局关于项目用地审查意见；</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附件5  规划选址专家评审意见；</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附件6  岸线使用合理性、通航条件影响评价专家咨询意见；</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default"/>
          <w:color w:val="auto"/>
          <w:shd w:val="clear" w:color="auto" w:fill="auto"/>
          <w:lang w:val="en-US" w:eastAsia="zh-CN"/>
        </w:rPr>
      </w:pPr>
      <w:r>
        <w:rPr>
          <w:rFonts w:hint="eastAsia"/>
          <w:color w:val="auto"/>
          <w:shd w:val="clear" w:color="auto" w:fill="auto"/>
          <w:lang w:val="en-US" w:eastAsia="zh-CN"/>
        </w:rPr>
        <w:t>附件7  阜阳港规划环评审查意见；</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附件8  标准确认函；</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附件9  监测报告；</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附件10  建设单位关于船舶废水不外排的承诺函；</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附件11  一次公示截图；</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附件12  征求意见稿公示截图；</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附件13  公众参与诚信承诺函；</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附件14  受理申请函；</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附件15  太和县生态环境分局环保初审意见；</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附件16  环评专家评审意见+修改清单；</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附件17  报批申请函。</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default"/>
          <w:color w:val="auto"/>
          <w:shd w:val="clear" w:color="auto" w:fill="auto"/>
          <w:lang w:val="en-US" w:eastAsia="zh-CN"/>
        </w:rPr>
      </w:pP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b/>
          <w:bCs/>
          <w:color w:val="auto"/>
          <w:shd w:val="clear" w:color="auto" w:fill="auto"/>
          <w:lang w:val="en-US" w:eastAsia="zh-CN"/>
        </w:rPr>
      </w:pPr>
      <w:r>
        <w:rPr>
          <w:rFonts w:hint="eastAsia"/>
          <w:b/>
          <w:bCs/>
          <w:color w:val="auto"/>
          <w:shd w:val="clear" w:color="auto" w:fill="auto"/>
          <w:lang w:val="en-US" w:eastAsia="zh-CN"/>
        </w:rPr>
        <w:t>附图：</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附图1  项目地理位置图；</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default"/>
          <w:color w:val="auto"/>
          <w:shd w:val="clear" w:color="auto" w:fill="auto"/>
          <w:lang w:val="en-US" w:eastAsia="zh-CN"/>
        </w:rPr>
      </w:pPr>
      <w:r>
        <w:rPr>
          <w:rFonts w:hint="eastAsia"/>
          <w:color w:val="auto"/>
          <w:shd w:val="clear" w:color="auto" w:fill="auto"/>
          <w:lang w:val="en-US" w:eastAsia="zh-CN"/>
        </w:rPr>
        <w:t>附图2  沙颍河岸线规划图；</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附图3  太和港区双涧作业区规划图；</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default"/>
          <w:color w:val="auto"/>
          <w:shd w:val="clear" w:color="auto" w:fill="auto"/>
          <w:lang w:val="en-US" w:eastAsia="zh-CN"/>
        </w:rPr>
      </w:pPr>
      <w:r>
        <w:rPr>
          <w:rFonts w:hint="eastAsia"/>
          <w:color w:val="auto"/>
          <w:shd w:val="clear" w:color="auto" w:fill="auto"/>
          <w:lang w:val="en-US" w:eastAsia="zh-CN"/>
        </w:rPr>
        <w:t>附图4  土地利用规划图；</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附图5  总平面布置图；</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附图6  环境保护目标图</w:t>
      </w:r>
      <w:bookmarkEnd w:id="0"/>
      <w:bookmarkEnd w:id="1"/>
      <w:r>
        <w:rPr>
          <w:rFonts w:hint="eastAsia"/>
          <w:color w:val="auto"/>
          <w:shd w:val="clear" w:color="auto" w:fill="auto"/>
          <w:lang w:val="en-US" w:eastAsia="zh-CN"/>
        </w:rPr>
        <w:t>；</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附件7  厂区雨污管网图。</w:t>
      </w:r>
    </w:p>
    <w:p>
      <w:pPr>
        <w:pStyle w:val="2"/>
        <w:keepNext w:val="0"/>
        <w:keepLines w:val="0"/>
        <w:pageBreakBefore w:val="0"/>
        <w:widowControl w:val="0"/>
        <w:kinsoku/>
        <w:wordWrap/>
        <w:overflowPunct/>
        <w:topLinePunct w:val="0"/>
        <w:autoSpaceDE/>
        <w:autoSpaceDN/>
        <w:bidi w:val="0"/>
        <w:adjustRightInd/>
        <w:snapToGrid/>
        <w:spacing w:line="324" w:lineRule="auto"/>
        <w:ind w:left="0" w:leftChars="0" w:firstLine="0" w:firstLineChars="0"/>
        <w:textAlignment w:val="auto"/>
        <w:rPr>
          <w:rFonts w:hint="eastAsia"/>
          <w:color w:val="auto"/>
          <w:shd w:val="clear" w:color="auto" w:fill="auto"/>
          <w:lang w:val="en-US" w:eastAsia="zh-CN"/>
        </w:rPr>
      </w:pP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b/>
          <w:bCs/>
          <w:color w:val="auto"/>
          <w:shd w:val="clear" w:color="auto" w:fill="auto"/>
          <w:lang w:val="en-US" w:eastAsia="zh-CN"/>
        </w:rPr>
      </w:pPr>
      <w:r>
        <w:rPr>
          <w:rFonts w:hint="eastAsia"/>
          <w:b/>
          <w:bCs/>
          <w:color w:val="auto"/>
          <w:shd w:val="clear" w:color="auto" w:fill="auto"/>
          <w:lang w:val="en-US" w:eastAsia="zh-CN"/>
        </w:rPr>
        <w:t>附表：</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附表1  建设项目大气环境影响评价自查表；</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附表2  地表水环境影响评价自查表；</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eastAsia"/>
          <w:color w:val="auto"/>
          <w:shd w:val="clear" w:color="auto" w:fill="auto"/>
          <w:lang w:val="en-US" w:eastAsia="zh-CN"/>
        </w:rPr>
      </w:pPr>
      <w:r>
        <w:rPr>
          <w:rFonts w:hint="eastAsia"/>
          <w:color w:val="auto"/>
          <w:shd w:val="clear" w:color="auto" w:fill="auto"/>
          <w:lang w:val="en-US" w:eastAsia="zh-CN"/>
        </w:rPr>
        <w:t>附表3  环境风险评价自查表；</w:t>
      </w:r>
    </w:p>
    <w:p>
      <w:pPr>
        <w:pStyle w:val="2"/>
        <w:keepNext w:val="0"/>
        <w:keepLines w:val="0"/>
        <w:pageBreakBefore w:val="0"/>
        <w:widowControl w:val="0"/>
        <w:kinsoku/>
        <w:wordWrap/>
        <w:overflowPunct/>
        <w:topLinePunct w:val="0"/>
        <w:autoSpaceDE/>
        <w:autoSpaceDN/>
        <w:bidi w:val="0"/>
        <w:adjustRightInd/>
        <w:snapToGrid/>
        <w:spacing w:line="324" w:lineRule="auto"/>
        <w:textAlignment w:val="auto"/>
        <w:rPr>
          <w:rFonts w:hint="default"/>
          <w:color w:val="auto"/>
          <w:shd w:val="clear" w:color="auto" w:fill="auto"/>
          <w:lang w:val="en-US" w:eastAsia="zh-CN"/>
        </w:rPr>
      </w:pPr>
      <w:r>
        <w:rPr>
          <w:rFonts w:hint="eastAsia"/>
          <w:color w:val="auto"/>
          <w:shd w:val="clear" w:color="auto" w:fill="auto"/>
          <w:lang w:val="en-US" w:eastAsia="zh-CN"/>
        </w:rPr>
        <w:t>附表4  建设项目环评审批基础信息表。</w:t>
      </w:r>
    </w:p>
    <w:p>
      <w:pPr>
        <w:pStyle w:val="2"/>
        <w:keepNext w:val="0"/>
        <w:keepLines w:val="0"/>
        <w:pageBreakBefore w:val="0"/>
        <w:widowControl w:val="0"/>
        <w:kinsoku/>
        <w:wordWrap/>
        <w:overflowPunct/>
        <w:topLinePunct w:val="0"/>
        <w:autoSpaceDE/>
        <w:autoSpaceDN/>
        <w:bidi w:val="0"/>
        <w:adjustRightInd/>
        <w:snapToGrid/>
        <w:spacing w:line="336" w:lineRule="auto"/>
        <w:ind w:left="0" w:leftChars="0" w:firstLine="0" w:firstLineChars="0"/>
        <w:textAlignment w:val="auto"/>
        <w:rPr>
          <w:rFonts w:hint="eastAsia"/>
          <w:color w:val="auto"/>
          <w:shd w:val="clear" w:color="auto" w:fill="auto"/>
          <w:lang w:val="en-US" w:eastAsia="zh-CN"/>
        </w:rPr>
        <w:sectPr>
          <w:headerReference r:id="rId5" w:type="default"/>
          <w:footerReference r:id="rId6" w:type="default"/>
          <w:pgSz w:w="11906" w:h="16838"/>
          <w:pgMar w:top="1418" w:right="1588" w:bottom="1418" w:left="1588" w:header="850" w:footer="850" w:gutter="0"/>
          <w:pgBorders>
            <w:top w:val="none" w:sz="0" w:space="0"/>
            <w:left w:val="none" w:sz="0" w:space="0"/>
            <w:bottom w:val="none" w:sz="0" w:space="0"/>
            <w:right w:val="none" w:sz="0" w:space="0"/>
          </w:pgBorders>
          <w:pgNumType w:start="1"/>
          <w:cols w:space="425" w:num="1"/>
          <w:docGrid w:linePitch="312" w:charSpace="0"/>
        </w:sectPr>
      </w:pPr>
    </w:p>
    <w:p>
      <w:pPr>
        <w:pStyle w:val="3"/>
        <w:ind w:left="0" w:leftChars="0" w:firstLine="0" w:firstLineChars="0"/>
        <w:jc w:val="center"/>
        <w:rPr>
          <w:rFonts w:hint="eastAsia" w:eastAsia="宋体"/>
          <w:color w:val="auto"/>
          <w:shd w:val="clear" w:color="auto" w:fill="auto"/>
          <w:lang w:val="en-US" w:eastAsia="zh-CN"/>
        </w:rPr>
      </w:pPr>
      <w:bookmarkStart w:id="2" w:name="_Toc5127"/>
      <w:r>
        <w:rPr>
          <w:rFonts w:hint="eastAsia"/>
          <w:color w:val="auto"/>
          <w:shd w:val="clear" w:color="auto" w:fill="auto"/>
          <w:lang w:val="en-US" w:eastAsia="zh-CN"/>
        </w:rPr>
        <w:t>概 述</w:t>
      </w:r>
      <w:bookmarkEnd w:id="2"/>
    </w:p>
    <w:p>
      <w:pPr>
        <w:tabs>
          <w:tab w:val="left" w:pos="1008"/>
        </w:tabs>
        <w:ind w:firstLine="480"/>
        <w:rPr>
          <w:rFonts w:hint="eastAsia" w:cs="Times New Roman"/>
          <w:color w:val="auto"/>
          <w:shd w:val="clear" w:color="auto" w:fill="auto"/>
        </w:rPr>
      </w:pPr>
      <w:r>
        <w:rPr>
          <w:rFonts w:hint="eastAsia" w:cs="Times New Roman"/>
          <w:color w:val="auto"/>
          <w:shd w:val="clear" w:color="auto" w:fill="auto"/>
        </w:rPr>
        <w:t>为了贯彻落实党中央、国务院关于加强环保整治工作的精神，安徽省市对长江及内河低等级不规范的码头进行综合整治工作，阜阳市依据相关法律法规拆除了大量的无证经营码头，切实加强了港口岸线资源管理工作，使岸线资源得到了集约高效利用。</w:t>
      </w:r>
    </w:p>
    <w:p>
      <w:pPr>
        <w:tabs>
          <w:tab w:val="left" w:pos="1008"/>
        </w:tabs>
        <w:ind w:firstLine="480"/>
        <w:rPr>
          <w:rFonts w:hint="eastAsia" w:cs="Times New Roman"/>
          <w:color w:val="auto"/>
          <w:shd w:val="clear" w:color="auto" w:fill="auto"/>
        </w:rPr>
      </w:pPr>
      <w:r>
        <w:rPr>
          <w:rFonts w:hint="eastAsia" w:cs="Times New Roman"/>
          <w:color w:val="auto"/>
          <w:shd w:val="clear" w:color="auto" w:fill="auto"/>
        </w:rPr>
        <w:t>由于这些码头的拆除，阜阳水路运力出现了较大的缺口，急需建设一批现代化的公用码头以填补运能缺口，确保太和地区砂石和件杂货的正常供应，维持市场稳定，保障地方经济的正常发展。此外沙颍河航道整治工程也已经完成，太和县拟抓住航道条件改善的发展机遇，在太和县城关镇沙颍河左岸建设阜阳港太和港区陶庙作业区码头工程，以满足太和县矿建材料和件杂货进口需求。为保障工程能尽快落实上马，迫切需要开展码头工程的前期工作。</w:t>
      </w:r>
    </w:p>
    <w:p>
      <w:pPr>
        <w:tabs>
          <w:tab w:val="left" w:pos="1008"/>
        </w:tabs>
        <w:ind w:firstLine="480"/>
        <w:rPr>
          <w:rFonts w:hint="eastAsia" w:cs="Times New Roman"/>
          <w:color w:val="auto"/>
          <w:shd w:val="clear" w:color="auto" w:fill="auto"/>
          <w:lang w:val="en-US"/>
        </w:rPr>
      </w:pPr>
      <w:r>
        <w:rPr>
          <w:rFonts w:hint="eastAsia" w:cs="Times New Roman"/>
          <w:color w:val="auto"/>
          <w:shd w:val="clear" w:color="auto" w:fill="auto"/>
          <w:lang w:val="en-US" w:eastAsia="zh-CN"/>
        </w:rPr>
        <w:t>太和</w:t>
      </w:r>
      <w:r>
        <w:rPr>
          <w:rFonts w:hint="eastAsia" w:cs="Times New Roman"/>
          <w:color w:val="auto"/>
          <w:shd w:val="clear" w:color="auto" w:fill="auto"/>
          <w:lang w:eastAsia="zh-CN"/>
        </w:rPr>
        <w:t>县</w:t>
      </w:r>
      <w:r>
        <w:rPr>
          <w:rFonts w:hint="eastAsia" w:cs="Times New Roman"/>
          <w:color w:val="auto"/>
          <w:shd w:val="clear" w:color="auto" w:fill="auto"/>
        </w:rPr>
        <w:t>发展和改革委员会已对</w:t>
      </w:r>
      <w:r>
        <w:rPr>
          <w:rFonts w:hint="eastAsia" w:cs="Times New Roman"/>
          <w:color w:val="auto"/>
          <w:shd w:val="clear" w:color="auto" w:fill="auto"/>
          <w:lang w:eastAsia="zh-CN"/>
        </w:rPr>
        <w:t>阜阳港太和港区陶庙作业区码头工程</w:t>
      </w:r>
      <w:r>
        <w:rPr>
          <w:rFonts w:hint="eastAsia" w:cs="Times New Roman"/>
          <w:color w:val="auto"/>
          <w:shd w:val="clear" w:color="auto" w:fill="auto"/>
        </w:rPr>
        <w:t>项目备案</w:t>
      </w:r>
      <w:r>
        <w:rPr>
          <w:rFonts w:hint="eastAsia" w:cs="Times New Roman"/>
          <w:color w:val="auto"/>
          <w:shd w:val="clear" w:color="auto" w:fill="auto"/>
          <w:lang w:eastAsia="zh-CN"/>
        </w:rPr>
        <w:t>，</w:t>
      </w:r>
      <w:r>
        <w:rPr>
          <w:rFonts w:hint="eastAsia" w:cs="Times New Roman"/>
          <w:color w:val="auto"/>
          <w:shd w:val="clear" w:color="auto" w:fill="auto"/>
        </w:rPr>
        <w:t>同意</w:t>
      </w:r>
      <w:r>
        <w:rPr>
          <w:rFonts w:hint="eastAsia" w:cs="Times New Roman"/>
          <w:color w:val="auto"/>
          <w:shd w:val="clear" w:color="auto" w:fill="auto"/>
          <w:lang w:eastAsia="zh-CN"/>
        </w:rPr>
        <w:t>阜阳港太和港区陶庙作业区码头工程</w:t>
      </w:r>
      <w:r>
        <w:rPr>
          <w:rFonts w:hint="eastAsia" w:cs="Times New Roman"/>
          <w:color w:val="auto"/>
          <w:shd w:val="clear" w:color="auto" w:fill="auto"/>
        </w:rPr>
        <w:t>项目建设</w:t>
      </w:r>
      <w:r>
        <w:rPr>
          <w:rFonts w:hint="eastAsia" w:cs="Times New Roman"/>
          <w:color w:val="auto"/>
          <w:shd w:val="clear" w:color="auto" w:fill="auto"/>
          <w:lang w:eastAsia="zh-CN"/>
        </w:rPr>
        <w:t>。</w:t>
      </w:r>
      <w:r>
        <w:rPr>
          <w:rFonts w:hint="eastAsia" w:cs="Times New Roman"/>
          <w:color w:val="auto"/>
          <w:shd w:val="clear" w:color="auto" w:fill="auto"/>
          <w:lang w:val="en-US" w:eastAsia="zh-CN"/>
        </w:rPr>
        <w:t>项目代码：2019-341222-55-03-026709。</w:t>
      </w:r>
    </w:p>
    <w:p>
      <w:pPr>
        <w:tabs>
          <w:tab w:val="left" w:pos="1008"/>
        </w:tabs>
        <w:ind w:firstLine="480"/>
        <w:rPr>
          <w:rFonts w:cs="Times New Roman"/>
          <w:color w:val="auto"/>
          <w:shd w:val="clear" w:color="auto" w:fill="auto"/>
        </w:rPr>
      </w:pPr>
      <w:r>
        <w:rPr>
          <w:rFonts w:cs="Times New Roman"/>
          <w:color w:val="auto"/>
          <w:shd w:val="clear" w:color="auto" w:fill="auto"/>
        </w:rPr>
        <w:t>根据</w:t>
      </w:r>
      <w:r>
        <w:rPr>
          <w:rFonts w:hint="eastAsia" w:cs="Times New Roman"/>
          <w:color w:val="auto"/>
          <w:shd w:val="clear" w:color="auto" w:fill="auto"/>
        </w:rPr>
        <w:t>《中华人民共和国环境保护法》、</w:t>
      </w:r>
      <w:r>
        <w:rPr>
          <w:rFonts w:cs="Times New Roman"/>
          <w:color w:val="auto"/>
          <w:shd w:val="clear" w:color="auto" w:fill="auto"/>
        </w:rPr>
        <w:t>《中华人民共和国环境影响评价法》</w:t>
      </w:r>
      <w:r>
        <w:rPr>
          <w:rFonts w:hint="eastAsia" w:cs="Times New Roman"/>
          <w:color w:val="auto"/>
          <w:shd w:val="clear" w:color="auto" w:fill="auto"/>
        </w:rPr>
        <w:t>及</w:t>
      </w:r>
      <w:r>
        <w:rPr>
          <w:rFonts w:cs="Times New Roman"/>
          <w:color w:val="auto"/>
          <w:shd w:val="clear" w:color="auto" w:fill="auto"/>
        </w:rPr>
        <w:t>《建设项目环境保护管理条例》</w:t>
      </w:r>
      <w:r>
        <w:rPr>
          <w:rFonts w:hint="eastAsia" w:cs="Times New Roman"/>
          <w:color w:val="auto"/>
          <w:shd w:val="clear" w:color="auto" w:fill="auto"/>
        </w:rPr>
        <w:t>（</w:t>
      </w:r>
      <w:r>
        <w:rPr>
          <w:rFonts w:cs="Times New Roman"/>
          <w:color w:val="auto"/>
          <w:shd w:val="clear" w:color="auto" w:fill="auto"/>
        </w:rPr>
        <w:t>国务院第</w:t>
      </w:r>
      <w:r>
        <w:rPr>
          <w:rFonts w:hint="eastAsia" w:cs="Times New Roman"/>
          <w:color w:val="auto"/>
          <w:shd w:val="clear" w:color="auto" w:fill="auto"/>
          <w:lang w:val="en-US" w:eastAsia="zh-CN"/>
        </w:rPr>
        <w:t>682</w:t>
      </w:r>
      <w:r>
        <w:rPr>
          <w:rFonts w:cs="Times New Roman"/>
          <w:color w:val="auto"/>
          <w:shd w:val="clear" w:color="auto" w:fill="auto"/>
        </w:rPr>
        <w:t>号令</w:t>
      </w:r>
      <w:r>
        <w:rPr>
          <w:rFonts w:hint="eastAsia" w:cs="Times New Roman"/>
          <w:color w:val="auto"/>
          <w:shd w:val="clear" w:color="auto" w:fill="auto"/>
        </w:rPr>
        <w:t>）</w:t>
      </w:r>
      <w:r>
        <w:rPr>
          <w:rFonts w:cs="Times New Roman"/>
          <w:color w:val="auto"/>
          <w:shd w:val="clear" w:color="auto" w:fill="auto"/>
        </w:rPr>
        <w:t>等有关国家环境保护法律法规规定，</w:t>
      </w:r>
      <w:r>
        <w:rPr>
          <w:rFonts w:hint="eastAsia"/>
          <w:color w:val="auto"/>
          <w:shd w:val="clear" w:color="auto" w:fill="auto"/>
        </w:rPr>
        <w:t>安徽省交通勘察设计院有限公司</w:t>
      </w:r>
      <w:r>
        <w:rPr>
          <w:rFonts w:hint="eastAsia" w:cs="Times New Roman"/>
          <w:color w:val="auto"/>
          <w:shd w:val="clear" w:color="auto" w:fill="auto"/>
          <w:lang w:eastAsia="zh-CN"/>
        </w:rPr>
        <w:t>于</w:t>
      </w:r>
      <w:r>
        <w:rPr>
          <w:rFonts w:cs="Times New Roman"/>
          <w:color w:val="auto"/>
          <w:highlight w:val="none"/>
          <w:shd w:val="clear" w:color="auto" w:fill="auto"/>
        </w:rPr>
        <w:t>20</w:t>
      </w:r>
      <w:r>
        <w:rPr>
          <w:rFonts w:hint="eastAsia" w:cs="Times New Roman"/>
          <w:color w:val="auto"/>
          <w:highlight w:val="none"/>
          <w:shd w:val="clear" w:color="auto" w:fill="auto"/>
          <w:lang w:val="en-US" w:eastAsia="zh-CN"/>
        </w:rPr>
        <w:t>20</w:t>
      </w:r>
      <w:r>
        <w:rPr>
          <w:rFonts w:cs="Times New Roman"/>
          <w:color w:val="auto"/>
          <w:highlight w:val="none"/>
          <w:shd w:val="clear" w:color="auto" w:fill="auto"/>
        </w:rPr>
        <w:t>年</w:t>
      </w:r>
      <w:r>
        <w:rPr>
          <w:rFonts w:hint="eastAsia" w:cs="Times New Roman"/>
          <w:color w:val="auto"/>
          <w:highlight w:val="none"/>
          <w:shd w:val="clear" w:color="auto" w:fill="auto"/>
          <w:lang w:val="en-US" w:eastAsia="zh-CN"/>
        </w:rPr>
        <w:t>3</w:t>
      </w:r>
      <w:r>
        <w:rPr>
          <w:rFonts w:cs="Times New Roman"/>
          <w:color w:val="auto"/>
          <w:highlight w:val="none"/>
          <w:shd w:val="clear" w:color="auto" w:fill="auto"/>
        </w:rPr>
        <w:t>月</w:t>
      </w:r>
      <w:r>
        <w:rPr>
          <w:rFonts w:hint="eastAsia" w:cs="Times New Roman"/>
          <w:color w:val="auto"/>
          <w:highlight w:val="none"/>
          <w:shd w:val="clear" w:color="auto" w:fill="auto"/>
          <w:lang w:val="en-US" w:eastAsia="zh-CN"/>
        </w:rPr>
        <w:t>1日</w:t>
      </w:r>
      <w:r>
        <w:rPr>
          <w:rFonts w:cs="Times New Roman"/>
          <w:color w:val="auto"/>
          <w:shd w:val="clear" w:color="auto" w:fill="auto"/>
        </w:rPr>
        <w:t>正式委托</w:t>
      </w:r>
      <w:r>
        <w:rPr>
          <w:rFonts w:hint="eastAsia" w:cs="Times New Roman"/>
          <w:color w:val="auto"/>
          <w:shd w:val="clear" w:color="auto" w:fill="auto"/>
          <w:lang w:eastAsia="zh-CN"/>
        </w:rPr>
        <w:t>安徽禾美环保集团有限公司</w:t>
      </w:r>
      <w:r>
        <w:rPr>
          <w:color w:val="auto"/>
          <w:shd w:val="clear" w:color="auto" w:fill="auto"/>
        </w:rPr>
        <w:t>承担该项目的环境影响评价工作，编制本项目的环境影响报告书。我</w:t>
      </w:r>
      <w:r>
        <w:rPr>
          <w:rFonts w:hint="eastAsia"/>
          <w:color w:val="auto"/>
          <w:shd w:val="clear" w:color="auto" w:fill="auto"/>
        </w:rPr>
        <w:t>公司</w:t>
      </w:r>
      <w:r>
        <w:rPr>
          <w:color w:val="auto"/>
          <w:shd w:val="clear" w:color="auto" w:fill="auto"/>
        </w:rPr>
        <w:t>接受委托后，及时组织有关专业技术人员赴现场踏勘、调研，收集了与项目有关的工程技术资料，并进行了工程分析和环境影响预测。在此基础上，按照国家对建设项目环境影响评价的有关规定、相关环保政策与技术规范，编制完成了《</w:t>
      </w:r>
      <w:r>
        <w:rPr>
          <w:rFonts w:hint="eastAsia"/>
          <w:color w:val="auto"/>
          <w:shd w:val="clear" w:color="auto" w:fill="auto"/>
          <w:lang w:val="en-US" w:eastAsia="zh-CN"/>
        </w:rPr>
        <w:t>太和县鸿泰港口服务有限公司</w:t>
      </w:r>
      <w:r>
        <w:rPr>
          <w:rFonts w:hint="eastAsia"/>
          <w:color w:val="auto"/>
          <w:shd w:val="clear" w:color="auto" w:fill="auto"/>
          <w:lang w:eastAsia="zh-CN"/>
        </w:rPr>
        <w:t>阜阳港太和港区陶庙作业区码头工程</w:t>
      </w:r>
      <w:r>
        <w:rPr>
          <w:color w:val="auto"/>
          <w:shd w:val="clear" w:color="auto" w:fill="auto"/>
        </w:rPr>
        <w:t>环境影响报告书》，现呈报环境保护主管部门审批。</w:t>
      </w:r>
    </w:p>
    <w:p>
      <w:pPr>
        <w:pStyle w:val="4"/>
        <w:bidi w:val="0"/>
        <w:rPr>
          <w:color w:val="auto"/>
          <w:shd w:val="clear" w:color="auto" w:fill="auto"/>
        </w:rPr>
      </w:pPr>
      <w:bookmarkStart w:id="3" w:name="_Toc29570_WPSOffice_Level1"/>
      <w:bookmarkStart w:id="4" w:name="_Toc24044_WPSOffice_Level1"/>
      <w:bookmarkStart w:id="5" w:name="_Toc29550"/>
      <w:bookmarkStart w:id="6" w:name="_Toc27752_WPSOffice_Level1"/>
      <w:r>
        <w:rPr>
          <w:rFonts w:hint="eastAsia"/>
          <w:color w:val="auto"/>
          <w:shd w:val="clear" w:color="auto" w:fill="auto"/>
          <w:lang w:val="en-US" w:eastAsia="zh-CN"/>
        </w:rPr>
        <w:t>1.</w:t>
      </w:r>
      <w:r>
        <w:rPr>
          <w:rFonts w:hint="eastAsia"/>
          <w:color w:val="auto"/>
          <w:shd w:val="clear" w:color="auto" w:fill="auto"/>
        </w:rPr>
        <w:t>项目特点</w:t>
      </w:r>
      <w:bookmarkEnd w:id="3"/>
      <w:bookmarkEnd w:id="4"/>
      <w:bookmarkEnd w:id="5"/>
      <w:bookmarkEnd w:id="6"/>
    </w:p>
    <w:p>
      <w:pPr>
        <w:spacing w:line="360" w:lineRule="auto"/>
        <w:ind w:firstLine="480" w:firstLineChars="200"/>
        <w:rPr>
          <w:rFonts w:hint="eastAsia"/>
          <w:color w:val="auto"/>
          <w:shd w:val="clear" w:color="auto" w:fill="auto"/>
        </w:rPr>
      </w:pPr>
      <w:r>
        <w:rPr>
          <w:rFonts w:hint="eastAsia"/>
          <w:color w:val="auto"/>
          <w:shd w:val="clear" w:color="auto" w:fill="auto"/>
        </w:rPr>
        <w:t>拟建</w:t>
      </w:r>
      <w:r>
        <w:rPr>
          <w:rFonts w:hint="eastAsia"/>
          <w:color w:val="auto"/>
          <w:shd w:val="clear" w:color="auto" w:fill="auto"/>
          <w:lang w:eastAsia="zh-CN"/>
        </w:rPr>
        <w:t>阜阳港太和港区陶庙作业区码头工程</w:t>
      </w:r>
      <w:r>
        <w:rPr>
          <w:rFonts w:hint="eastAsia"/>
          <w:color w:val="auto"/>
          <w:shd w:val="clear" w:color="auto" w:fill="auto"/>
        </w:rPr>
        <w:t>位于</w:t>
      </w:r>
      <w:r>
        <w:rPr>
          <w:rFonts w:hint="eastAsia"/>
          <w:color w:val="auto"/>
          <w:shd w:val="clear" w:color="auto" w:fill="auto"/>
          <w:lang w:eastAsia="zh-CN"/>
        </w:rPr>
        <w:t>城关镇陶桥村上游沙颍河北岸，上距太和二桥约1.8km</w:t>
      </w:r>
      <w:r>
        <w:rPr>
          <w:rFonts w:hint="eastAsia" w:ascii="Times New Roman" w:hAnsi="Times New Roman" w:cs="Times New Roman"/>
          <w:color w:val="auto"/>
          <w:shd w:val="clear" w:color="auto" w:fill="auto"/>
          <w:lang w:eastAsia="zh-CN"/>
        </w:rPr>
        <w:t>，占用太和港区</w:t>
      </w:r>
      <w:r>
        <w:rPr>
          <w:rFonts w:hint="eastAsia" w:ascii="Times New Roman" w:hAnsi="Times New Roman" w:cs="Times New Roman"/>
          <w:color w:val="auto"/>
          <w:shd w:val="clear" w:color="auto" w:fill="auto"/>
          <w:lang w:val="en-US" w:eastAsia="zh-CN"/>
        </w:rPr>
        <w:t>陶庙</w:t>
      </w:r>
      <w:r>
        <w:rPr>
          <w:rFonts w:hint="eastAsia" w:ascii="Times New Roman" w:hAnsi="Times New Roman" w:cs="Times New Roman"/>
          <w:color w:val="auto"/>
          <w:shd w:val="clear" w:color="auto" w:fill="auto"/>
          <w:lang w:eastAsia="zh-CN"/>
        </w:rPr>
        <w:t>作业区</w:t>
      </w:r>
      <w:r>
        <w:rPr>
          <w:rFonts w:hint="eastAsia" w:ascii="Times New Roman" w:hAnsi="Times New Roman" w:cs="Times New Roman"/>
          <w:color w:val="auto"/>
          <w:shd w:val="clear" w:color="auto" w:fill="auto"/>
          <w:lang w:val="en-US" w:eastAsia="zh-CN"/>
        </w:rPr>
        <w:t>陶庙</w:t>
      </w:r>
      <w:r>
        <w:rPr>
          <w:rFonts w:hint="eastAsia" w:ascii="Times New Roman" w:hAnsi="Times New Roman" w:cs="Times New Roman"/>
          <w:color w:val="auto"/>
          <w:shd w:val="clear" w:color="auto" w:fill="auto"/>
          <w:lang w:eastAsia="zh-CN"/>
        </w:rPr>
        <w:t>岸线</w:t>
      </w:r>
      <w:r>
        <w:rPr>
          <w:rFonts w:hint="eastAsia" w:ascii="Times New Roman" w:hAnsi="Times New Roman" w:cs="Times New Roman"/>
          <w:color w:val="auto"/>
          <w:shd w:val="clear" w:color="auto" w:fill="auto"/>
          <w:lang w:val="en-US" w:eastAsia="zh-CN"/>
        </w:rPr>
        <w:t>220</w:t>
      </w:r>
      <w:r>
        <w:rPr>
          <w:rFonts w:hint="eastAsia" w:cs="Times New Roman"/>
          <w:color w:val="auto"/>
          <w:shd w:val="clear" w:color="auto" w:fill="auto"/>
          <w:lang w:val="en-US" w:eastAsia="zh-CN"/>
        </w:rPr>
        <w:t>m</w:t>
      </w:r>
      <w:r>
        <w:rPr>
          <w:rFonts w:hint="eastAsia" w:ascii="Times New Roman" w:hAnsi="Times New Roman" w:cs="Times New Roman"/>
          <w:color w:val="auto"/>
          <w:shd w:val="clear" w:color="auto" w:fill="auto"/>
        </w:rPr>
        <w:t>。</w:t>
      </w:r>
      <w:r>
        <w:rPr>
          <w:rFonts w:hint="eastAsia"/>
          <w:color w:val="auto"/>
          <w:shd w:val="clear" w:color="auto" w:fill="auto"/>
        </w:rPr>
        <w:t>本工程建设规模为</w:t>
      </w:r>
      <w:r>
        <w:rPr>
          <w:rFonts w:hint="eastAsia"/>
          <w:color w:val="auto"/>
          <w:shd w:val="clear" w:color="auto" w:fill="auto"/>
          <w:lang w:val="en-US" w:eastAsia="zh-CN"/>
        </w:rPr>
        <w:t>3</w:t>
      </w:r>
      <w:r>
        <w:rPr>
          <w:rFonts w:hint="eastAsia"/>
          <w:color w:val="auto"/>
          <w:shd w:val="clear" w:color="auto" w:fill="auto"/>
        </w:rPr>
        <w:t>个1000吨级泊位（</w:t>
      </w:r>
      <w:r>
        <w:rPr>
          <w:rFonts w:hint="eastAsia"/>
          <w:color w:val="auto"/>
          <w:shd w:val="clear" w:color="auto" w:fill="auto"/>
          <w:lang w:eastAsia="zh-CN"/>
        </w:rPr>
        <w:t>均为</w:t>
      </w:r>
      <w:r>
        <w:rPr>
          <w:rFonts w:hint="eastAsia"/>
          <w:color w:val="auto"/>
          <w:shd w:val="clear" w:color="auto" w:fill="auto"/>
        </w:rPr>
        <w:t>散货泊位），预测散货年吞吐量</w:t>
      </w:r>
      <w:r>
        <w:rPr>
          <w:rFonts w:hint="eastAsia"/>
          <w:color w:val="auto"/>
          <w:shd w:val="clear" w:color="auto" w:fill="auto"/>
          <w:lang w:eastAsia="zh-CN"/>
        </w:rPr>
        <w:t>150</w:t>
      </w:r>
      <w:r>
        <w:rPr>
          <w:rFonts w:hint="eastAsia"/>
          <w:color w:val="auto"/>
          <w:shd w:val="clear" w:color="auto" w:fill="auto"/>
        </w:rPr>
        <w:t>万吨，主要货种为矿建材料，码头占用河滩地面积约为54.2亩。码头平台长220</w:t>
      </w:r>
      <w:r>
        <w:rPr>
          <w:rFonts w:hint="eastAsia"/>
          <w:color w:val="auto"/>
          <w:shd w:val="clear" w:color="auto" w:fill="auto"/>
          <w:lang w:eastAsia="zh-CN"/>
        </w:rPr>
        <w:t>m</w:t>
      </w:r>
      <w:r>
        <w:rPr>
          <w:rFonts w:hint="eastAsia"/>
          <w:color w:val="auto"/>
          <w:shd w:val="clear" w:color="auto" w:fill="auto"/>
        </w:rPr>
        <w:t>，宽25</w:t>
      </w:r>
      <w:r>
        <w:rPr>
          <w:rFonts w:hint="eastAsia"/>
          <w:color w:val="auto"/>
          <w:shd w:val="clear" w:color="auto" w:fill="auto"/>
          <w:lang w:eastAsia="zh-CN"/>
        </w:rPr>
        <w:t>m</w:t>
      </w:r>
      <w:r>
        <w:rPr>
          <w:rFonts w:hint="eastAsia"/>
          <w:color w:val="auto"/>
          <w:shd w:val="clear" w:color="auto" w:fill="auto"/>
        </w:rPr>
        <w:t>，后方通过挡墙与滩地连成整体，考虑到车辆行驶，码头后方设置一条5</w:t>
      </w:r>
      <w:r>
        <w:rPr>
          <w:rFonts w:hint="eastAsia"/>
          <w:color w:val="auto"/>
          <w:shd w:val="clear" w:color="auto" w:fill="auto"/>
          <w:lang w:eastAsia="zh-CN"/>
        </w:rPr>
        <w:t>m</w:t>
      </w:r>
      <w:r>
        <w:rPr>
          <w:rFonts w:hint="eastAsia"/>
          <w:color w:val="auto"/>
          <w:shd w:val="clear" w:color="auto" w:fill="auto"/>
        </w:rPr>
        <w:t>宽加宽道路。码头上下游各设置一条9</w:t>
      </w:r>
      <w:r>
        <w:rPr>
          <w:rFonts w:hint="eastAsia"/>
          <w:color w:val="auto"/>
          <w:shd w:val="clear" w:color="auto" w:fill="auto"/>
          <w:lang w:eastAsia="zh-CN"/>
        </w:rPr>
        <w:t>m</w:t>
      </w:r>
      <w:r>
        <w:rPr>
          <w:rFonts w:hint="eastAsia"/>
          <w:color w:val="auto"/>
          <w:shd w:val="clear" w:color="auto" w:fill="auto"/>
        </w:rPr>
        <w:t>宽循环道路，疏港道路宽15</w:t>
      </w:r>
      <w:r>
        <w:rPr>
          <w:rFonts w:hint="eastAsia"/>
          <w:color w:val="auto"/>
          <w:shd w:val="clear" w:color="auto" w:fill="auto"/>
          <w:lang w:eastAsia="zh-CN"/>
        </w:rPr>
        <w:t>m</w:t>
      </w:r>
      <w:r>
        <w:rPr>
          <w:rFonts w:hint="eastAsia"/>
          <w:color w:val="auto"/>
          <w:shd w:val="clear" w:color="auto" w:fill="auto"/>
        </w:rPr>
        <w:t>，斜向上堤顶后与现有大堤道路平交连接。</w:t>
      </w:r>
    </w:p>
    <w:p>
      <w:pPr>
        <w:spacing w:line="360" w:lineRule="auto"/>
        <w:ind w:firstLine="480" w:firstLineChars="200"/>
        <w:rPr>
          <w:color w:val="auto"/>
          <w:shd w:val="clear" w:color="auto" w:fill="auto"/>
        </w:rPr>
      </w:pPr>
      <w:r>
        <w:rPr>
          <w:rFonts w:hint="eastAsia"/>
          <w:color w:val="auto"/>
          <w:shd w:val="clear" w:color="auto" w:fill="auto"/>
        </w:rPr>
        <w:t>码头配套的沉淀池、地磅等均布置在码头平台后方的滩地上。因滩地洪水期被水淹没，管理用房采用可移动的成品集装箱房屋。陆域布置在码头太和锚地北侧堤后方，占地约36亩。后方布置1个6550平散货仓库以及生产办公区、停车场等设施。陆域设置循环道路，主干道宽12</w:t>
      </w:r>
      <w:r>
        <w:rPr>
          <w:rFonts w:hint="eastAsia"/>
          <w:color w:val="auto"/>
          <w:shd w:val="clear" w:color="auto" w:fill="auto"/>
          <w:lang w:eastAsia="zh-CN"/>
        </w:rPr>
        <w:t>m</w:t>
      </w:r>
      <w:r>
        <w:rPr>
          <w:rFonts w:hint="eastAsia"/>
          <w:color w:val="auto"/>
          <w:shd w:val="clear" w:color="auto" w:fill="auto"/>
        </w:rPr>
        <w:t>，一般道路宽7</w:t>
      </w:r>
      <w:r>
        <w:rPr>
          <w:rFonts w:hint="eastAsia"/>
          <w:color w:val="auto"/>
          <w:shd w:val="clear" w:color="auto" w:fill="auto"/>
          <w:lang w:eastAsia="zh-CN"/>
        </w:rPr>
        <w:t>m</w:t>
      </w:r>
      <w:r>
        <w:rPr>
          <w:rFonts w:hint="eastAsia"/>
          <w:color w:val="auto"/>
          <w:shd w:val="clear" w:color="auto" w:fill="auto"/>
        </w:rPr>
        <w:t>，区域周边设置5</w:t>
      </w:r>
      <w:r>
        <w:rPr>
          <w:rFonts w:hint="eastAsia"/>
          <w:color w:val="auto"/>
          <w:shd w:val="clear" w:color="auto" w:fill="auto"/>
          <w:lang w:eastAsia="zh-CN"/>
        </w:rPr>
        <w:t>m</w:t>
      </w:r>
      <w:r>
        <w:rPr>
          <w:rFonts w:hint="eastAsia"/>
          <w:color w:val="auto"/>
          <w:shd w:val="clear" w:color="auto" w:fill="auto"/>
        </w:rPr>
        <w:t>宽的绿化带及围墙。</w:t>
      </w:r>
    </w:p>
    <w:p>
      <w:pPr>
        <w:ind w:firstLine="480"/>
        <w:rPr>
          <w:color w:val="auto"/>
          <w:highlight w:val="yellow"/>
          <w:shd w:val="clear" w:color="auto" w:fill="auto"/>
        </w:rPr>
      </w:pPr>
      <w:r>
        <w:rPr>
          <w:rFonts w:hint="eastAsia"/>
          <w:color w:val="auto"/>
          <w:highlight w:val="none"/>
          <w:shd w:val="clear" w:color="auto" w:fill="auto"/>
        </w:rPr>
        <w:t>本项目计划于20</w:t>
      </w:r>
      <w:r>
        <w:rPr>
          <w:rFonts w:hint="eastAsia"/>
          <w:color w:val="auto"/>
          <w:highlight w:val="none"/>
          <w:shd w:val="clear" w:color="auto" w:fill="auto"/>
          <w:lang w:val="en-US" w:eastAsia="zh-CN"/>
        </w:rPr>
        <w:t>20</w:t>
      </w:r>
      <w:r>
        <w:rPr>
          <w:rFonts w:hint="eastAsia"/>
          <w:color w:val="auto"/>
          <w:highlight w:val="none"/>
          <w:shd w:val="clear" w:color="auto" w:fill="auto"/>
        </w:rPr>
        <w:t>年1</w:t>
      </w:r>
      <w:r>
        <w:rPr>
          <w:rFonts w:hint="eastAsia"/>
          <w:color w:val="auto"/>
          <w:highlight w:val="none"/>
          <w:shd w:val="clear" w:color="auto" w:fill="auto"/>
          <w:lang w:val="en-US" w:eastAsia="zh-CN"/>
        </w:rPr>
        <w:t>0</w:t>
      </w:r>
      <w:r>
        <w:rPr>
          <w:rFonts w:hint="eastAsia"/>
          <w:color w:val="auto"/>
          <w:highlight w:val="none"/>
          <w:shd w:val="clear" w:color="auto" w:fill="auto"/>
        </w:rPr>
        <w:t>月开工建设，202</w:t>
      </w:r>
      <w:r>
        <w:rPr>
          <w:rFonts w:hint="eastAsia"/>
          <w:color w:val="auto"/>
          <w:highlight w:val="none"/>
          <w:shd w:val="clear" w:color="auto" w:fill="auto"/>
          <w:lang w:val="en-US" w:eastAsia="zh-CN"/>
        </w:rPr>
        <w:t>1</w:t>
      </w:r>
      <w:r>
        <w:rPr>
          <w:rFonts w:hint="eastAsia"/>
          <w:color w:val="auto"/>
          <w:highlight w:val="none"/>
          <w:shd w:val="clear" w:color="auto" w:fill="auto"/>
        </w:rPr>
        <w:t>年</w:t>
      </w:r>
      <w:r>
        <w:rPr>
          <w:rFonts w:hint="eastAsia"/>
          <w:color w:val="auto"/>
          <w:highlight w:val="none"/>
          <w:shd w:val="clear" w:color="auto" w:fill="auto"/>
          <w:lang w:val="en-US" w:eastAsia="zh-CN"/>
        </w:rPr>
        <w:t>9</w:t>
      </w:r>
      <w:r>
        <w:rPr>
          <w:rFonts w:hint="eastAsia"/>
          <w:color w:val="auto"/>
          <w:highlight w:val="none"/>
          <w:shd w:val="clear" w:color="auto" w:fill="auto"/>
        </w:rPr>
        <w:t>月完成所有工程项目，建设工期为</w:t>
      </w:r>
      <w:r>
        <w:rPr>
          <w:rFonts w:hint="eastAsia"/>
          <w:color w:val="auto"/>
          <w:highlight w:val="none"/>
          <w:shd w:val="clear" w:color="auto" w:fill="auto"/>
          <w:lang w:val="en-US" w:eastAsia="zh-CN"/>
        </w:rPr>
        <w:t>1</w:t>
      </w:r>
      <w:r>
        <w:rPr>
          <w:rFonts w:hint="eastAsia"/>
          <w:color w:val="auto"/>
          <w:highlight w:val="none"/>
          <w:shd w:val="clear" w:color="auto" w:fill="auto"/>
        </w:rPr>
        <w:t>年。投资估算总金额为</w:t>
      </w:r>
      <w:r>
        <w:rPr>
          <w:rFonts w:hint="eastAsia" w:cs="Times New Roman"/>
          <w:color w:val="auto"/>
          <w:highlight w:val="none"/>
          <w:shd w:val="clear" w:color="auto" w:fill="auto"/>
          <w:lang w:eastAsia="zh-CN"/>
        </w:rPr>
        <w:t>6954.60</w:t>
      </w:r>
      <w:r>
        <w:rPr>
          <w:rFonts w:hint="eastAsia" w:ascii="Times New Roman" w:hAnsi="Times New Roman" w:cs="Times New Roman"/>
          <w:color w:val="auto"/>
          <w:highlight w:val="none"/>
          <w:shd w:val="clear" w:color="auto" w:fill="auto"/>
        </w:rPr>
        <w:t>万元。</w:t>
      </w:r>
    </w:p>
    <w:p>
      <w:pPr>
        <w:pStyle w:val="4"/>
        <w:bidi w:val="0"/>
        <w:rPr>
          <w:color w:val="auto"/>
          <w:shd w:val="clear" w:color="auto" w:fill="auto"/>
        </w:rPr>
      </w:pPr>
      <w:bookmarkStart w:id="7" w:name="_Toc3167"/>
      <w:r>
        <w:rPr>
          <w:rFonts w:hint="eastAsia"/>
          <w:color w:val="auto"/>
          <w:shd w:val="clear" w:color="auto" w:fill="auto"/>
          <w:lang w:val="en-US" w:eastAsia="zh-CN"/>
        </w:rPr>
        <w:t>2.</w:t>
      </w:r>
      <w:r>
        <w:rPr>
          <w:rFonts w:hint="eastAsia"/>
          <w:color w:val="auto"/>
          <w:shd w:val="clear" w:color="auto" w:fill="auto"/>
        </w:rPr>
        <w:t>环评工作过程</w:t>
      </w:r>
      <w:bookmarkEnd w:id="7"/>
    </w:p>
    <w:p>
      <w:pPr>
        <w:bidi w:val="0"/>
        <w:rPr>
          <w:color w:val="auto"/>
          <w:shd w:val="clear" w:color="auto" w:fill="auto"/>
        </w:rPr>
      </w:pPr>
      <w:r>
        <w:rPr>
          <w:rFonts w:hint="eastAsia"/>
          <w:color w:val="auto"/>
          <w:shd w:val="clear" w:color="auto" w:fill="auto"/>
        </w:rPr>
        <w:t>◆20</w:t>
      </w:r>
      <w:r>
        <w:rPr>
          <w:rFonts w:hint="eastAsia"/>
          <w:color w:val="auto"/>
          <w:shd w:val="clear" w:color="auto" w:fill="auto"/>
          <w:lang w:val="en-US" w:eastAsia="zh-CN"/>
        </w:rPr>
        <w:t>20</w:t>
      </w:r>
      <w:r>
        <w:rPr>
          <w:rFonts w:hint="eastAsia"/>
          <w:color w:val="auto"/>
          <w:shd w:val="clear" w:color="auto" w:fill="auto"/>
        </w:rPr>
        <w:t>年</w:t>
      </w:r>
      <w:r>
        <w:rPr>
          <w:rFonts w:hint="eastAsia"/>
          <w:color w:val="auto"/>
          <w:shd w:val="clear" w:color="auto" w:fill="auto"/>
          <w:lang w:val="en-US" w:eastAsia="zh-CN"/>
        </w:rPr>
        <w:t>6</w:t>
      </w:r>
      <w:r>
        <w:rPr>
          <w:rFonts w:hint="eastAsia"/>
          <w:color w:val="auto"/>
          <w:shd w:val="clear" w:color="auto" w:fill="auto"/>
        </w:rPr>
        <w:t>月</w:t>
      </w:r>
      <w:r>
        <w:rPr>
          <w:rFonts w:hint="eastAsia"/>
          <w:color w:val="auto"/>
          <w:shd w:val="clear" w:color="auto" w:fill="auto"/>
          <w:lang w:val="en-US" w:eastAsia="zh-CN"/>
        </w:rPr>
        <w:t>1</w:t>
      </w:r>
      <w:r>
        <w:rPr>
          <w:rFonts w:hint="eastAsia"/>
          <w:color w:val="auto"/>
          <w:shd w:val="clear" w:color="auto" w:fill="auto"/>
        </w:rPr>
        <w:t>日，</w:t>
      </w:r>
      <w:r>
        <w:rPr>
          <w:rFonts w:hint="eastAsia"/>
          <w:color w:val="auto"/>
          <w:shd w:val="clear" w:color="auto" w:fill="auto"/>
          <w:lang w:eastAsia="zh-CN"/>
        </w:rPr>
        <w:t>安徽禾美环保集团</w:t>
      </w:r>
      <w:r>
        <w:rPr>
          <w:rFonts w:hint="eastAsia"/>
          <w:color w:val="auto"/>
          <w:shd w:val="clear" w:color="auto" w:fill="auto"/>
        </w:rPr>
        <w:t>有限公司受安徽省交通勘察设计院有限公司委托，承担该项目的编制工作。</w:t>
      </w:r>
    </w:p>
    <w:p>
      <w:pPr>
        <w:bidi w:val="0"/>
        <w:rPr>
          <w:rFonts w:hint="eastAsia" w:eastAsia="宋体"/>
          <w:color w:val="auto"/>
          <w:shd w:val="clear" w:color="auto" w:fill="auto"/>
          <w:lang w:eastAsia="zh-CN"/>
        </w:rPr>
      </w:pPr>
      <w:r>
        <w:rPr>
          <w:rFonts w:hint="eastAsia"/>
          <w:color w:val="auto"/>
          <w:shd w:val="clear" w:color="auto" w:fill="auto"/>
        </w:rPr>
        <w:t>◆20</w:t>
      </w:r>
      <w:r>
        <w:rPr>
          <w:rFonts w:hint="eastAsia"/>
          <w:color w:val="auto"/>
          <w:shd w:val="clear" w:color="auto" w:fill="auto"/>
          <w:lang w:val="en-US" w:eastAsia="zh-CN"/>
        </w:rPr>
        <w:t>20</w:t>
      </w:r>
      <w:r>
        <w:rPr>
          <w:rFonts w:hint="eastAsia"/>
          <w:color w:val="auto"/>
          <w:shd w:val="clear" w:color="auto" w:fill="auto"/>
        </w:rPr>
        <w:t>年</w:t>
      </w:r>
      <w:r>
        <w:rPr>
          <w:rFonts w:hint="eastAsia"/>
          <w:color w:val="auto"/>
          <w:shd w:val="clear" w:color="auto" w:fill="auto"/>
          <w:lang w:val="en-US" w:eastAsia="zh-CN"/>
        </w:rPr>
        <w:t>3</w:t>
      </w:r>
      <w:r>
        <w:rPr>
          <w:rFonts w:hint="eastAsia"/>
          <w:color w:val="auto"/>
          <w:shd w:val="clear" w:color="auto" w:fill="auto"/>
        </w:rPr>
        <w:t>月</w:t>
      </w:r>
      <w:r>
        <w:rPr>
          <w:rFonts w:hint="eastAsia"/>
          <w:color w:val="auto"/>
          <w:shd w:val="clear" w:color="auto" w:fill="auto"/>
          <w:lang w:val="en-US" w:eastAsia="zh-CN"/>
        </w:rPr>
        <w:t>19</w:t>
      </w:r>
      <w:r>
        <w:rPr>
          <w:rFonts w:hint="eastAsia"/>
          <w:color w:val="auto"/>
          <w:shd w:val="clear" w:color="auto" w:fill="auto"/>
        </w:rPr>
        <w:t>日，该项目环评</w:t>
      </w:r>
      <w:r>
        <w:rPr>
          <w:rFonts w:hint="eastAsia"/>
          <w:color w:val="auto"/>
          <w:shd w:val="clear" w:color="auto" w:fill="auto"/>
          <w:lang w:eastAsia="zh-CN"/>
        </w:rPr>
        <w:t>第一次公示在太和县人民政府网站上发布，同时在项目所在地进行了现场张贴公示；</w:t>
      </w:r>
    </w:p>
    <w:p>
      <w:pPr>
        <w:bidi w:val="0"/>
        <w:rPr>
          <w:color w:val="auto"/>
          <w:shd w:val="clear" w:color="auto" w:fill="auto"/>
        </w:rPr>
      </w:pPr>
      <w:r>
        <w:rPr>
          <w:rFonts w:hint="eastAsia"/>
          <w:color w:val="auto"/>
          <w:shd w:val="clear" w:color="auto" w:fill="auto"/>
        </w:rPr>
        <w:t>◆20</w:t>
      </w:r>
      <w:r>
        <w:rPr>
          <w:rFonts w:hint="eastAsia"/>
          <w:color w:val="auto"/>
          <w:shd w:val="clear" w:color="auto" w:fill="auto"/>
          <w:lang w:val="en-US" w:eastAsia="zh-CN"/>
        </w:rPr>
        <w:t>20</w:t>
      </w:r>
      <w:r>
        <w:rPr>
          <w:rFonts w:hint="eastAsia"/>
          <w:color w:val="auto"/>
          <w:shd w:val="clear" w:color="auto" w:fill="auto"/>
        </w:rPr>
        <w:t>年</w:t>
      </w:r>
      <w:r>
        <w:rPr>
          <w:rFonts w:hint="eastAsia"/>
          <w:color w:val="auto"/>
          <w:shd w:val="clear" w:color="auto" w:fill="auto"/>
          <w:lang w:val="en-US" w:eastAsia="zh-CN"/>
        </w:rPr>
        <w:t>5</w:t>
      </w:r>
      <w:r>
        <w:rPr>
          <w:rFonts w:hint="eastAsia"/>
          <w:color w:val="auto"/>
          <w:shd w:val="clear" w:color="auto" w:fill="auto"/>
        </w:rPr>
        <w:t>月，根据可行性研究报告、设计方案及项目单位提供的其他技术资料进行工程分析，确定评价思路、评价重点及各环境要素评价等级。</w:t>
      </w:r>
    </w:p>
    <w:p>
      <w:pPr>
        <w:bidi w:val="0"/>
        <w:rPr>
          <w:color w:val="auto"/>
          <w:shd w:val="clear" w:color="auto" w:fill="auto"/>
        </w:rPr>
      </w:pPr>
      <w:r>
        <w:rPr>
          <w:rFonts w:hint="eastAsia"/>
          <w:color w:val="auto"/>
          <w:shd w:val="clear" w:color="auto" w:fill="auto"/>
        </w:rPr>
        <w:t>◆20</w:t>
      </w:r>
      <w:r>
        <w:rPr>
          <w:rFonts w:hint="eastAsia"/>
          <w:color w:val="auto"/>
          <w:shd w:val="clear" w:color="auto" w:fill="auto"/>
          <w:lang w:val="en-US" w:eastAsia="zh-CN"/>
        </w:rPr>
        <w:t>20</w:t>
      </w:r>
      <w:r>
        <w:rPr>
          <w:rFonts w:hint="eastAsia"/>
          <w:color w:val="auto"/>
          <w:shd w:val="clear" w:color="auto" w:fill="auto"/>
        </w:rPr>
        <w:t>年</w:t>
      </w:r>
      <w:r>
        <w:rPr>
          <w:rFonts w:hint="eastAsia"/>
          <w:color w:val="auto"/>
          <w:shd w:val="clear" w:color="auto" w:fill="auto"/>
          <w:lang w:val="en-US" w:eastAsia="zh-CN"/>
        </w:rPr>
        <w:t>6</w:t>
      </w:r>
      <w:r>
        <w:rPr>
          <w:rFonts w:hint="eastAsia"/>
          <w:color w:val="auto"/>
          <w:shd w:val="clear" w:color="auto" w:fill="auto"/>
        </w:rPr>
        <w:t>月</w:t>
      </w:r>
      <w:r>
        <w:rPr>
          <w:rFonts w:hint="eastAsia"/>
          <w:color w:val="auto"/>
          <w:shd w:val="clear" w:color="auto" w:fill="auto"/>
          <w:lang w:val="en-US" w:eastAsia="zh-CN"/>
        </w:rPr>
        <w:t>5日</w:t>
      </w:r>
      <w:r>
        <w:rPr>
          <w:rFonts w:hint="eastAsia"/>
          <w:color w:val="auto"/>
          <w:shd w:val="clear" w:color="auto" w:fill="auto"/>
        </w:rPr>
        <w:t>，</w:t>
      </w:r>
      <w:r>
        <w:rPr>
          <w:rFonts w:hint="eastAsia"/>
          <w:color w:val="auto"/>
          <w:shd w:val="clear" w:color="auto" w:fill="auto"/>
          <w:lang w:eastAsia="zh-CN"/>
        </w:rPr>
        <w:t>太和县生态环境分局</w:t>
      </w:r>
      <w:r>
        <w:rPr>
          <w:rFonts w:hint="eastAsia"/>
          <w:color w:val="auto"/>
          <w:shd w:val="clear" w:color="auto" w:fill="auto"/>
        </w:rPr>
        <w:t>出具了环评执行标准的确认函。20</w:t>
      </w:r>
      <w:r>
        <w:rPr>
          <w:rFonts w:hint="eastAsia"/>
          <w:color w:val="auto"/>
          <w:shd w:val="clear" w:color="auto" w:fill="auto"/>
          <w:lang w:val="en-US" w:eastAsia="zh-CN"/>
        </w:rPr>
        <w:t>20</w:t>
      </w:r>
      <w:r>
        <w:rPr>
          <w:rFonts w:hint="eastAsia"/>
          <w:color w:val="auto"/>
          <w:shd w:val="clear" w:color="auto" w:fill="auto"/>
        </w:rPr>
        <w:t>年</w:t>
      </w:r>
      <w:r>
        <w:rPr>
          <w:rFonts w:hint="eastAsia"/>
          <w:color w:val="auto"/>
          <w:shd w:val="clear" w:color="auto" w:fill="auto"/>
          <w:lang w:val="en-US" w:eastAsia="zh-CN"/>
        </w:rPr>
        <w:t>5</w:t>
      </w:r>
      <w:r>
        <w:rPr>
          <w:rFonts w:hint="eastAsia"/>
          <w:color w:val="auto"/>
          <w:shd w:val="clear" w:color="auto" w:fill="auto"/>
        </w:rPr>
        <w:t>月</w:t>
      </w:r>
      <w:r>
        <w:rPr>
          <w:color w:val="auto"/>
          <w:shd w:val="clear" w:color="auto" w:fill="auto"/>
        </w:rPr>
        <w:t>，</w:t>
      </w:r>
      <w:r>
        <w:rPr>
          <w:rFonts w:hint="eastAsia"/>
          <w:color w:val="auto"/>
          <w:shd w:val="clear" w:color="auto" w:fill="auto"/>
        </w:rPr>
        <w:t>安徽工和环境监测有限责任公司</w:t>
      </w:r>
      <w:r>
        <w:rPr>
          <w:rFonts w:hint="eastAsia"/>
          <w:color w:val="auto"/>
          <w:lang w:val="en-US" w:eastAsia="zh-CN"/>
        </w:rPr>
        <w:t>对项目所在区域的地表水、噪声以及土壤的环境质量进行了现状监测</w:t>
      </w:r>
      <w:r>
        <w:rPr>
          <w:rFonts w:hint="eastAsia"/>
          <w:color w:val="auto"/>
          <w:shd w:val="clear" w:color="auto" w:fill="auto"/>
        </w:rPr>
        <w:t>。</w:t>
      </w:r>
    </w:p>
    <w:p>
      <w:pPr>
        <w:bidi w:val="0"/>
        <w:rPr>
          <w:color w:val="auto"/>
          <w:shd w:val="clear" w:color="auto" w:fill="auto"/>
        </w:rPr>
      </w:pPr>
      <w:r>
        <w:rPr>
          <w:rFonts w:hint="eastAsia"/>
          <w:color w:val="auto"/>
          <w:shd w:val="clear" w:color="auto" w:fill="auto"/>
        </w:rPr>
        <w:t>◆20</w:t>
      </w:r>
      <w:r>
        <w:rPr>
          <w:rFonts w:hint="eastAsia"/>
          <w:color w:val="auto"/>
          <w:shd w:val="clear" w:color="auto" w:fill="auto"/>
          <w:lang w:val="en-US" w:eastAsia="zh-CN"/>
        </w:rPr>
        <w:t>20</w:t>
      </w:r>
      <w:r>
        <w:rPr>
          <w:rFonts w:hint="eastAsia"/>
          <w:color w:val="auto"/>
          <w:shd w:val="clear" w:color="auto" w:fill="auto"/>
        </w:rPr>
        <w:t>年</w:t>
      </w:r>
      <w:r>
        <w:rPr>
          <w:rFonts w:hint="eastAsia"/>
          <w:color w:val="auto"/>
          <w:shd w:val="clear" w:color="auto" w:fill="auto"/>
          <w:lang w:val="en-US" w:eastAsia="zh-CN"/>
        </w:rPr>
        <w:t>5</w:t>
      </w:r>
      <w:r>
        <w:rPr>
          <w:rFonts w:hint="eastAsia"/>
          <w:color w:val="auto"/>
          <w:shd w:val="clear" w:color="auto" w:fill="auto"/>
        </w:rPr>
        <w:t>月，</w:t>
      </w:r>
      <w:r>
        <w:rPr>
          <w:rFonts w:hint="eastAsia"/>
          <w:color w:val="auto"/>
          <w:shd w:val="clear" w:color="auto" w:fill="auto"/>
        </w:rPr>
        <w:t>项目课题组根据分工进行各专题编写、汇总，提出污染防治对策并论证其可行性，得出项目建设环境可行性结论。</w:t>
      </w:r>
    </w:p>
    <w:p>
      <w:pPr>
        <w:bidi w:val="0"/>
        <w:rPr>
          <w:rFonts w:hint="default"/>
          <w:color w:val="auto"/>
          <w:shd w:val="clear" w:color="auto" w:fill="auto"/>
          <w:lang w:val="en-US" w:eastAsia="zh-CN"/>
        </w:rPr>
      </w:pPr>
      <w:r>
        <w:rPr>
          <w:rFonts w:hint="eastAsia"/>
          <w:color w:val="auto"/>
          <w:shd w:val="clear" w:color="auto" w:fill="auto"/>
        </w:rPr>
        <w:t>◆20</w:t>
      </w:r>
      <w:r>
        <w:rPr>
          <w:rFonts w:hint="eastAsia"/>
          <w:color w:val="auto"/>
          <w:shd w:val="clear" w:color="auto" w:fill="auto"/>
          <w:lang w:val="en-US" w:eastAsia="zh-CN"/>
        </w:rPr>
        <w:t>20</w:t>
      </w:r>
      <w:r>
        <w:rPr>
          <w:rFonts w:hint="eastAsia"/>
          <w:color w:val="auto"/>
          <w:shd w:val="clear" w:color="auto" w:fill="auto"/>
        </w:rPr>
        <w:t>年</w:t>
      </w:r>
      <w:r>
        <w:rPr>
          <w:rFonts w:hint="eastAsia"/>
          <w:color w:val="auto"/>
          <w:shd w:val="clear" w:color="auto" w:fill="auto"/>
          <w:lang w:val="en-US" w:eastAsia="zh-CN"/>
        </w:rPr>
        <w:t>6</w:t>
      </w:r>
      <w:r>
        <w:rPr>
          <w:rFonts w:hint="eastAsia"/>
          <w:color w:val="auto"/>
          <w:shd w:val="clear" w:color="auto" w:fill="auto"/>
        </w:rPr>
        <w:t>月</w:t>
      </w:r>
      <w:r>
        <w:rPr>
          <w:rFonts w:hint="eastAsia"/>
          <w:color w:val="auto"/>
          <w:shd w:val="clear" w:color="auto" w:fill="auto"/>
          <w:lang w:val="en-US" w:eastAsia="zh-CN"/>
        </w:rPr>
        <w:t>8</w:t>
      </w:r>
      <w:r>
        <w:rPr>
          <w:rFonts w:hint="eastAsia"/>
          <w:color w:val="auto"/>
          <w:shd w:val="clear" w:color="auto" w:fill="auto"/>
        </w:rPr>
        <w:t>日</w:t>
      </w:r>
      <w:r>
        <w:rPr>
          <w:rFonts w:hint="eastAsia"/>
          <w:color w:val="auto"/>
          <w:shd w:val="clear" w:color="auto" w:fill="auto"/>
        </w:rPr>
        <w:t>，该项目环评</w:t>
      </w:r>
      <w:r>
        <w:rPr>
          <w:rFonts w:hint="eastAsia"/>
          <w:color w:val="auto"/>
          <w:shd w:val="clear" w:color="auto" w:fill="auto"/>
          <w:lang w:eastAsia="zh-CN"/>
        </w:rPr>
        <w:t>征求意见稿</w:t>
      </w:r>
      <w:r>
        <w:rPr>
          <w:rFonts w:hint="eastAsia"/>
          <w:color w:val="auto"/>
          <w:shd w:val="clear" w:color="auto" w:fill="auto"/>
        </w:rPr>
        <w:t>公示在</w:t>
      </w:r>
      <w:r>
        <w:rPr>
          <w:rFonts w:hint="eastAsia"/>
          <w:color w:val="auto"/>
          <w:shd w:val="clear" w:color="auto" w:fill="auto"/>
          <w:lang w:eastAsia="zh-CN"/>
        </w:rPr>
        <w:t>太和县</w:t>
      </w:r>
      <w:r>
        <w:rPr>
          <w:rFonts w:hint="eastAsia"/>
          <w:color w:val="auto"/>
          <w:shd w:val="clear" w:color="auto" w:fill="auto"/>
        </w:rPr>
        <w:t>人民政府网站上发布</w:t>
      </w:r>
      <w:r>
        <w:rPr>
          <w:rFonts w:hint="eastAsia"/>
          <w:color w:val="auto"/>
          <w:shd w:val="clear" w:color="auto" w:fill="auto"/>
          <w:lang w:eastAsia="zh-CN"/>
        </w:rPr>
        <w:t>，同时在项目所在地进行了现场张贴公示；</w:t>
      </w:r>
      <w:r>
        <w:rPr>
          <w:rFonts w:hint="eastAsia"/>
          <w:color w:val="auto"/>
          <w:shd w:val="clear" w:color="auto" w:fill="auto"/>
          <w:lang w:val="en-US" w:eastAsia="zh-CN"/>
        </w:rPr>
        <w:t>4月19日~4月20日在江淮晨报进行了登报公示；</w:t>
      </w:r>
    </w:p>
    <w:p>
      <w:pPr>
        <w:bidi w:val="0"/>
        <w:rPr>
          <w:rFonts w:hint="eastAsia"/>
          <w:color w:val="auto"/>
          <w:shd w:val="clear" w:color="auto" w:fill="auto"/>
        </w:rPr>
      </w:pPr>
      <w:r>
        <w:rPr>
          <w:rFonts w:hint="eastAsia"/>
          <w:color w:val="auto"/>
          <w:shd w:val="clear" w:color="auto" w:fill="auto"/>
        </w:rPr>
        <w:t>◆20</w:t>
      </w:r>
      <w:r>
        <w:rPr>
          <w:rFonts w:hint="eastAsia"/>
          <w:color w:val="auto"/>
          <w:shd w:val="clear" w:color="auto" w:fill="auto"/>
          <w:lang w:val="en-US" w:eastAsia="zh-CN"/>
        </w:rPr>
        <w:t>20</w:t>
      </w:r>
      <w:r>
        <w:rPr>
          <w:rFonts w:hint="eastAsia"/>
          <w:color w:val="auto"/>
          <w:shd w:val="clear" w:color="auto" w:fill="auto"/>
        </w:rPr>
        <w:t>年</w:t>
      </w:r>
      <w:r>
        <w:rPr>
          <w:rFonts w:hint="eastAsia"/>
          <w:color w:val="auto"/>
          <w:shd w:val="clear" w:color="auto" w:fill="auto"/>
          <w:lang w:val="en-US" w:eastAsia="zh-CN"/>
        </w:rPr>
        <w:t>6</w:t>
      </w:r>
      <w:r>
        <w:rPr>
          <w:rFonts w:hint="eastAsia"/>
          <w:color w:val="auto"/>
          <w:shd w:val="clear" w:color="auto" w:fill="auto"/>
        </w:rPr>
        <w:t>月</w:t>
      </w:r>
      <w:r>
        <w:rPr>
          <w:rFonts w:hint="eastAsia"/>
          <w:color w:val="auto"/>
          <w:shd w:val="clear" w:color="auto" w:fill="auto"/>
          <w:lang w:val="en-US" w:eastAsia="zh-CN"/>
        </w:rPr>
        <w:t>20</w:t>
      </w:r>
      <w:r>
        <w:rPr>
          <w:rFonts w:hint="eastAsia"/>
          <w:color w:val="auto"/>
          <w:shd w:val="clear" w:color="auto" w:fill="auto"/>
        </w:rPr>
        <w:t>日</w:t>
      </w:r>
      <w:r>
        <w:rPr>
          <w:rFonts w:hint="eastAsia"/>
          <w:color w:val="auto"/>
          <w:shd w:val="clear" w:color="auto" w:fill="auto"/>
        </w:rPr>
        <w:t>，该项目环境影响报告书进入</w:t>
      </w:r>
      <w:r>
        <w:rPr>
          <w:rFonts w:hint="eastAsia"/>
          <w:color w:val="auto"/>
          <w:shd w:val="clear" w:color="auto" w:fill="auto"/>
          <w:lang w:eastAsia="zh-CN"/>
        </w:rPr>
        <w:t>安徽禾美环保集团</w:t>
      </w:r>
      <w:r>
        <w:rPr>
          <w:rFonts w:hint="eastAsia"/>
          <w:color w:val="auto"/>
          <w:shd w:val="clear" w:color="auto" w:fill="auto"/>
        </w:rPr>
        <w:t>有限公司内审程序，经校核、审核、审定后</w:t>
      </w:r>
      <w:r>
        <w:rPr>
          <w:rFonts w:hint="eastAsia"/>
          <w:color w:val="auto"/>
          <w:shd w:val="clear" w:color="auto" w:fill="auto"/>
          <w:lang w:eastAsia="zh-CN"/>
        </w:rPr>
        <w:t>送审</w:t>
      </w:r>
      <w:r>
        <w:rPr>
          <w:rFonts w:hint="eastAsia"/>
          <w:color w:val="auto"/>
          <w:shd w:val="clear" w:color="auto" w:fill="auto"/>
        </w:rPr>
        <w:t>。</w:t>
      </w:r>
    </w:p>
    <w:p>
      <w:pPr>
        <w:pStyle w:val="12"/>
        <w:rPr>
          <w:rFonts w:hint="eastAsia"/>
        </w:rPr>
      </w:pPr>
      <w:r>
        <w:rPr>
          <w:rFonts w:hint="eastAsia"/>
          <w:color w:val="auto"/>
          <w:shd w:val="clear" w:color="auto" w:fill="auto"/>
        </w:rPr>
        <w:t>◆</w:t>
      </w:r>
      <w:r>
        <w:rPr>
          <w:color w:val="auto"/>
          <w:sz w:val="24"/>
        </w:rPr>
        <w:t>20</w:t>
      </w:r>
      <w:r>
        <w:rPr>
          <w:rFonts w:hint="eastAsia"/>
          <w:color w:val="auto"/>
          <w:sz w:val="24"/>
          <w:lang w:val="en-US" w:eastAsia="zh-CN"/>
        </w:rPr>
        <w:t>20</w:t>
      </w:r>
      <w:r>
        <w:rPr>
          <w:rFonts w:hint="eastAsia"/>
          <w:color w:val="auto"/>
          <w:sz w:val="24"/>
        </w:rPr>
        <w:t>年</w:t>
      </w:r>
      <w:r>
        <w:rPr>
          <w:rFonts w:hint="eastAsia"/>
          <w:color w:val="auto"/>
          <w:sz w:val="24"/>
          <w:lang w:val="en-US" w:eastAsia="zh-CN"/>
        </w:rPr>
        <w:t>6</w:t>
      </w:r>
      <w:r>
        <w:rPr>
          <w:rFonts w:hint="eastAsia"/>
          <w:color w:val="auto"/>
          <w:sz w:val="24"/>
        </w:rPr>
        <w:t>月</w:t>
      </w:r>
      <w:r>
        <w:rPr>
          <w:rFonts w:hint="eastAsia"/>
          <w:color w:val="auto"/>
          <w:sz w:val="24"/>
          <w:lang w:val="en-US" w:eastAsia="zh-CN"/>
        </w:rPr>
        <w:t>22</w:t>
      </w:r>
      <w:r>
        <w:rPr>
          <w:rFonts w:hint="eastAsia"/>
          <w:color w:val="auto"/>
          <w:sz w:val="24"/>
        </w:rPr>
        <w:t>日，</w:t>
      </w:r>
      <w:r>
        <w:rPr>
          <w:rFonts w:hint="eastAsia"/>
          <w:color w:val="auto"/>
          <w:sz w:val="24"/>
          <w:lang w:val="en-US" w:eastAsia="zh-CN"/>
        </w:rPr>
        <w:t>太和县</w:t>
      </w:r>
      <w:r>
        <w:rPr>
          <w:rFonts w:hint="eastAsia"/>
          <w:color w:val="auto"/>
          <w:sz w:val="24"/>
          <w:lang w:eastAsia="zh-CN"/>
        </w:rPr>
        <w:t>生态环境</w:t>
      </w:r>
      <w:r>
        <w:rPr>
          <w:rFonts w:hint="eastAsia"/>
          <w:color w:val="auto"/>
          <w:sz w:val="24"/>
          <w:lang w:val="en-US" w:eastAsia="zh-CN"/>
        </w:rPr>
        <w:t>分</w:t>
      </w:r>
      <w:r>
        <w:rPr>
          <w:rFonts w:hint="eastAsia"/>
          <w:color w:val="auto"/>
          <w:sz w:val="24"/>
          <w:lang w:eastAsia="zh-CN"/>
        </w:rPr>
        <w:t>局</w:t>
      </w:r>
      <w:r>
        <w:rPr>
          <w:rFonts w:hint="eastAsia"/>
          <w:color w:val="auto"/>
          <w:sz w:val="24"/>
        </w:rPr>
        <w:t>组织召开该项目环境影响报告书技术评审会，并形成技术评审意见，课题</w:t>
      </w:r>
      <w:r>
        <w:rPr>
          <w:rFonts w:hint="eastAsia"/>
          <w:sz w:val="24"/>
        </w:rPr>
        <w:t>组根据意见进行修改，经校核、审定后定稿。</w:t>
      </w:r>
    </w:p>
    <w:p>
      <w:pPr>
        <w:pStyle w:val="4"/>
        <w:bidi w:val="0"/>
        <w:rPr>
          <w:color w:val="auto"/>
          <w:shd w:val="clear" w:color="auto" w:fill="auto"/>
        </w:rPr>
      </w:pPr>
      <w:bookmarkStart w:id="8" w:name="_Toc28044"/>
      <w:bookmarkStart w:id="9" w:name="_Toc12611"/>
      <w:bookmarkStart w:id="10" w:name="_Toc491378261"/>
      <w:r>
        <w:rPr>
          <w:rFonts w:hint="eastAsia"/>
          <w:color w:val="auto"/>
          <w:shd w:val="clear" w:color="auto" w:fill="auto"/>
          <w:lang w:val="en-US" w:eastAsia="zh-CN"/>
        </w:rPr>
        <w:t>3.</w:t>
      </w:r>
      <w:r>
        <w:rPr>
          <w:color w:val="auto"/>
          <w:shd w:val="clear" w:color="auto" w:fill="auto"/>
        </w:rPr>
        <w:t>分析判定相关情况</w:t>
      </w:r>
      <w:bookmarkEnd w:id="8"/>
      <w:bookmarkEnd w:id="9"/>
      <w:bookmarkEnd w:id="10"/>
    </w:p>
    <w:p>
      <w:pPr>
        <w:rPr>
          <w:rFonts w:hint="eastAsia"/>
          <w:color w:val="auto"/>
          <w:shd w:val="clear" w:color="auto" w:fill="auto"/>
        </w:rPr>
      </w:pPr>
      <w:r>
        <w:rPr>
          <w:rFonts w:hint="eastAsia"/>
          <w:color w:val="auto"/>
          <w:shd w:val="clear" w:color="auto" w:fill="auto"/>
        </w:rPr>
        <w:t>拟建</w:t>
      </w:r>
      <w:r>
        <w:rPr>
          <w:rFonts w:hint="eastAsia"/>
          <w:color w:val="auto"/>
          <w:shd w:val="clear" w:color="auto" w:fill="auto"/>
          <w:lang w:eastAsia="zh-CN"/>
        </w:rPr>
        <w:t>阜阳港太和港区陶庙作业区码头工程</w:t>
      </w:r>
      <w:r>
        <w:rPr>
          <w:rFonts w:hint="eastAsia"/>
          <w:color w:val="auto"/>
          <w:shd w:val="clear" w:color="auto" w:fill="auto"/>
        </w:rPr>
        <w:t>位于</w:t>
      </w:r>
      <w:r>
        <w:rPr>
          <w:rFonts w:hint="eastAsia"/>
          <w:color w:val="auto"/>
          <w:shd w:val="clear" w:color="auto" w:fill="auto"/>
          <w:lang w:eastAsia="zh-CN"/>
        </w:rPr>
        <w:t>城关镇陶桥村上游沙颍河北岸，上距太和二桥约1.8km</w:t>
      </w:r>
      <w:r>
        <w:rPr>
          <w:rFonts w:hint="eastAsia"/>
          <w:color w:val="auto"/>
          <w:shd w:val="clear" w:color="auto" w:fill="auto"/>
        </w:rPr>
        <w:t>。占用太和港区陶庙作业区陶庙岸线220</w:t>
      </w:r>
      <w:r>
        <w:rPr>
          <w:rFonts w:hint="eastAsia"/>
          <w:color w:val="auto"/>
          <w:shd w:val="clear" w:color="auto" w:fill="auto"/>
          <w:lang w:eastAsia="zh-CN"/>
        </w:rPr>
        <w:t>m</w:t>
      </w:r>
      <w:r>
        <w:rPr>
          <w:rFonts w:hint="eastAsia"/>
          <w:color w:val="auto"/>
          <w:shd w:val="clear" w:color="auto" w:fill="auto"/>
        </w:rPr>
        <w:t>。本工程建设规模为</w:t>
      </w:r>
      <w:r>
        <w:rPr>
          <w:rFonts w:hint="eastAsia"/>
          <w:color w:val="auto"/>
          <w:shd w:val="clear" w:color="auto" w:fill="auto"/>
          <w:lang w:val="en-US" w:eastAsia="zh-CN"/>
        </w:rPr>
        <w:t>3</w:t>
      </w:r>
      <w:r>
        <w:rPr>
          <w:rFonts w:hint="eastAsia"/>
          <w:color w:val="auto"/>
          <w:shd w:val="clear" w:color="auto" w:fill="auto"/>
        </w:rPr>
        <w:t>个</w:t>
      </w:r>
      <w:r>
        <w:rPr>
          <w:rFonts w:hint="eastAsia"/>
          <w:color w:val="auto"/>
          <w:shd w:val="clear" w:color="auto" w:fill="auto"/>
          <w:lang w:eastAsia="zh-CN"/>
        </w:rPr>
        <w:t>1000</w:t>
      </w:r>
      <w:r>
        <w:rPr>
          <w:rFonts w:hint="eastAsia"/>
          <w:color w:val="auto"/>
          <w:shd w:val="clear" w:color="auto" w:fill="auto"/>
        </w:rPr>
        <w:t>吨级泊位（</w:t>
      </w:r>
      <w:r>
        <w:rPr>
          <w:rFonts w:hint="eastAsia"/>
          <w:color w:val="auto"/>
          <w:shd w:val="clear" w:color="auto" w:fill="auto"/>
          <w:lang w:eastAsia="zh-CN"/>
        </w:rPr>
        <w:t>均为</w:t>
      </w:r>
      <w:r>
        <w:rPr>
          <w:rFonts w:hint="eastAsia"/>
          <w:color w:val="auto"/>
          <w:shd w:val="clear" w:color="auto" w:fill="auto"/>
        </w:rPr>
        <w:t>散货泊位），预测散货年吞吐量</w:t>
      </w:r>
      <w:r>
        <w:rPr>
          <w:rFonts w:hint="eastAsia"/>
          <w:color w:val="auto"/>
          <w:shd w:val="clear" w:color="auto" w:fill="auto"/>
          <w:lang w:eastAsia="zh-CN"/>
        </w:rPr>
        <w:t>150</w:t>
      </w:r>
      <w:r>
        <w:rPr>
          <w:rFonts w:hint="eastAsia"/>
          <w:color w:val="auto"/>
          <w:shd w:val="clear" w:color="auto" w:fill="auto"/>
        </w:rPr>
        <w:t>万吨。</w:t>
      </w:r>
      <w:r>
        <w:rPr>
          <w:rFonts w:hint="eastAsia"/>
          <w:color w:val="auto"/>
          <w:shd w:val="clear" w:color="auto" w:fill="auto"/>
          <w:lang w:eastAsia="zh-CN"/>
        </w:rPr>
        <w:t>本工程</w:t>
      </w:r>
      <w:r>
        <w:rPr>
          <w:rFonts w:hint="eastAsia"/>
          <w:color w:val="auto"/>
          <w:shd w:val="clear" w:color="auto" w:fill="auto"/>
        </w:rPr>
        <w:t>合理的利用了岸线资源，在等级、功能、位置、建设序列等方面均符合《</w:t>
      </w:r>
      <w:r>
        <w:rPr>
          <w:rFonts w:hint="eastAsia"/>
          <w:color w:val="auto"/>
          <w:shd w:val="clear" w:color="auto" w:fill="auto"/>
          <w:lang w:eastAsia="zh-CN"/>
        </w:rPr>
        <w:t>阜阳</w:t>
      </w:r>
      <w:r>
        <w:rPr>
          <w:rFonts w:hint="eastAsia"/>
          <w:color w:val="auto"/>
          <w:shd w:val="clear" w:color="auto" w:fill="auto"/>
        </w:rPr>
        <w:t>港总体规划（调整）》。</w:t>
      </w:r>
    </w:p>
    <w:p>
      <w:pPr>
        <w:pStyle w:val="11"/>
        <w:rPr>
          <w:color w:val="auto"/>
          <w:shd w:val="clear" w:color="auto" w:fill="auto"/>
        </w:rPr>
      </w:pPr>
      <w:r>
        <w:rPr>
          <w:rFonts w:hint="eastAsia"/>
          <w:color w:val="auto"/>
          <w:shd w:val="clear" w:color="auto" w:fill="auto"/>
        </w:rPr>
        <w:t>本工程港口使用岸线</w:t>
      </w:r>
      <w:r>
        <w:rPr>
          <w:rFonts w:hint="eastAsia"/>
          <w:color w:val="auto"/>
          <w:shd w:val="clear" w:color="auto" w:fill="auto"/>
          <w:lang w:val="en-US" w:eastAsia="zh-CN"/>
        </w:rPr>
        <w:t>220</w:t>
      </w:r>
      <w:r>
        <w:rPr>
          <w:rFonts w:hint="eastAsia"/>
          <w:color w:val="auto"/>
          <w:shd w:val="clear" w:color="auto" w:fill="auto"/>
          <w:lang w:eastAsia="zh-CN"/>
        </w:rPr>
        <w:t>m，</w:t>
      </w:r>
      <w:r>
        <w:rPr>
          <w:rFonts w:hint="eastAsia"/>
          <w:color w:val="auto"/>
          <w:shd w:val="clear" w:color="auto" w:fill="auto"/>
        </w:rPr>
        <w:t>岸线长度的确定满足规范的要求，没有对岸线造成浪费，体现了节约使用岸线的原则。码头前沿线水深条件</w:t>
      </w:r>
      <w:r>
        <w:rPr>
          <w:rFonts w:hint="eastAsia"/>
          <w:color w:val="auto"/>
          <w:shd w:val="clear" w:color="auto" w:fill="auto"/>
          <w:lang w:val="en-US" w:eastAsia="zh-CN"/>
        </w:rPr>
        <w:t>较</w:t>
      </w:r>
      <w:r>
        <w:rPr>
          <w:rFonts w:hint="eastAsia"/>
          <w:color w:val="auto"/>
          <w:shd w:val="clear" w:color="auto" w:fill="auto"/>
        </w:rPr>
        <w:t>好，本工程的设计船型为</w:t>
      </w:r>
      <w:r>
        <w:rPr>
          <w:rFonts w:hint="eastAsia"/>
          <w:color w:val="auto"/>
          <w:shd w:val="clear" w:color="auto" w:fill="auto"/>
          <w:lang w:val="en-US" w:eastAsia="zh-CN"/>
        </w:rPr>
        <w:t>1000</w:t>
      </w:r>
      <w:r>
        <w:rPr>
          <w:rFonts w:hint="eastAsia"/>
          <w:color w:val="auto"/>
          <w:shd w:val="clear" w:color="auto" w:fill="auto"/>
        </w:rPr>
        <w:t>吨级货船，岸线资源开发和利用符合国标及行业标准</w:t>
      </w:r>
      <w:r>
        <w:rPr>
          <w:rFonts w:hint="eastAsia"/>
          <w:color w:val="auto"/>
          <w:shd w:val="clear" w:color="auto" w:fill="auto"/>
          <w:lang w:eastAsia="zh-CN"/>
        </w:rPr>
        <w:t>，</w:t>
      </w:r>
      <w:r>
        <w:rPr>
          <w:rFonts w:hint="eastAsia"/>
          <w:color w:val="auto"/>
          <w:shd w:val="clear" w:color="auto" w:fill="auto"/>
          <w:lang w:val="en-US" w:eastAsia="zh-CN"/>
        </w:rPr>
        <w:t>不在安徽省生态红线范围内</w:t>
      </w:r>
      <w:r>
        <w:rPr>
          <w:rFonts w:hint="eastAsia"/>
          <w:color w:val="auto"/>
          <w:shd w:val="clear" w:color="auto" w:fill="auto"/>
        </w:rPr>
        <w:t>。</w:t>
      </w:r>
    </w:p>
    <w:p>
      <w:pPr>
        <w:rPr>
          <w:rFonts w:hint="eastAsia"/>
          <w:color w:val="auto"/>
          <w:shd w:val="clear" w:color="auto" w:fill="auto"/>
        </w:rPr>
      </w:pPr>
      <w:r>
        <w:rPr>
          <w:rFonts w:hint="eastAsia"/>
          <w:color w:val="auto"/>
          <w:shd w:val="clear" w:color="auto" w:fill="auto"/>
        </w:rPr>
        <w:t>本工程符合国家内河水运发展政策</w:t>
      </w:r>
      <w:r>
        <w:rPr>
          <w:rFonts w:hint="eastAsia"/>
          <w:color w:val="auto"/>
          <w:shd w:val="clear" w:color="auto" w:fill="auto"/>
          <w:lang w:eastAsia="zh-CN"/>
        </w:rPr>
        <w:t>，</w:t>
      </w:r>
      <w:r>
        <w:rPr>
          <w:rFonts w:hint="eastAsia"/>
          <w:color w:val="auto"/>
          <w:shd w:val="clear" w:color="auto" w:fill="auto"/>
        </w:rPr>
        <w:t>符合安徽省水运行业发展政策。</w:t>
      </w:r>
    </w:p>
    <w:p>
      <w:pPr>
        <w:pStyle w:val="4"/>
        <w:bidi w:val="0"/>
        <w:rPr>
          <w:color w:val="auto"/>
          <w:shd w:val="clear" w:color="auto" w:fill="auto"/>
        </w:rPr>
      </w:pPr>
      <w:bookmarkStart w:id="11" w:name="_Toc5847_WPSOffice_Level1"/>
      <w:bookmarkStart w:id="12" w:name="_Toc23803_WPSOffice_Level1"/>
      <w:bookmarkStart w:id="13" w:name="_Toc16245_WPSOffice_Level1"/>
      <w:bookmarkStart w:id="14" w:name="_Toc4536"/>
      <w:r>
        <w:rPr>
          <w:rFonts w:hint="eastAsia"/>
          <w:color w:val="auto"/>
          <w:shd w:val="clear" w:color="auto" w:fill="auto"/>
          <w:lang w:val="en-US" w:eastAsia="zh-CN"/>
        </w:rPr>
        <w:t>4.</w:t>
      </w:r>
      <w:r>
        <w:rPr>
          <w:rFonts w:hint="eastAsia"/>
          <w:color w:val="auto"/>
          <w:shd w:val="clear" w:color="auto" w:fill="auto"/>
        </w:rPr>
        <w:t>关注的主要环境问题</w:t>
      </w:r>
      <w:bookmarkEnd w:id="11"/>
      <w:bookmarkEnd w:id="12"/>
      <w:bookmarkEnd w:id="13"/>
      <w:bookmarkEnd w:id="14"/>
    </w:p>
    <w:p>
      <w:pPr>
        <w:pStyle w:val="12"/>
        <w:keepNext w:val="0"/>
        <w:keepLines w:val="0"/>
        <w:pageBreakBefore w:val="0"/>
        <w:widowControl w:val="0"/>
        <w:kinsoku/>
        <w:wordWrap/>
        <w:overflowPunct/>
        <w:topLinePunct w:val="0"/>
        <w:autoSpaceDE/>
        <w:autoSpaceDN/>
        <w:bidi w:val="0"/>
        <w:adjustRightInd/>
        <w:snapToGrid/>
        <w:spacing w:line="360" w:lineRule="auto"/>
        <w:ind w:right="105"/>
        <w:textAlignment w:val="auto"/>
        <w:rPr>
          <w:rFonts w:hint="eastAsia" w:ascii="Times New Roman" w:hAnsi="Times New Roman" w:eastAsia="宋体" w:cs="Times New Roman"/>
          <w:color w:val="auto"/>
          <w:kern w:val="2"/>
          <w:sz w:val="24"/>
          <w:szCs w:val="24"/>
          <w:shd w:val="clear" w:color="auto" w:fill="auto"/>
          <w:lang w:val="en-US" w:eastAsia="zh-CN" w:bidi="ar-SA"/>
        </w:rPr>
      </w:pPr>
      <w:bookmarkStart w:id="15" w:name="_Toc21607_WPSOffice_Level1"/>
      <w:bookmarkStart w:id="16" w:name="_Toc1268_WPSOffice_Level1"/>
      <w:bookmarkStart w:id="17" w:name="_Toc23063_WPSOffice_Level1"/>
      <w:r>
        <w:rPr>
          <w:rFonts w:hint="eastAsia" w:ascii="Times New Roman" w:hAnsi="Times New Roman" w:eastAsia="宋体" w:cs="Times New Roman"/>
          <w:color w:val="auto"/>
          <w:kern w:val="2"/>
          <w:sz w:val="24"/>
          <w:szCs w:val="24"/>
          <w:shd w:val="clear" w:color="auto" w:fill="auto"/>
          <w:lang w:val="en-US" w:eastAsia="zh-CN" w:bidi="ar-SA"/>
        </w:rPr>
        <w:t>本项目属于新建项目，建设内容包括港地开挖、码头、护岸、陆域形成、装卸设备、供电照明、给排水、消防、通信、环保等项目。</w:t>
      </w:r>
    </w:p>
    <w:p>
      <w:pPr>
        <w:pStyle w:val="12"/>
        <w:keepNext w:val="0"/>
        <w:keepLines w:val="0"/>
        <w:pageBreakBefore w:val="0"/>
        <w:widowControl w:val="0"/>
        <w:kinsoku/>
        <w:wordWrap/>
        <w:overflowPunct/>
        <w:topLinePunct w:val="0"/>
        <w:autoSpaceDE/>
        <w:autoSpaceDN/>
        <w:bidi w:val="0"/>
        <w:adjustRightInd/>
        <w:snapToGrid/>
        <w:spacing w:line="360" w:lineRule="auto"/>
        <w:ind w:left="0" w:leftChars="0" w:right="224" w:firstLine="480" w:firstLineChars="200"/>
        <w:textAlignment w:val="auto"/>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本次评价过程中，主要关注的环境问题如下：</w:t>
      </w:r>
    </w:p>
    <w:p>
      <w:pPr>
        <w:pStyle w:val="12"/>
        <w:keepNext w:val="0"/>
        <w:keepLines w:val="0"/>
        <w:pageBreakBefore w:val="0"/>
        <w:widowControl w:val="0"/>
        <w:kinsoku/>
        <w:wordWrap/>
        <w:overflowPunct/>
        <w:topLinePunct w:val="0"/>
        <w:autoSpaceDE/>
        <w:autoSpaceDN/>
        <w:bidi w:val="0"/>
        <w:adjustRightInd/>
        <w:snapToGrid/>
        <w:spacing w:line="360" w:lineRule="auto"/>
        <w:ind w:right="105"/>
        <w:textAlignment w:val="auto"/>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（1）对现有工程进行分析并提出</w:t>
      </w:r>
      <w:r>
        <w:rPr>
          <w:rFonts w:hint="eastAsia" w:cs="Times New Roman"/>
          <w:color w:val="auto"/>
          <w:kern w:val="2"/>
          <w:sz w:val="24"/>
          <w:szCs w:val="24"/>
          <w:shd w:val="clear" w:color="auto" w:fill="auto"/>
          <w:lang w:val="en-US" w:eastAsia="zh-CN" w:bidi="ar-SA"/>
        </w:rPr>
        <w:t>污染</w:t>
      </w:r>
      <w:r>
        <w:rPr>
          <w:rFonts w:hint="eastAsia" w:ascii="Times New Roman" w:hAnsi="Times New Roman" w:eastAsia="宋体" w:cs="Times New Roman"/>
          <w:color w:val="auto"/>
          <w:kern w:val="2"/>
          <w:sz w:val="24"/>
          <w:szCs w:val="24"/>
          <w:shd w:val="clear" w:color="auto" w:fill="auto"/>
          <w:lang w:val="en-US" w:eastAsia="zh-CN" w:bidi="ar-SA"/>
        </w:rPr>
        <w:t>防治措施；</w:t>
      </w:r>
    </w:p>
    <w:p>
      <w:pPr>
        <w:pStyle w:val="12"/>
        <w:keepNext w:val="0"/>
        <w:keepLines w:val="0"/>
        <w:pageBreakBefore w:val="0"/>
        <w:widowControl w:val="0"/>
        <w:kinsoku/>
        <w:wordWrap/>
        <w:overflowPunct/>
        <w:topLinePunct w:val="0"/>
        <w:autoSpaceDE/>
        <w:autoSpaceDN/>
        <w:bidi w:val="0"/>
        <w:adjustRightInd/>
        <w:snapToGrid/>
        <w:spacing w:line="360" w:lineRule="auto"/>
        <w:ind w:right="105"/>
        <w:textAlignment w:val="auto"/>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（2）根据项目对环境的影响程度，提出优化工程环保设计工作方面的建议，并为环保措施的选择与实施提供依据，使项目建设对环境造成的不利影响降至最低；</w:t>
      </w:r>
    </w:p>
    <w:p>
      <w:pPr>
        <w:pStyle w:val="12"/>
        <w:keepNext w:val="0"/>
        <w:keepLines w:val="0"/>
        <w:pageBreakBefore w:val="0"/>
        <w:widowControl w:val="0"/>
        <w:kinsoku/>
        <w:wordWrap/>
        <w:overflowPunct/>
        <w:topLinePunct w:val="0"/>
        <w:autoSpaceDE/>
        <w:autoSpaceDN/>
        <w:bidi w:val="0"/>
        <w:adjustRightInd/>
        <w:snapToGrid/>
        <w:spacing w:line="360" w:lineRule="auto"/>
        <w:ind w:right="224"/>
        <w:textAlignment w:val="auto"/>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（3）根据工程特点和环境现状，在采取环保措施的前提下，从环境保护角度论证项目建设的可行性。</w:t>
      </w:r>
    </w:p>
    <w:p>
      <w:pPr>
        <w:pStyle w:val="12"/>
        <w:keepNext w:val="0"/>
        <w:keepLines w:val="0"/>
        <w:pageBreakBefore w:val="0"/>
        <w:widowControl w:val="0"/>
        <w:kinsoku/>
        <w:wordWrap/>
        <w:overflowPunct/>
        <w:topLinePunct w:val="0"/>
        <w:autoSpaceDE/>
        <w:autoSpaceDN/>
        <w:bidi w:val="0"/>
        <w:adjustRightInd/>
        <w:snapToGrid/>
        <w:spacing w:line="360" w:lineRule="auto"/>
        <w:ind w:left="140" w:right="111" w:firstLine="480"/>
        <w:jc w:val="both"/>
        <w:textAlignment w:val="auto"/>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根据项目工程初步设计文件，评价主要按照相关的环境保护法规、标准和有关规定，分析工程排放的污染物能否达到排放标准，对拟采用的环保治理措施进行可行性分析，最终提出合理、可靠、可行的综合防治措施。</w:t>
      </w:r>
    </w:p>
    <w:p>
      <w:pPr>
        <w:pStyle w:val="4"/>
        <w:spacing w:before="120" w:after="120"/>
        <w:rPr>
          <w:color w:val="auto"/>
          <w:shd w:val="clear" w:color="auto" w:fill="auto"/>
        </w:rPr>
      </w:pPr>
      <w:bookmarkStart w:id="18" w:name="_Toc11021"/>
      <w:r>
        <w:rPr>
          <w:rFonts w:hint="eastAsia"/>
          <w:color w:val="auto"/>
          <w:shd w:val="clear" w:color="auto" w:fill="auto"/>
        </w:rPr>
        <w:t>5</w:t>
      </w:r>
      <w:r>
        <w:rPr>
          <w:rFonts w:hint="eastAsia"/>
          <w:color w:val="auto"/>
          <w:shd w:val="clear" w:color="auto" w:fill="auto"/>
          <w:lang w:val="en-US" w:eastAsia="zh-CN"/>
        </w:rPr>
        <w:t>.</w:t>
      </w:r>
      <w:r>
        <w:rPr>
          <w:rFonts w:hint="eastAsia"/>
          <w:color w:val="auto"/>
          <w:shd w:val="clear" w:color="auto" w:fill="auto"/>
        </w:rPr>
        <w:t>报告书主要结论</w:t>
      </w:r>
      <w:bookmarkEnd w:id="15"/>
      <w:bookmarkEnd w:id="16"/>
      <w:bookmarkEnd w:id="17"/>
      <w:bookmarkEnd w:id="18"/>
    </w:p>
    <w:p>
      <w:pPr>
        <w:ind w:firstLine="480"/>
        <w:rPr>
          <w:color w:val="auto"/>
          <w:shd w:val="clear" w:color="auto" w:fill="auto"/>
        </w:rPr>
      </w:pPr>
      <w:r>
        <w:rPr>
          <w:rFonts w:hint="eastAsia"/>
          <w:color w:val="auto"/>
          <w:shd w:val="clear" w:color="auto" w:fill="auto"/>
          <w:lang w:eastAsia="zh-CN"/>
        </w:rPr>
        <w:t>阜阳港太和港区陶庙作业区码头工程</w:t>
      </w:r>
      <w:r>
        <w:rPr>
          <w:rFonts w:hint="eastAsia"/>
          <w:color w:val="auto"/>
          <w:shd w:val="clear" w:color="auto" w:fill="auto"/>
        </w:rPr>
        <w:t>项目符合国家产业政策要求，选址符合</w:t>
      </w:r>
      <w:r>
        <w:rPr>
          <w:rFonts w:hint="eastAsia"/>
          <w:color w:val="auto"/>
          <w:sz w:val="24"/>
          <w:shd w:val="clear" w:color="auto" w:fill="auto"/>
        </w:rPr>
        <w:t>《</w:t>
      </w:r>
      <w:r>
        <w:rPr>
          <w:rFonts w:hint="eastAsia"/>
          <w:color w:val="auto"/>
          <w:sz w:val="24"/>
          <w:shd w:val="clear" w:color="auto" w:fill="auto"/>
          <w:lang w:val="en-US" w:eastAsia="zh-CN"/>
        </w:rPr>
        <w:t>太和县总体规划（2013-2030）</w:t>
      </w:r>
      <w:r>
        <w:rPr>
          <w:rFonts w:hint="eastAsia"/>
          <w:color w:val="auto"/>
          <w:sz w:val="24"/>
          <w:shd w:val="clear" w:color="auto" w:fill="auto"/>
        </w:rPr>
        <w:t>》</w:t>
      </w:r>
      <w:r>
        <w:rPr>
          <w:rFonts w:hint="eastAsia"/>
          <w:color w:val="auto"/>
          <w:sz w:val="24"/>
          <w:shd w:val="clear" w:color="auto" w:fill="auto"/>
          <w:lang w:eastAsia="zh-CN"/>
        </w:rPr>
        <w:t>、</w:t>
      </w:r>
      <w:r>
        <w:rPr>
          <w:rFonts w:hint="eastAsia"/>
          <w:color w:val="auto"/>
          <w:shd w:val="clear" w:color="auto" w:fill="auto"/>
          <w:lang w:eastAsia="zh-CN"/>
        </w:rPr>
        <w:t>《阜阳</w:t>
      </w:r>
      <w:r>
        <w:rPr>
          <w:rFonts w:hint="eastAsia"/>
          <w:color w:val="auto"/>
          <w:shd w:val="clear" w:color="auto" w:fill="auto"/>
        </w:rPr>
        <w:t>港总体规划</w:t>
      </w:r>
      <w:r>
        <w:rPr>
          <w:rFonts w:hint="eastAsia"/>
          <w:color w:val="auto"/>
          <w:shd w:val="clear" w:color="auto" w:fill="auto"/>
          <w:lang w:eastAsia="zh-CN"/>
        </w:rPr>
        <w:t>（</w:t>
      </w:r>
      <w:r>
        <w:rPr>
          <w:rFonts w:hint="eastAsia"/>
          <w:color w:val="auto"/>
          <w:shd w:val="clear" w:color="auto" w:fill="auto"/>
          <w:lang w:val="en-US" w:eastAsia="zh-CN"/>
        </w:rPr>
        <w:t>调整</w:t>
      </w:r>
      <w:r>
        <w:rPr>
          <w:rFonts w:hint="eastAsia"/>
          <w:color w:val="auto"/>
          <w:shd w:val="clear" w:color="auto" w:fill="auto"/>
          <w:lang w:eastAsia="zh-CN"/>
        </w:rPr>
        <w:t>）》的</w:t>
      </w:r>
      <w:r>
        <w:rPr>
          <w:rFonts w:hint="eastAsia"/>
          <w:color w:val="auto"/>
          <w:shd w:val="clear" w:color="auto" w:fill="auto"/>
        </w:rPr>
        <w:t>要求。工程的实施，对于带动</w:t>
      </w:r>
      <w:r>
        <w:rPr>
          <w:rFonts w:hint="eastAsia"/>
          <w:color w:val="auto"/>
          <w:shd w:val="clear" w:color="auto" w:fill="auto"/>
          <w:lang w:eastAsia="zh-CN"/>
        </w:rPr>
        <w:t>太和县</w:t>
      </w:r>
      <w:r>
        <w:rPr>
          <w:rFonts w:hint="eastAsia"/>
          <w:color w:val="auto"/>
          <w:shd w:val="clear" w:color="auto" w:fill="auto"/>
        </w:rPr>
        <w:t>的内河航运，提升岸线的经济价值乃至带动整个</w:t>
      </w:r>
      <w:r>
        <w:rPr>
          <w:rFonts w:hint="eastAsia"/>
          <w:color w:val="auto"/>
          <w:shd w:val="clear" w:color="auto" w:fill="auto"/>
          <w:lang w:eastAsia="zh-CN"/>
        </w:rPr>
        <w:t>太和县</w:t>
      </w:r>
      <w:r>
        <w:rPr>
          <w:rFonts w:hint="eastAsia"/>
          <w:color w:val="auto"/>
          <w:shd w:val="clear" w:color="auto" w:fill="auto"/>
        </w:rPr>
        <w:t>的经济发展都具有较大的促进作用。</w:t>
      </w:r>
    </w:p>
    <w:p>
      <w:pPr>
        <w:ind w:firstLine="480"/>
        <w:rPr>
          <w:color w:val="auto"/>
          <w:shd w:val="clear" w:color="auto" w:fill="auto"/>
        </w:rPr>
      </w:pPr>
      <w:r>
        <w:rPr>
          <w:rFonts w:hint="eastAsia"/>
          <w:color w:val="auto"/>
          <w:shd w:val="clear" w:color="auto" w:fill="auto"/>
        </w:rPr>
        <w:t>在</w:t>
      </w:r>
      <w:r>
        <w:rPr>
          <w:color w:val="auto"/>
          <w:shd w:val="clear" w:color="auto" w:fill="auto"/>
        </w:rPr>
        <w:t>采</w:t>
      </w:r>
      <w:r>
        <w:rPr>
          <w:rFonts w:hint="eastAsia"/>
          <w:color w:val="auto"/>
          <w:shd w:val="clear" w:color="auto" w:fill="auto"/>
          <w:lang w:val="en-US" w:eastAsia="zh-CN"/>
        </w:rPr>
        <w:t>取</w:t>
      </w:r>
      <w:r>
        <w:rPr>
          <w:rFonts w:hint="eastAsia"/>
          <w:color w:val="auto"/>
          <w:shd w:val="clear" w:color="auto" w:fill="auto"/>
        </w:rPr>
        <w:t>相应</w:t>
      </w:r>
      <w:r>
        <w:rPr>
          <w:color w:val="auto"/>
          <w:shd w:val="clear" w:color="auto" w:fill="auto"/>
        </w:rPr>
        <w:t>污染防治措施的前提下，各项污染物可以做到达标排放</w:t>
      </w:r>
      <w:r>
        <w:rPr>
          <w:rFonts w:hint="eastAsia"/>
          <w:color w:val="auto"/>
          <w:shd w:val="clear" w:color="auto" w:fill="auto"/>
        </w:rPr>
        <w:t>，</w:t>
      </w:r>
      <w:r>
        <w:rPr>
          <w:color w:val="auto"/>
          <w:shd w:val="clear" w:color="auto" w:fill="auto"/>
        </w:rPr>
        <w:t>排放的</w:t>
      </w:r>
      <w:r>
        <w:rPr>
          <w:rFonts w:hint="eastAsia"/>
          <w:color w:val="auto"/>
          <w:shd w:val="clear" w:color="auto" w:fill="auto"/>
        </w:rPr>
        <w:t>主要</w:t>
      </w:r>
      <w:r>
        <w:rPr>
          <w:color w:val="auto"/>
          <w:shd w:val="clear" w:color="auto" w:fill="auto"/>
        </w:rPr>
        <w:t>污染物不会降低区域环境质量</w:t>
      </w:r>
      <w:r>
        <w:rPr>
          <w:rFonts w:hint="eastAsia"/>
          <w:color w:val="auto"/>
          <w:shd w:val="clear" w:color="auto" w:fill="auto"/>
        </w:rPr>
        <w:t>的</w:t>
      </w:r>
      <w:r>
        <w:rPr>
          <w:color w:val="auto"/>
          <w:shd w:val="clear" w:color="auto" w:fill="auto"/>
        </w:rPr>
        <w:t>原有功能级别</w:t>
      </w:r>
      <w:r>
        <w:rPr>
          <w:rFonts w:hint="eastAsia"/>
          <w:color w:val="auto"/>
          <w:shd w:val="clear" w:color="auto" w:fill="auto"/>
        </w:rPr>
        <w:t>，区域公众对项目的支持率较高。</w:t>
      </w:r>
    </w:p>
    <w:p>
      <w:pPr>
        <w:ind w:firstLine="480"/>
        <w:rPr>
          <w:color w:val="auto"/>
          <w:shd w:val="clear" w:color="auto" w:fill="auto"/>
        </w:rPr>
      </w:pPr>
      <w:r>
        <w:rPr>
          <w:color w:val="auto"/>
          <w:shd w:val="clear" w:color="auto" w:fill="auto"/>
        </w:rPr>
        <w:t>因此，本评价认为</w:t>
      </w:r>
      <w:r>
        <w:rPr>
          <w:rFonts w:hint="eastAsia"/>
          <w:color w:val="auto"/>
          <w:shd w:val="clear" w:color="auto" w:fill="auto"/>
        </w:rPr>
        <w:t>，</w:t>
      </w:r>
      <w:r>
        <w:rPr>
          <w:color w:val="auto"/>
          <w:shd w:val="clear" w:color="auto" w:fill="auto"/>
        </w:rPr>
        <w:t>项目在建设和生产运行过程中，在严格执行</w:t>
      </w:r>
      <w:r>
        <w:rPr>
          <w:rFonts w:hint="eastAsia"/>
          <w:color w:val="auto"/>
          <w:shd w:val="clear" w:color="auto" w:fill="auto"/>
        </w:rPr>
        <w:t>“</w:t>
      </w:r>
      <w:r>
        <w:rPr>
          <w:color w:val="auto"/>
          <w:shd w:val="clear" w:color="auto" w:fill="auto"/>
        </w:rPr>
        <w:t>三同时</w:t>
      </w:r>
      <w:r>
        <w:rPr>
          <w:rFonts w:hint="eastAsia"/>
          <w:color w:val="auto"/>
          <w:shd w:val="clear" w:color="auto" w:fill="auto"/>
        </w:rPr>
        <w:t>”</w:t>
      </w:r>
      <w:r>
        <w:rPr>
          <w:color w:val="auto"/>
          <w:shd w:val="clear" w:color="auto" w:fill="auto"/>
        </w:rPr>
        <w:t>制度、落实环评报告中提出的各项污染防治措施的前提下，从环境保护角度</w:t>
      </w:r>
      <w:r>
        <w:rPr>
          <w:rFonts w:hint="eastAsia"/>
          <w:color w:val="auto"/>
          <w:shd w:val="clear" w:color="auto" w:fill="auto"/>
        </w:rPr>
        <w:t>，</w:t>
      </w:r>
      <w:r>
        <w:rPr>
          <w:color w:val="auto"/>
          <w:shd w:val="clear" w:color="auto" w:fill="auto"/>
        </w:rPr>
        <w:t>项目建设是可行的。</w:t>
      </w:r>
    </w:p>
    <w:p>
      <w:pPr>
        <w:pStyle w:val="3"/>
        <w:numPr>
          <w:ilvl w:val="0"/>
          <w:numId w:val="2"/>
        </w:numPr>
        <w:spacing w:before="120" w:after="120"/>
        <w:rPr>
          <w:color w:val="auto"/>
          <w:shd w:val="clear" w:color="auto" w:fill="auto"/>
        </w:rPr>
      </w:pPr>
      <w:bookmarkStart w:id="19" w:name="_Toc22947_WPSOffice_Level1"/>
      <w:bookmarkStart w:id="20" w:name="_Toc27392_WPSOffice_Level1"/>
      <w:bookmarkStart w:id="21" w:name="_Toc28965_WPSOffice_Level1"/>
      <w:r>
        <w:rPr>
          <w:rFonts w:hint="eastAsia"/>
          <w:color w:val="auto"/>
          <w:shd w:val="clear" w:color="auto" w:fill="auto"/>
          <w:lang w:val="en-US" w:eastAsia="zh-CN"/>
        </w:rPr>
        <w:t xml:space="preserve"> </w:t>
      </w:r>
      <w:bookmarkStart w:id="22" w:name="_Toc30387"/>
      <w:r>
        <w:rPr>
          <w:rFonts w:hint="eastAsia"/>
          <w:color w:val="auto"/>
          <w:shd w:val="clear" w:color="auto" w:fill="auto"/>
        </w:rPr>
        <w:t>总</w:t>
      </w:r>
      <w:bookmarkEnd w:id="19"/>
      <w:bookmarkEnd w:id="20"/>
      <w:bookmarkEnd w:id="21"/>
      <w:r>
        <w:rPr>
          <w:rFonts w:hint="eastAsia"/>
          <w:color w:val="auto"/>
          <w:shd w:val="clear" w:color="auto" w:fill="auto"/>
          <w:lang w:val="en-US" w:eastAsia="zh-CN"/>
        </w:rPr>
        <w:t>则</w:t>
      </w:r>
      <w:bookmarkEnd w:id="22"/>
    </w:p>
    <w:p>
      <w:pPr>
        <w:pStyle w:val="4"/>
        <w:spacing w:before="120" w:after="120"/>
        <w:rPr>
          <w:rFonts w:cs="Times New Roman"/>
          <w:color w:val="auto"/>
          <w:shd w:val="clear" w:color="auto" w:fill="auto"/>
        </w:rPr>
      </w:pPr>
      <w:bookmarkStart w:id="23" w:name="_Toc81298398"/>
      <w:bookmarkStart w:id="24" w:name="_Toc81966706"/>
      <w:bookmarkStart w:id="25" w:name="_Toc82182070"/>
      <w:bookmarkStart w:id="26" w:name="_Toc423599141"/>
      <w:bookmarkStart w:id="27" w:name="_Toc4415"/>
      <w:bookmarkStart w:id="28" w:name="_Toc5081"/>
      <w:bookmarkStart w:id="29" w:name="_Toc373717866"/>
      <w:bookmarkStart w:id="30" w:name="_Toc26553"/>
      <w:r>
        <w:rPr>
          <w:color w:val="auto"/>
          <w:shd w:val="clear" w:color="auto" w:fill="auto"/>
        </w:rPr>
        <w:t>1.1</w:t>
      </w:r>
      <w:bookmarkEnd w:id="23"/>
      <w:bookmarkEnd w:id="24"/>
      <w:bookmarkEnd w:id="25"/>
      <w:r>
        <w:rPr>
          <w:rFonts w:hint="eastAsia"/>
          <w:color w:val="auto"/>
          <w:shd w:val="clear" w:color="auto" w:fill="auto"/>
          <w:lang w:val="en-US" w:eastAsia="zh-CN"/>
        </w:rPr>
        <w:t xml:space="preserve"> </w:t>
      </w:r>
      <w:r>
        <w:rPr>
          <w:color w:val="auto"/>
          <w:shd w:val="clear" w:color="auto" w:fill="auto"/>
        </w:rPr>
        <w:t>评价目的、指导思想</w:t>
      </w:r>
      <w:bookmarkEnd w:id="26"/>
      <w:bookmarkEnd w:id="27"/>
      <w:bookmarkEnd w:id="28"/>
      <w:bookmarkEnd w:id="29"/>
      <w:bookmarkEnd w:id="30"/>
    </w:p>
    <w:p>
      <w:pPr>
        <w:pStyle w:val="5"/>
        <w:rPr>
          <w:color w:val="auto"/>
          <w:shd w:val="clear" w:color="auto" w:fill="auto"/>
        </w:rPr>
      </w:pPr>
      <w:bookmarkStart w:id="31" w:name="_Toc421170957"/>
      <w:bookmarkStart w:id="32" w:name="_Toc16102"/>
      <w:bookmarkStart w:id="33" w:name="_Toc8043"/>
      <w:bookmarkStart w:id="34" w:name="_Toc423599142"/>
      <w:r>
        <w:rPr>
          <w:color w:val="auto"/>
          <w:shd w:val="clear" w:color="auto" w:fill="auto"/>
        </w:rPr>
        <w:t>1.1.1</w:t>
      </w:r>
      <w:r>
        <w:rPr>
          <w:rFonts w:hint="eastAsia"/>
          <w:color w:val="auto"/>
          <w:shd w:val="clear" w:color="auto" w:fill="auto"/>
          <w:lang w:val="en-US" w:eastAsia="zh-CN"/>
        </w:rPr>
        <w:t xml:space="preserve"> </w:t>
      </w:r>
      <w:r>
        <w:rPr>
          <w:color w:val="auto"/>
          <w:shd w:val="clear" w:color="auto" w:fill="auto"/>
        </w:rPr>
        <w:t>评价目的</w:t>
      </w:r>
      <w:bookmarkEnd w:id="31"/>
      <w:bookmarkEnd w:id="32"/>
      <w:bookmarkEnd w:id="33"/>
      <w:bookmarkEnd w:id="34"/>
    </w:p>
    <w:p>
      <w:pPr>
        <w:ind w:firstLine="480"/>
        <w:rPr>
          <w:color w:val="auto"/>
          <w:shd w:val="clear" w:color="auto" w:fill="auto"/>
        </w:rPr>
      </w:pPr>
      <w:r>
        <w:rPr>
          <w:color w:val="auto"/>
          <w:shd w:val="clear" w:color="auto" w:fill="auto"/>
        </w:rPr>
        <w:t>通过评价工作，了解项目建设前的环境现状，识别环境遗留问题，预测项目建设对周围环境的影响程度，从环境保护和生态平衡的角度出发，以科学求实的态度，对项目建设所带来的环境问题、施工工艺及环境的可行性和合理性进行科学论证。</w:t>
      </w:r>
    </w:p>
    <w:p>
      <w:pPr>
        <w:ind w:firstLine="480"/>
        <w:rPr>
          <w:color w:val="auto"/>
          <w:shd w:val="clear" w:color="auto" w:fill="auto"/>
        </w:rPr>
      </w:pPr>
      <w:r>
        <w:rPr>
          <w:color w:val="auto"/>
          <w:shd w:val="clear" w:color="auto" w:fill="auto"/>
        </w:rPr>
        <w:t>同时，结合本工程所在地区的环境特征及工程特征，通过对工程的环境影响预测分析，提出防治污染和减缓工程建设对周围环境影响的可行措施，力争将拟建项目建设所带来的不利影响降低到最低程度，为项目的工程设计、施工及运行管理提供科学依据，使工程建设的经济效益、社会效益和环境效益相统一，也为主管部门的决策和日常监管提供依据。</w:t>
      </w:r>
    </w:p>
    <w:p>
      <w:pPr>
        <w:pStyle w:val="5"/>
        <w:rPr>
          <w:color w:val="auto"/>
          <w:shd w:val="clear" w:color="auto" w:fill="auto"/>
        </w:rPr>
      </w:pPr>
      <w:bookmarkStart w:id="35" w:name="_Toc1940"/>
      <w:bookmarkStart w:id="36" w:name="_Toc423599143"/>
      <w:bookmarkStart w:id="37" w:name="_Toc29529"/>
      <w:bookmarkStart w:id="38" w:name="_Toc421170958"/>
      <w:r>
        <w:rPr>
          <w:color w:val="auto"/>
          <w:shd w:val="clear" w:color="auto" w:fill="auto"/>
        </w:rPr>
        <w:t>1.1.2</w:t>
      </w:r>
      <w:r>
        <w:rPr>
          <w:rFonts w:hint="eastAsia"/>
          <w:color w:val="auto"/>
          <w:shd w:val="clear" w:color="auto" w:fill="auto"/>
          <w:lang w:val="en-US" w:eastAsia="zh-CN"/>
        </w:rPr>
        <w:t xml:space="preserve"> </w:t>
      </w:r>
      <w:r>
        <w:rPr>
          <w:color w:val="auto"/>
          <w:shd w:val="clear" w:color="auto" w:fill="auto"/>
        </w:rPr>
        <w:t>指导思想</w:t>
      </w:r>
      <w:bookmarkEnd w:id="35"/>
      <w:bookmarkEnd w:id="36"/>
      <w:bookmarkEnd w:id="37"/>
      <w:bookmarkEnd w:id="38"/>
    </w:p>
    <w:p>
      <w:pPr>
        <w:ind w:firstLine="480"/>
        <w:rPr>
          <w:color w:val="auto"/>
          <w:shd w:val="clear" w:color="auto" w:fill="auto"/>
        </w:rPr>
      </w:pPr>
      <w:r>
        <w:rPr>
          <w:color w:val="auto"/>
          <w:shd w:val="clear" w:color="auto" w:fill="auto"/>
        </w:rPr>
        <w:t>根据拟建工程项目可行性研究报告的相关内容，按照相关的环境保护法规、标准和有关规定，分析工程排放的污染物能否达标排放，对原设计的环保治理措施进行可行性分析，最终提出合理、可靠、可行的综合防治措施。</w:t>
      </w:r>
    </w:p>
    <w:p>
      <w:pPr>
        <w:ind w:firstLine="480"/>
        <w:rPr>
          <w:color w:val="auto"/>
          <w:shd w:val="clear" w:color="auto" w:fill="auto"/>
        </w:rPr>
      </w:pPr>
      <w:r>
        <w:rPr>
          <w:color w:val="auto"/>
          <w:shd w:val="clear" w:color="auto" w:fill="auto"/>
        </w:rPr>
        <w:t>评价中认真贯彻</w:t>
      </w:r>
      <w:r>
        <w:rPr>
          <w:rFonts w:hint="eastAsia"/>
          <w:color w:val="auto"/>
          <w:shd w:val="clear" w:color="auto" w:fill="auto"/>
        </w:rPr>
        <w:t>“</w:t>
      </w:r>
      <w:r>
        <w:rPr>
          <w:color w:val="auto"/>
          <w:shd w:val="clear" w:color="auto" w:fill="auto"/>
        </w:rPr>
        <w:t>达标排放</w:t>
      </w:r>
      <w:r>
        <w:rPr>
          <w:rFonts w:hint="eastAsia"/>
          <w:color w:val="auto"/>
          <w:shd w:val="clear" w:color="auto" w:fill="auto"/>
        </w:rPr>
        <w:t>”</w:t>
      </w:r>
      <w:r>
        <w:rPr>
          <w:color w:val="auto"/>
          <w:shd w:val="clear" w:color="auto" w:fill="auto"/>
        </w:rPr>
        <w:t>、</w:t>
      </w:r>
      <w:r>
        <w:rPr>
          <w:rFonts w:hint="eastAsia"/>
          <w:color w:val="auto"/>
          <w:shd w:val="clear" w:color="auto" w:fill="auto"/>
        </w:rPr>
        <w:t>“</w:t>
      </w:r>
      <w:r>
        <w:rPr>
          <w:color w:val="auto"/>
          <w:shd w:val="clear" w:color="auto" w:fill="auto"/>
        </w:rPr>
        <w:t>可持续发展</w:t>
      </w:r>
      <w:r>
        <w:rPr>
          <w:rFonts w:hint="eastAsia"/>
          <w:color w:val="auto"/>
          <w:shd w:val="clear" w:color="auto" w:fill="auto"/>
        </w:rPr>
        <w:t>”</w:t>
      </w:r>
      <w:r>
        <w:rPr>
          <w:color w:val="auto"/>
          <w:shd w:val="clear" w:color="auto" w:fill="auto"/>
        </w:rPr>
        <w:t>、</w:t>
      </w:r>
      <w:r>
        <w:rPr>
          <w:rFonts w:hint="eastAsia"/>
          <w:color w:val="auto"/>
          <w:shd w:val="clear" w:color="auto" w:fill="auto"/>
        </w:rPr>
        <w:t>“</w:t>
      </w:r>
      <w:r>
        <w:rPr>
          <w:color w:val="auto"/>
          <w:shd w:val="clear" w:color="auto" w:fill="auto"/>
        </w:rPr>
        <w:t>符合环境功能区划</w:t>
      </w:r>
      <w:r>
        <w:rPr>
          <w:rFonts w:hint="eastAsia"/>
          <w:color w:val="auto"/>
          <w:shd w:val="clear" w:color="auto" w:fill="auto"/>
        </w:rPr>
        <w:t>”</w:t>
      </w:r>
      <w:r>
        <w:rPr>
          <w:color w:val="auto"/>
          <w:shd w:val="clear" w:color="auto" w:fill="auto"/>
        </w:rPr>
        <w:t>的原则。同时依据《环境影响评价技术导则》中的要求，合理确定评价范围、监测项目，并根据工程特点，以及项目区特定的地形、地貌条件，按项目建设和运营过程中所产生的</w:t>
      </w:r>
      <w:r>
        <w:rPr>
          <w:rFonts w:hint="eastAsia"/>
          <w:color w:val="auto"/>
          <w:shd w:val="clear" w:color="auto" w:fill="auto"/>
        </w:rPr>
        <w:t>“</w:t>
      </w:r>
      <w:r>
        <w:rPr>
          <w:color w:val="auto"/>
          <w:shd w:val="clear" w:color="auto" w:fill="auto"/>
        </w:rPr>
        <w:t>三废</w:t>
      </w:r>
      <w:r>
        <w:rPr>
          <w:rFonts w:hint="eastAsia"/>
          <w:color w:val="auto"/>
          <w:shd w:val="clear" w:color="auto" w:fill="auto"/>
        </w:rPr>
        <w:t>”</w:t>
      </w:r>
      <w:r>
        <w:rPr>
          <w:color w:val="auto"/>
          <w:shd w:val="clear" w:color="auto" w:fill="auto"/>
        </w:rPr>
        <w:t>的特点，以当地气象、水文、地质、地貌、土壤、植被等为背景环境因子，选择有代表性的监测点位、监测因子，突出项目建设对环境影响的特点，以生态环境评价为重点开展工作。结论力求做到科学、客观、公正、明确，为决策部门提供依据。</w:t>
      </w:r>
    </w:p>
    <w:p>
      <w:pPr>
        <w:pStyle w:val="4"/>
        <w:spacing w:before="120" w:after="120"/>
        <w:rPr>
          <w:color w:val="auto"/>
          <w:shd w:val="clear" w:color="auto" w:fill="auto"/>
        </w:rPr>
      </w:pPr>
      <w:bookmarkStart w:id="39" w:name="_Toc7618"/>
      <w:bookmarkStart w:id="40" w:name="_Toc3279"/>
      <w:bookmarkStart w:id="41" w:name="_Toc15315"/>
      <w:r>
        <w:rPr>
          <w:rFonts w:hint="eastAsia"/>
          <w:color w:val="auto"/>
          <w:shd w:val="clear" w:color="auto" w:fill="auto"/>
        </w:rPr>
        <w:t>1.2</w:t>
      </w:r>
      <w:r>
        <w:rPr>
          <w:rFonts w:hint="eastAsia"/>
          <w:color w:val="auto"/>
          <w:shd w:val="clear" w:color="auto" w:fill="auto"/>
          <w:lang w:val="en-US" w:eastAsia="zh-CN"/>
        </w:rPr>
        <w:t xml:space="preserve"> </w:t>
      </w:r>
      <w:r>
        <w:rPr>
          <w:rFonts w:hint="eastAsia"/>
          <w:color w:val="auto"/>
          <w:shd w:val="clear" w:color="auto" w:fill="auto"/>
        </w:rPr>
        <w:t>编制依据</w:t>
      </w:r>
      <w:bookmarkEnd w:id="39"/>
      <w:bookmarkEnd w:id="40"/>
      <w:bookmarkEnd w:id="41"/>
    </w:p>
    <w:p>
      <w:pPr>
        <w:pStyle w:val="5"/>
        <w:rPr>
          <w:color w:val="auto"/>
          <w:shd w:val="clear" w:color="auto" w:fill="auto"/>
        </w:rPr>
      </w:pPr>
      <w:bookmarkStart w:id="42" w:name="_Toc19201"/>
      <w:r>
        <w:rPr>
          <w:rFonts w:hint="eastAsia"/>
          <w:color w:val="auto"/>
          <w:shd w:val="clear" w:color="auto" w:fill="auto"/>
        </w:rPr>
        <w:t>1.2.1 国家法律法规</w:t>
      </w:r>
      <w:bookmarkEnd w:id="42"/>
    </w:p>
    <w:p>
      <w:pPr>
        <w:ind w:firstLine="480"/>
        <w:rPr>
          <w:color w:val="auto"/>
          <w:shd w:val="clear" w:color="auto" w:fill="auto"/>
        </w:rPr>
      </w:pPr>
      <w:r>
        <w:rPr>
          <w:color w:val="auto"/>
          <w:shd w:val="clear" w:color="auto" w:fill="auto"/>
        </w:rPr>
        <w:t>（1）《中华人民共和国环境保护法》，</w:t>
      </w:r>
      <w:r>
        <w:rPr>
          <w:rFonts w:hint="eastAsia"/>
          <w:color w:val="auto"/>
          <w:shd w:val="clear" w:color="auto" w:fill="auto"/>
        </w:rPr>
        <w:t>2015</w:t>
      </w:r>
      <w:r>
        <w:rPr>
          <w:color w:val="auto"/>
          <w:shd w:val="clear" w:color="auto" w:fill="auto"/>
        </w:rPr>
        <w:t>年</w:t>
      </w:r>
      <w:r>
        <w:rPr>
          <w:rFonts w:hint="eastAsia"/>
          <w:color w:val="auto"/>
          <w:shd w:val="clear" w:color="auto" w:fill="auto"/>
        </w:rPr>
        <w:t>1</w:t>
      </w:r>
      <w:r>
        <w:rPr>
          <w:color w:val="auto"/>
          <w:shd w:val="clear" w:color="auto" w:fill="auto"/>
        </w:rPr>
        <w:t>月</w:t>
      </w:r>
      <w:r>
        <w:rPr>
          <w:rFonts w:hint="eastAsia"/>
          <w:color w:val="auto"/>
          <w:shd w:val="clear" w:color="auto" w:fill="auto"/>
        </w:rPr>
        <w:t>1</w:t>
      </w:r>
      <w:r>
        <w:rPr>
          <w:color w:val="auto"/>
          <w:shd w:val="clear" w:color="auto" w:fill="auto"/>
        </w:rPr>
        <w:t>日</w:t>
      </w:r>
      <w:r>
        <w:rPr>
          <w:rFonts w:hint="eastAsia" w:cs="Times New Roman"/>
          <w:color w:val="auto"/>
          <w:shd w:val="clear" w:color="auto" w:fill="auto"/>
          <w:lang w:val="en-US" w:eastAsia="zh-CN"/>
        </w:rPr>
        <w:t>实施</w:t>
      </w:r>
      <w:r>
        <w:rPr>
          <w:color w:val="auto"/>
          <w:shd w:val="clear" w:color="auto" w:fill="auto"/>
        </w:rPr>
        <w:t>；</w:t>
      </w:r>
    </w:p>
    <w:p>
      <w:pPr>
        <w:ind w:firstLine="480"/>
        <w:rPr>
          <w:color w:val="auto"/>
          <w:shd w:val="clear" w:color="auto" w:fill="auto"/>
        </w:rPr>
      </w:pPr>
      <w:r>
        <w:rPr>
          <w:color w:val="auto"/>
          <w:shd w:val="clear" w:color="auto" w:fill="auto"/>
        </w:rPr>
        <w:t>（2）《中华人民共和国大气污染防治法》，20</w:t>
      </w:r>
      <w:r>
        <w:rPr>
          <w:rFonts w:hint="eastAsia"/>
          <w:color w:val="auto"/>
          <w:shd w:val="clear" w:color="auto" w:fill="auto"/>
        </w:rPr>
        <w:t>1</w:t>
      </w:r>
      <w:r>
        <w:rPr>
          <w:rFonts w:hint="eastAsia"/>
          <w:color w:val="auto"/>
          <w:shd w:val="clear" w:color="auto" w:fill="auto"/>
          <w:lang w:val="en-US" w:eastAsia="zh-CN"/>
        </w:rPr>
        <w:t>8</w:t>
      </w:r>
      <w:r>
        <w:rPr>
          <w:color w:val="auto"/>
          <w:shd w:val="clear" w:color="auto" w:fill="auto"/>
        </w:rPr>
        <w:t>年</w:t>
      </w:r>
      <w:r>
        <w:rPr>
          <w:rFonts w:hint="eastAsia"/>
          <w:color w:val="auto"/>
          <w:shd w:val="clear" w:color="auto" w:fill="auto"/>
          <w:lang w:val="en-US" w:eastAsia="zh-CN"/>
        </w:rPr>
        <w:t>10</w:t>
      </w:r>
      <w:r>
        <w:rPr>
          <w:color w:val="auto"/>
          <w:shd w:val="clear" w:color="auto" w:fill="auto"/>
        </w:rPr>
        <w:t>月</w:t>
      </w:r>
      <w:r>
        <w:rPr>
          <w:rFonts w:hint="eastAsia"/>
          <w:color w:val="auto"/>
          <w:shd w:val="clear" w:color="auto" w:fill="auto"/>
          <w:lang w:val="en-US" w:eastAsia="zh-CN"/>
        </w:rPr>
        <w:t>26</w:t>
      </w:r>
      <w:r>
        <w:rPr>
          <w:rFonts w:hint="eastAsia"/>
          <w:color w:val="auto"/>
          <w:shd w:val="clear" w:color="auto" w:fill="auto"/>
        </w:rPr>
        <w:t>日</w:t>
      </w:r>
      <w:r>
        <w:rPr>
          <w:rFonts w:hint="eastAsia" w:cs="Times New Roman"/>
          <w:color w:val="auto"/>
          <w:shd w:val="clear" w:color="auto" w:fill="auto"/>
          <w:lang w:val="en-US" w:eastAsia="zh-CN"/>
        </w:rPr>
        <w:t>修正版</w:t>
      </w:r>
      <w:r>
        <w:rPr>
          <w:color w:val="auto"/>
          <w:shd w:val="clear" w:color="auto" w:fill="auto"/>
        </w:rPr>
        <w:t>；</w:t>
      </w:r>
    </w:p>
    <w:p>
      <w:pPr>
        <w:ind w:firstLine="480"/>
        <w:rPr>
          <w:color w:val="auto"/>
          <w:shd w:val="clear" w:color="auto" w:fill="auto"/>
        </w:rPr>
      </w:pPr>
      <w:r>
        <w:rPr>
          <w:color w:val="auto"/>
          <w:shd w:val="clear" w:color="auto" w:fill="auto"/>
        </w:rPr>
        <w:t>（3）《中华人民共和国水污染防治法》，20</w:t>
      </w:r>
      <w:r>
        <w:rPr>
          <w:rFonts w:hint="eastAsia"/>
          <w:color w:val="auto"/>
          <w:shd w:val="clear" w:color="auto" w:fill="auto"/>
        </w:rPr>
        <w:t>17</w:t>
      </w:r>
      <w:r>
        <w:rPr>
          <w:color w:val="auto"/>
          <w:shd w:val="clear" w:color="auto" w:fill="auto"/>
        </w:rPr>
        <w:t>年</w:t>
      </w:r>
      <w:r>
        <w:rPr>
          <w:rFonts w:hint="eastAsia"/>
          <w:color w:val="auto"/>
          <w:shd w:val="clear" w:color="auto" w:fill="auto"/>
        </w:rPr>
        <w:t>6</w:t>
      </w:r>
      <w:r>
        <w:rPr>
          <w:color w:val="auto"/>
          <w:shd w:val="clear" w:color="auto" w:fill="auto"/>
        </w:rPr>
        <w:t>月</w:t>
      </w:r>
      <w:r>
        <w:rPr>
          <w:rFonts w:hint="eastAsia"/>
          <w:color w:val="auto"/>
          <w:shd w:val="clear" w:color="auto" w:fill="auto"/>
        </w:rPr>
        <w:t>27日</w:t>
      </w:r>
      <w:r>
        <w:rPr>
          <w:rFonts w:hint="eastAsia"/>
          <w:color w:val="auto"/>
          <w:shd w:val="clear" w:color="auto" w:fill="auto"/>
          <w:lang w:eastAsia="zh-CN"/>
        </w:rPr>
        <w:t>修订</w:t>
      </w:r>
      <w:r>
        <w:rPr>
          <w:color w:val="auto"/>
          <w:shd w:val="clear" w:color="auto" w:fill="auto"/>
        </w:rPr>
        <w:t>；</w:t>
      </w:r>
    </w:p>
    <w:p>
      <w:pPr>
        <w:ind w:firstLine="480"/>
        <w:rPr>
          <w:color w:val="auto"/>
          <w:shd w:val="clear" w:color="auto" w:fill="auto"/>
        </w:rPr>
      </w:pPr>
      <w:r>
        <w:rPr>
          <w:color w:val="auto"/>
          <w:shd w:val="clear" w:color="auto" w:fill="auto"/>
        </w:rPr>
        <w:t>（4）《中华人民共和国环境噪声污染防治法》，</w:t>
      </w:r>
      <w:r>
        <w:rPr>
          <w:rFonts w:hint="eastAsia"/>
          <w:color w:val="auto"/>
          <w:shd w:val="clear" w:color="auto" w:fill="auto"/>
          <w:lang w:val="en-US" w:eastAsia="zh-CN"/>
        </w:rPr>
        <w:t>2018</w:t>
      </w:r>
      <w:r>
        <w:rPr>
          <w:color w:val="auto"/>
          <w:shd w:val="clear" w:color="auto" w:fill="auto"/>
        </w:rPr>
        <w:t>年</w:t>
      </w:r>
      <w:r>
        <w:rPr>
          <w:rFonts w:hint="eastAsia"/>
          <w:color w:val="auto"/>
          <w:shd w:val="clear" w:color="auto" w:fill="auto"/>
          <w:lang w:val="en-US" w:eastAsia="zh-CN"/>
        </w:rPr>
        <w:t>12</w:t>
      </w:r>
      <w:r>
        <w:rPr>
          <w:color w:val="auto"/>
          <w:shd w:val="clear" w:color="auto" w:fill="auto"/>
        </w:rPr>
        <w:t>月</w:t>
      </w:r>
      <w:r>
        <w:rPr>
          <w:rFonts w:hint="eastAsia"/>
          <w:color w:val="auto"/>
          <w:shd w:val="clear" w:color="auto" w:fill="auto"/>
          <w:lang w:val="en-US" w:eastAsia="zh-CN"/>
        </w:rPr>
        <w:t>29</w:t>
      </w:r>
      <w:r>
        <w:rPr>
          <w:rFonts w:hint="eastAsia"/>
          <w:color w:val="auto"/>
          <w:shd w:val="clear" w:color="auto" w:fill="auto"/>
        </w:rPr>
        <w:t>日</w:t>
      </w:r>
      <w:r>
        <w:rPr>
          <w:rFonts w:hint="eastAsia" w:cs="Times New Roman"/>
          <w:color w:val="auto"/>
          <w:shd w:val="clear" w:color="auto" w:fill="auto"/>
          <w:lang w:val="en-US" w:eastAsia="zh-CN"/>
        </w:rPr>
        <w:t>修订</w:t>
      </w:r>
      <w:r>
        <w:rPr>
          <w:color w:val="auto"/>
          <w:shd w:val="clear" w:color="auto" w:fill="auto"/>
        </w:rPr>
        <w:t>；</w:t>
      </w:r>
    </w:p>
    <w:p>
      <w:pPr>
        <w:ind w:firstLine="480"/>
        <w:rPr>
          <w:color w:val="auto"/>
          <w:shd w:val="clear" w:color="auto" w:fill="auto"/>
        </w:rPr>
      </w:pPr>
      <w:r>
        <w:rPr>
          <w:color w:val="auto"/>
          <w:shd w:val="clear" w:color="auto" w:fill="auto"/>
        </w:rPr>
        <w:t>（5）《</w:t>
      </w:r>
      <w:bookmarkStart w:id="43" w:name="OLE_LINK2"/>
      <w:bookmarkStart w:id="44" w:name="OLE_LINK1"/>
      <w:r>
        <w:rPr>
          <w:color w:val="auto"/>
          <w:shd w:val="clear" w:color="auto" w:fill="auto"/>
        </w:rPr>
        <w:t>中华人民共和国固体废物污染环境防治法</w:t>
      </w:r>
      <w:bookmarkEnd w:id="43"/>
      <w:bookmarkEnd w:id="44"/>
      <w:r>
        <w:rPr>
          <w:color w:val="auto"/>
          <w:shd w:val="clear" w:color="auto" w:fill="auto"/>
        </w:rPr>
        <w:t>》，20</w:t>
      </w:r>
      <w:r>
        <w:rPr>
          <w:rFonts w:hint="eastAsia"/>
          <w:color w:val="auto"/>
          <w:shd w:val="clear" w:color="auto" w:fill="auto"/>
        </w:rPr>
        <w:t>16</w:t>
      </w:r>
      <w:r>
        <w:rPr>
          <w:color w:val="auto"/>
          <w:shd w:val="clear" w:color="auto" w:fill="auto"/>
        </w:rPr>
        <w:t>年</w:t>
      </w:r>
      <w:r>
        <w:rPr>
          <w:rFonts w:hint="eastAsia"/>
          <w:color w:val="auto"/>
          <w:shd w:val="clear" w:color="auto" w:fill="auto"/>
        </w:rPr>
        <w:t>11</w:t>
      </w:r>
      <w:r>
        <w:rPr>
          <w:color w:val="auto"/>
          <w:shd w:val="clear" w:color="auto" w:fill="auto"/>
        </w:rPr>
        <w:t>月</w:t>
      </w:r>
      <w:r>
        <w:rPr>
          <w:rFonts w:hint="eastAsia"/>
          <w:color w:val="auto"/>
          <w:shd w:val="clear" w:color="auto" w:fill="auto"/>
        </w:rPr>
        <w:t>7日</w:t>
      </w:r>
      <w:r>
        <w:rPr>
          <w:rFonts w:hint="eastAsia"/>
          <w:color w:val="auto"/>
          <w:shd w:val="clear" w:color="auto" w:fill="auto"/>
          <w:lang w:eastAsia="zh-CN"/>
        </w:rPr>
        <w:t>修订</w:t>
      </w:r>
      <w:r>
        <w:rPr>
          <w:color w:val="auto"/>
          <w:shd w:val="clear" w:color="auto" w:fill="auto"/>
        </w:rPr>
        <w:t>；</w:t>
      </w:r>
    </w:p>
    <w:p>
      <w:pPr>
        <w:ind w:firstLine="480"/>
        <w:rPr>
          <w:color w:val="auto"/>
          <w:shd w:val="clear" w:color="auto" w:fill="auto"/>
        </w:rPr>
      </w:pPr>
      <w:r>
        <w:rPr>
          <w:color w:val="auto"/>
          <w:shd w:val="clear" w:color="auto" w:fill="auto"/>
        </w:rPr>
        <w:t>（6）《中华人民共和国环境影响评价法》，20</w:t>
      </w:r>
      <w:r>
        <w:rPr>
          <w:rFonts w:hint="eastAsia"/>
          <w:color w:val="auto"/>
          <w:shd w:val="clear" w:color="auto" w:fill="auto"/>
        </w:rPr>
        <w:t>1</w:t>
      </w:r>
      <w:r>
        <w:rPr>
          <w:rFonts w:hint="eastAsia"/>
          <w:color w:val="auto"/>
          <w:shd w:val="clear" w:color="auto" w:fill="auto"/>
          <w:lang w:val="en-US" w:eastAsia="zh-CN"/>
        </w:rPr>
        <w:t>8</w:t>
      </w:r>
      <w:r>
        <w:rPr>
          <w:color w:val="auto"/>
          <w:shd w:val="clear" w:color="auto" w:fill="auto"/>
        </w:rPr>
        <w:t>年</w:t>
      </w:r>
      <w:r>
        <w:rPr>
          <w:rFonts w:hint="eastAsia"/>
          <w:color w:val="auto"/>
          <w:shd w:val="clear" w:color="auto" w:fill="auto"/>
          <w:lang w:val="en-US" w:eastAsia="zh-CN"/>
        </w:rPr>
        <w:t>12</w:t>
      </w:r>
      <w:r>
        <w:rPr>
          <w:rFonts w:hint="eastAsia"/>
          <w:color w:val="auto"/>
          <w:shd w:val="clear" w:color="auto" w:fill="auto"/>
        </w:rPr>
        <w:t>月</w:t>
      </w:r>
      <w:r>
        <w:rPr>
          <w:rFonts w:hint="eastAsia"/>
          <w:color w:val="auto"/>
          <w:shd w:val="clear" w:color="auto" w:fill="auto"/>
          <w:lang w:val="en-US" w:eastAsia="zh-CN"/>
        </w:rPr>
        <w:t>29</w:t>
      </w:r>
      <w:r>
        <w:rPr>
          <w:rFonts w:hint="eastAsia"/>
          <w:color w:val="auto"/>
          <w:shd w:val="clear" w:color="auto" w:fill="auto"/>
        </w:rPr>
        <w:t>日</w:t>
      </w:r>
      <w:r>
        <w:rPr>
          <w:rFonts w:hint="eastAsia" w:cs="Times New Roman"/>
          <w:color w:val="auto"/>
          <w:shd w:val="clear" w:color="auto" w:fill="auto"/>
          <w:lang w:val="en-US" w:eastAsia="zh-CN"/>
        </w:rPr>
        <w:t>修订</w:t>
      </w:r>
      <w:r>
        <w:rPr>
          <w:color w:val="auto"/>
          <w:shd w:val="clear" w:color="auto" w:fill="auto"/>
        </w:rPr>
        <w:t>；</w:t>
      </w:r>
    </w:p>
    <w:p>
      <w:pPr>
        <w:ind w:firstLine="480"/>
        <w:rPr>
          <w:color w:val="auto"/>
          <w:shd w:val="clear" w:color="auto" w:fill="auto"/>
        </w:rPr>
      </w:pPr>
      <w:r>
        <w:rPr>
          <w:color w:val="auto"/>
          <w:shd w:val="clear" w:color="auto" w:fill="auto"/>
        </w:rPr>
        <w:t>（7）《中华人民共和国河道管理条例》，</w:t>
      </w:r>
      <w:r>
        <w:rPr>
          <w:rFonts w:hint="eastAsia"/>
          <w:color w:val="auto"/>
          <w:shd w:val="clear" w:color="auto" w:fill="auto"/>
        </w:rPr>
        <w:t>2017</w:t>
      </w:r>
      <w:r>
        <w:rPr>
          <w:color w:val="auto"/>
          <w:shd w:val="clear" w:color="auto" w:fill="auto"/>
        </w:rPr>
        <w:t>年</w:t>
      </w:r>
      <w:r>
        <w:rPr>
          <w:rFonts w:hint="eastAsia"/>
          <w:color w:val="auto"/>
          <w:shd w:val="clear" w:color="auto" w:fill="auto"/>
        </w:rPr>
        <w:t>10</w:t>
      </w:r>
      <w:r>
        <w:rPr>
          <w:color w:val="auto"/>
          <w:shd w:val="clear" w:color="auto" w:fill="auto"/>
        </w:rPr>
        <w:t>月</w:t>
      </w:r>
      <w:r>
        <w:rPr>
          <w:rFonts w:hint="eastAsia"/>
          <w:color w:val="auto"/>
          <w:shd w:val="clear" w:color="auto" w:fill="auto"/>
        </w:rPr>
        <w:t>7</w:t>
      </w:r>
      <w:r>
        <w:rPr>
          <w:color w:val="auto"/>
          <w:shd w:val="clear" w:color="auto" w:fill="auto"/>
        </w:rPr>
        <w:t>日</w:t>
      </w:r>
      <w:r>
        <w:rPr>
          <w:rFonts w:hint="eastAsia"/>
          <w:color w:val="auto"/>
          <w:shd w:val="clear" w:color="auto" w:fill="auto"/>
          <w:lang w:eastAsia="zh-CN"/>
        </w:rPr>
        <w:t>修订</w:t>
      </w:r>
      <w:r>
        <w:rPr>
          <w:color w:val="auto"/>
          <w:shd w:val="clear" w:color="auto" w:fill="auto"/>
        </w:rPr>
        <w:t>；</w:t>
      </w:r>
    </w:p>
    <w:p>
      <w:pPr>
        <w:ind w:firstLine="480"/>
        <w:rPr>
          <w:color w:val="auto"/>
          <w:shd w:val="clear" w:color="auto" w:fill="auto"/>
        </w:rPr>
      </w:pPr>
      <w:r>
        <w:rPr>
          <w:color w:val="auto"/>
          <w:shd w:val="clear" w:color="auto" w:fill="auto"/>
        </w:rPr>
        <w:t>（8）《中华人民共和国水法》，20</w:t>
      </w:r>
      <w:r>
        <w:rPr>
          <w:rFonts w:hint="eastAsia"/>
          <w:color w:val="auto"/>
          <w:shd w:val="clear" w:color="auto" w:fill="auto"/>
        </w:rPr>
        <w:t>16</w:t>
      </w:r>
      <w:r>
        <w:rPr>
          <w:color w:val="auto"/>
          <w:shd w:val="clear" w:color="auto" w:fill="auto"/>
        </w:rPr>
        <w:t>年</w:t>
      </w:r>
      <w:r>
        <w:rPr>
          <w:rFonts w:hint="eastAsia"/>
          <w:color w:val="auto"/>
          <w:shd w:val="clear" w:color="auto" w:fill="auto"/>
        </w:rPr>
        <w:t>7</w:t>
      </w:r>
      <w:r>
        <w:rPr>
          <w:color w:val="auto"/>
          <w:shd w:val="clear" w:color="auto" w:fill="auto"/>
        </w:rPr>
        <w:t>月</w:t>
      </w:r>
      <w:r>
        <w:rPr>
          <w:rFonts w:hint="eastAsia"/>
          <w:color w:val="auto"/>
          <w:shd w:val="clear" w:color="auto" w:fill="auto"/>
        </w:rPr>
        <w:t>2</w:t>
      </w:r>
      <w:r>
        <w:rPr>
          <w:color w:val="auto"/>
          <w:shd w:val="clear" w:color="auto" w:fill="auto"/>
        </w:rPr>
        <w:t>日</w:t>
      </w:r>
      <w:r>
        <w:rPr>
          <w:rFonts w:hint="eastAsia"/>
          <w:color w:val="auto"/>
          <w:shd w:val="clear" w:color="auto" w:fill="auto"/>
          <w:lang w:eastAsia="zh-CN"/>
        </w:rPr>
        <w:t>修订</w:t>
      </w:r>
      <w:r>
        <w:rPr>
          <w:color w:val="auto"/>
          <w:shd w:val="clear" w:color="auto" w:fill="auto"/>
        </w:rPr>
        <w:t>；</w:t>
      </w:r>
    </w:p>
    <w:p>
      <w:pPr>
        <w:ind w:firstLine="480"/>
        <w:rPr>
          <w:color w:val="auto"/>
          <w:shd w:val="clear" w:color="auto" w:fill="auto"/>
        </w:rPr>
      </w:pPr>
      <w:r>
        <w:rPr>
          <w:color w:val="auto"/>
          <w:shd w:val="clear" w:color="auto" w:fill="auto"/>
        </w:rPr>
        <w:t>（9）《中华人民共和国港口法》，20</w:t>
      </w:r>
      <w:r>
        <w:rPr>
          <w:rFonts w:hint="eastAsia"/>
          <w:color w:val="auto"/>
          <w:shd w:val="clear" w:color="auto" w:fill="auto"/>
        </w:rPr>
        <w:t>17</w:t>
      </w:r>
      <w:r>
        <w:rPr>
          <w:color w:val="auto"/>
          <w:shd w:val="clear" w:color="auto" w:fill="auto"/>
        </w:rPr>
        <w:t>年1</w:t>
      </w:r>
      <w:r>
        <w:rPr>
          <w:rFonts w:hint="eastAsia"/>
          <w:color w:val="auto"/>
          <w:shd w:val="clear" w:color="auto" w:fill="auto"/>
        </w:rPr>
        <w:t>1</w:t>
      </w:r>
      <w:r>
        <w:rPr>
          <w:color w:val="auto"/>
          <w:shd w:val="clear" w:color="auto" w:fill="auto"/>
        </w:rPr>
        <w:t>月</w:t>
      </w:r>
      <w:r>
        <w:rPr>
          <w:rFonts w:hint="eastAsia"/>
          <w:color w:val="auto"/>
          <w:shd w:val="clear" w:color="auto" w:fill="auto"/>
        </w:rPr>
        <w:t>4</w:t>
      </w:r>
      <w:r>
        <w:rPr>
          <w:color w:val="auto"/>
          <w:shd w:val="clear" w:color="auto" w:fill="auto"/>
        </w:rPr>
        <w:t>日</w:t>
      </w:r>
      <w:r>
        <w:rPr>
          <w:rFonts w:hint="eastAsia"/>
          <w:color w:val="auto"/>
          <w:shd w:val="clear" w:color="auto" w:fill="auto"/>
          <w:lang w:eastAsia="zh-CN"/>
        </w:rPr>
        <w:t>修订</w:t>
      </w:r>
      <w:r>
        <w:rPr>
          <w:color w:val="auto"/>
          <w:shd w:val="clear" w:color="auto" w:fill="auto"/>
        </w:rPr>
        <w:t>；</w:t>
      </w:r>
    </w:p>
    <w:p>
      <w:pPr>
        <w:ind w:firstLine="480"/>
        <w:rPr>
          <w:color w:val="auto"/>
          <w:shd w:val="clear" w:color="auto" w:fill="auto"/>
        </w:rPr>
      </w:pPr>
      <w:r>
        <w:rPr>
          <w:rFonts w:hint="eastAsia"/>
          <w:color w:val="auto"/>
          <w:shd w:val="clear" w:color="auto" w:fill="auto"/>
        </w:rPr>
        <w:t>（10）《中华人民共和国水土保持法》，2010年12月25日</w:t>
      </w:r>
      <w:r>
        <w:rPr>
          <w:rFonts w:hint="eastAsia"/>
          <w:color w:val="auto"/>
          <w:shd w:val="clear" w:color="auto" w:fill="auto"/>
          <w:lang w:eastAsia="zh-CN"/>
        </w:rPr>
        <w:t>修订</w:t>
      </w:r>
      <w:r>
        <w:rPr>
          <w:rFonts w:hint="eastAsia"/>
          <w:color w:val="auto"/>
          <w:shd w:val="clear" w:color="auto" w:fill="auto"/>
        </w:rPr>
        <w:t>；</w:t>
      </w:r>
    </w:p>
    <w:p>
      <w:pPr>
        <w:ind w:firstLine="480"/>
        <w:rPr>
          <w:color w:val="auto"/>
          <w:shd w:val="clear" w:color="auto" w:fill="auto"/>
        </w:rPr>
      </w:pPr>
      <w:r>
        <w:rPr>
          <w:rFonts w:hint="eastAsia"/>
          <w:color w:val="auto"/>
          <w:shd w:val="clear" w:color="auto" w:fill="auto"/>
        </w:rPr>
        <w:t>（11）</w:t>
      </w:r>
      <w:r>
        <w:rPr>
          <w:color w:val="auto"/>
          <w:shd w:val="clear" w:color="auto" w:fill="auto"/>
        </w:rPr>
        <w:t>《中华人民共和国土地管理法》</w:t>
      </w:r>
      <w:r>
        <w:rPr>
          <w:rFonts w:hint="eastAsia"/>
          <w:color w:val="auto"/>
          <w:shd w:val="clear" w:color="auto" w:fill="auto"/>
        </w:rPr>
        <w:t>，</w:t>
      </w:r>
      <w:r>
        <w:rPr>
          <w:color w:val="auto"/>
          <w:shd w:val="clear" w:color="auto" w:fill="auto"/>
        </w:rPr>
        <w:t>2004</w:t>
      </w:r>
      <w:r>
        <w:rPr>
          <w:rFonts w:hint="eastAsia"/>
          <w:color w:val="auto"/>
          <w:shd w:val="clear" w:color="auto" w:fill="auto"/>
        </w:rPr>
        <w:t>年</w:t>
      </w:r>
      <w:r>
        <w:rPr>
          <w:color w:val="auto"/>
          <w:shd w:val="clear" w:color="auto" w:fill="auto"/>
        </w:rPr>
        <w:t>8</w:t>
      </w:r>
      <w:r>
        <w:rPr>
          <w:rFonts w:hint="eastAsia"/>
          <w:color w:val="auto"/>
          <w:shd w:val="clear" w:color="auto" w:fill="auto"/>
        </w:rPr>
        <w:t>月28日</w:t>
      </w:r>
      <w:r>
        <w:rPr>
          <w:rFonts w:hint="eastAsia"/>
          <w:color w:val="auto"/>
          <w:shd w:val="clear" w:color="auto" w:fill="auto"/>
          <w:lang w:eastAsia="zh-CN"/>
        </w:rPr>
        <w:t>修订</w:t>
      </w:r>
      <w:r>
        <w:rPr>
          <w:rFonts w:hint="eastAsia"/>
          <w:color w:val="auto"/>
          <w:shd w:val="clear" w:color="auto" w:fill="auto"/>
        </w:rPr>
        <w:t>；</w:t>
      </w:r>
    </w:p>
    <w:p>
      <w:pPr>
        <w:ind w:firstLine="480"/>
        <w:rPr>
          <w:color w:val="auto"/>
          <w:shd w:val="clear" w:color="auto" w:fill="auto"/>
        </w:rPr>
      </w:pPr>
      <w:r>
        <w:rPr>
          <w:rFonts w:hint="eastAsia"/>
          <w:color w:val="auto"/>
          <w:shd w:val="clear" w:color="auto" w:fill="auto"/>
        </w:rPr>
        <w:t>（12）《</w:t>
      </w:r>
      <w:r>
        <w:rPr>
          <w:color w:val="auto"/>
          <w:shd w:val="clear" w:color="auto" w:fill="auto"/>
        </w:rPr>
        <w:t>中华人民共和国</w:t>
      </w:r>
      <w:r>
        <w:rPr>
          <w:rFonts w:hint="eastAsia"/>
          <w:color w:val="auto"/>
          <w:shd w:val="clear" w:color="auto" w:fill="auto"/>
        </w:rPr>
        <w:t>防洪法》，2016年7月2日</w:t>
      </w:r>
      <w:r>
        <w:rPr>
          <w:rFonts w:hint="eastAsia"/>
          <w:color w:val="auto"/>
          <w:shd w:val="clear" w:color="auto" w:fill="auto"/>
          <w:lang w:eastAsia="zh-CN"/>
        </w:rPr>
        <w:t>修订</w:t>
      </w:r>
      <w:r>
        <w:rPr>
          <w:rFonts w:hint="eastAsia"/>
          <w:color w:val="auto"/>
          <w:shd w:val="clear" w:color="auto" w:fill="auto"/>
        </w:rPr>
        <w:t>；</w:t>
      </w:r>
    </w:p>
    <w:p>
      <w:pPr>
        <w:ind w:firstLine="480"/>
        <w:rPr>
          <w:rFonts w:cs="Times New Roman"/>
          <w:color w:val="auto"/>
          <w:shd w:val="clear" w:color="auto" w:fill="auto"/>
        </w:rPr>
      </w:pPr>
      <w:r>
        <w:rPr>
          <w:rFonts w:cs="Times New Roman"/>
          <w:color w:val="auto"/>
          <w:shd w:val="clear" w:color="auto" w:fill="auto"/>
        </w:rPr>
        <w:t>（13）国务院令第682号《建设项目环境保护管理条例》，2017年</w:t>
      </w:r>
      <w:r>
        <w:rPr>
          <w:rFonts w:hint="eastAsia" w:cs="Times New Roman"/>
          <w:color w:val="auto"/>
          <w:shd w:val="clear" w:color="auto" w:fill="auto"/>
        </w:rPr>
        <w:t>10</w:t>
      </w:r>
      <w:r>
        <w:rPr>
          <w:rFonts w:cs="Times New Roman"/>
          <w:color w:val="auto"/>
          <w:shd w:val="clear" w:color="auto" w:fill="auto"/>
        </w:rPr>
        <w:t>月1日</w:t>
      </w:r>
      <w:r>
        <w:rPr>
          <w:rFonts w:hint="eastAsia" w:cs="Times New Roman"/>
          <w:color w:val="auto"/>
          <w:shd w:val="clear" w:color="auto" w:fill="auto"/>
          <w:lang w:val="en-US" w:eastAsia="zh-CN"/>
        </w:rPr>
        <w:t>实施</w:t>
      </w:r>
      <w:r>
        <w:rPr>
          <w:rFonts w:cs="Times New Roman"/>
          <w:color w:val="auto"/>
          <w:shd w:val="clear" w:color="auto" w:fill="auto"/>
        </w:rPr>
        <w:t>；</w:t>
      </w:r>
    </w:p>
    <w:p>
      <w:pPr>
        <w:spacing w:line="360" w:lineRule="auto"/>
        <w:ind w:firstLine="480"/>
        <w:rPr>
          <w:rFonts w:cs="Times New Roman"/>
          <w:color w:val="auto"/>
          <w:shd w:val="clear" w:color="auto" w:fill="auto"/>
        </w:rPr>
      </w:pPr>
      <w:r>
        <w:rPr>
          <w:rFonts w:cs="Times New Roman"/>
          <w:color w:val="auto"/>
          <w:shd w:val="clear" w:color="auto" w:fill="auto"/>
        </w:rPr>
        <w:t xml:space="preserve">（14）《国务院关于印发大气污染防治行动计划的通知》，国发[2013]37号； </w:t>
      </w:r>
    </w:p>
    <w:p>
      <w:pPr>
        <w:spacing w:line="360" w:lineRule="auto"/>
        <w:ind w:firstLine="480"/>
        <w:rPr>
          <w:rFonts w:cs="Times New Roman"/>
          <w:color w:val="auto"/>
          <w:shd w:val="clear" w:color="auto" w:fill="auto"/>
        </w:rPr>
      </w:pPr>
      <w:r>
        <w:rPr>
          <w:rFonts w:cs="Times New Roman"/>
          <w:color w:val="auto"/>
          <w:shd w:val="clear" w:color="auto" w:fill="auto"/>
        </w:rPr>
        <w:t>（15）《国务院关于印发水污染防治行动计划的通知》，国发[2015]17号；</w:t>
      </w:r>
    </w:p>
    <w:p>
      <w:pPr>
        <w:spacing w:line="360" w:lineRule="auto"/>
        <w:ind w:firstLine="480"/>
        <w:rPr>
          <w:rFonts w:cs="Times New Roman"/>
          <w:color w:val="auto"/>
          <w:shd w:val="clear" w:color="auto" w:fill="auto"/>
        </w:rPr>
      </w:pPr>
      <w:r>
        <w:rPr>
          <w:rFonts w:cs="Times New Roman"/>
          <w:color w:val="auto"/>
          <w:shd w:val="clear" w:color="auto" w:fill="auto"/>
        </w:rPr>
        <w:t>（16</w:t>
      </w:r>
      <w:r>
        <w:rPr>
          <w:rFonts w:cs="Times New Roman"/>
          <w:color w:val="auto"/>
          <w:highlight w:val="none"/>
          <w:shd w:val="clear" w:color="auto" w:fill="auto"/>
        </w:rPr>
        <w:t>）《建设项目环境</w:t>
      </w:r>
      <w:r>
        <w:rPr>
          <w:rFonts w:hint="eastAsia" w:cs="Times New Roman"/>
          <w:color w:val="auto"/>
          <w:highlight w:val="none"/>
          <w:shd w:val="clear" w:color="auto" w:fill="auto"/>
          <w:lang w:val="en-US" w:eastAsia="zh-CN"/>
        </w:rPr>
        <w:t>影响评价</w:t>
      </w:r>
      <w:r>
        <w:rPr>
          <w:rFonts w:cs="Times New Roman"/>
          <w:color w:val="auto"/>
          <w:highlight w:val="none"/>
          <w:shd w:val="clear" w:color="auto" w:fill="auto"/>
        </w:rPr>
        <w:t>分类管理名录》，</w:t>
      </w:r>
      <w:r>
        <w:rPr>
          <w:rFonts w:hint="eastAsia" w:cs="Times New Roman"/>
          <w:color w:val="auto"/>
          <w:highlight w:val="none"/>
          <w:shd w:val="clear" w:color="auto" w:fill="auto"/>
          <w:lang w:eastAsia="zh-CN"/>
        </w:rPr>
        <w:t>部令第</w:t>
      </w:r>
      <w:r>
        <w:rPr>
          <w:rFonts w:hint="eastAsia" w:cs="Times New Roman"/>
          <w:color w:val="auto"/>
          <w:highlight w:val="none"/>
          <w:shd w:val="clear" w:color="auto" w:fill="auto"/>
          <w:lang w:val="en-US" w:eastAsia="zh-CN"/>
        </w:rPr>
        <w:t>44号，2017年9月1日起施行；</w:t>
      </w:r>
    </w:p>
    <w:p>
      <w:pPr>
        <w:spacing w:line="360" w:lineRule="auto"/>
        <w:ind w:firstLine="480"/>
        <w:rPr>
          <w:rFonts w:hint="default" w:ascii="Times New Roman" w:hAnsi="Times New Roman" w:cs="Times New Roman"/>
          <w:color w:val="auto"/>
          <w:shd w:val="clear" w:color="auto" w:fill="auto"/>
        </w:rPr>
      </w:pPr>
      <w:r>
        <w:rPr>
          <w:rFonts w:cs="Times New Roman"/>
          <w:color w:val="auto"/>
          <w:shd w:val="clear" w:color="auto" w:fill="auto"/>
        </w:rPr>
        <w:t>（1</w:t>
      </w:r>
      <w:r>
        <w:rPr>
          <w:rFonts w:hint="eastAsia" w:cs="Times New Roman"/>
          <w:color w:val="auto"/>
          <w:shd w:val="clear" w:color="auto" w:fill="auto"/>
          <w:lang w:val="en-US" w:eastAsia="zh-CN"/>
        </w:rPr>
        <w:t>7</w:t>
      </w:r>
      <w:r>
        <w:rPr>
          <w:rFonts w:cs="Times New Roman"/>
          <w:color w:val="auto"/>
          <w:shd w:val="clear" w:color="auto" w:fill="auto"/>
        </w:rPr>
        <w:t>）《建设项目环境影响评价政府信息公开指南（试行）》</w:t>
      </w:r>
      <w:r>
        <w:rPr>
          <w:rFonts w:hint="eastAsia" w:cs="Times New Roman"/>
          <w:color w:val="auto"/>
          <w:shd w:val="clear" w:color="auto" w:fill="auto"/>
        </w:rPr>
        <w:t>，</w:t>
      </w:r>
      <w:r>
        <w:rPr>
          <w:rFonts w:hint="eastAsia" w:cs="Times New Roman"/>
          <w:color w:val="auto"/>
          <w:shd w:val="clear" w:color="auto" w:fill="auto"/>
          <w:lang w:eastAsia="zh-CN"/>
        </w:rPr>
        <w:t>环办</w:t>
      </w:r>
      <w:r>
        <w:rPr>
          <w:rFonts w:hint="eastAsia" w:cs="Times New Roman"/>
          <w:color w:val="auto"/>
          <w:shd w:val="clear" w:color="auto" w:fill="auto"/>
          <w:lang w:val="en-US" w:eastAsia="zh-CN"/>
        </w:rPr>
        <w:t>[2013]103号，2014年1月1日实施</w:t>
      </w:r>
      <w:r>
        <w:rPr>
          <w:rFonts w:hint="default" w:ascii="Times New Roman" w:hAnsi="Times New Roman" w:cs="Times New Roman"/>
          <w:color w:val="auto"/>
          <w:shd w:val="clear" w:color="auto" w:fill="auto"/>
        </w:rPr>
        <w:t>；</w:t>
      </w:r>
    </w:p>
    <w:p>
      <w:pPr>
        <w:spacing w:line="360" w:lineRule="auto"/>
        <w:ind w:firstLine="480"/>
        <w:rPr>
          <w:rFonts w:hint="eastAsia" w:eastAsia="宋体" w:cs="Times New Roman"/>
          <w:color w:val="auto"/>
          <w:shd w:val="clear" w:color="auto" w:fill="auto"/>
          <w:lang w:eastAsia="zh-CN"/>
        </w:rPr>
      </w:pPr>
      <w:r>
        <w:rPr>
          <w:rFonts w:hint="default" w:cs="Times New Roman"/>
          <w:color w:val="auto"/>
          <w:shd w:val="clear" w:color="auto" w:fill="auto"/>
        </w:rPr>
        <w:t>（1</w:t>
      </w:r>
      <w:r>
        <w:rPr>
          <w:rFonts w:hint="eastAsia" w:cs="Times New Roman"/>
          <w:color w:val="auto"/>
          <w:shd w:val="clear" w:color="auto" w:fill="auto"/>
          <w:lang w:val="en-US" w:eastAsia="zh-CN"/>
        </w:rPr>
        <w:t>8</w:t>
      </w:r>
      <w:r>
        <w:rPr>
          <w:rFonts w:hint="default" w:cs="Times New Roman"/>
          <w:color w:val="auto"/>
          <w:shd w:val="clear" w:color="auto" w:fill="auto"/>
        </w:rPr>
        <w:t>）</w:t>
      </w:r>
      <w:r>
        <w:rPr>
          <w:rFonts w:cs="Times New Roman"/>
          <w:color w:val="auto"/>
          <w:shd w:val="clear" w:color="auto" w:fill="auto"/>
        </w:rPr>
        <w:t>《环境影响评价公众参与办法》</w:t>
      </w:r>
      <w:r>
        <w:rPr>
          <w:rFonts w:hint="eastAsia" w:cs="Times New Roman"/>
          <w:color w:val="auto"/>
          <w:shd w:val="clear" w:color="auto" w:fill="auto"/>
          <w:lang w:eastAsia="zh-CN"/>
        </w:rPr>
        <w:t>，</w:t>
      </w:r>
      <w:r>
        <w:rPr>
          <w:rFonts w:cs="Times New Roman"/>
          <w:color w:val="auto"/>
          <w:shd w:val="clear" w:color="auto" w:fill="auto"/>
        </w:rPr>
        <w:t>生态环境部令第4号</w:t>
      </w:r>
      <w:r>
        <w:rPr>
          <w:rFonts w:hint="eastAsia" w:cs="Times New Roman"/>
          <w:color w:val="auto"/>
          <w:shd w:val="clear" w:color="auto" w:fill="auto"/>
          <w:lang w:eastAsia="zh-CN"/>
        </w:rPr>
        <w:t>，</w:t>
      </w:r>
      <w:r>
        <w:rPr>
          <w:rFonts w:cs="Times New Roman"/>
          <w:color w:val="auto"/>
          <w:shd w:val="clear" w:color="auto" w:fill="auto"/>
        </w:rPr>
        <w:t>2019年1月1日起施行</w:t>
      </w:r>
      <w:r>
        <w:rPr>
          <w:rFonts w:hint="eastAsia" w:cs="Times New Roman"/>
          <w:color w:val="auto"/>
          <w:shd w:val="clear" w:color="auto" w:fill="auto"/>
          <w:lang w:eastAsia="zh-CN"/>
        </w:rPr>
        <w:t>；</w:t>
      </w:r>
    </w:p>
    <w:p>
      <w:pPr>
        <w:spacing w:line="360" w:lineRule="auto"/>
        <w:ind w:firstLine="480"/>
        <w:rPr>
          <w:rFonts w:hint="eastAsia"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rPr>
        <w:t>（</w:t>
      </w:r>
      <w:r>
        <w:rPr>
          <w:rFonts w:hint="eastAsia" w:cs="Times New Roman"/>
          <w:color w:val="auto"/>
          <w:shd w:val="clear" w:color="auto" w:fill="auto"/>
          <w:lang w:val="en-US" w:eastAsia="zh-CN"/>
        </w:rPr>
        <w:t>19</w:t>
      </w:r>
      <w:r>
        <w:rPr>
          <w:rFonts w:hint="default" w:ascii="Times New Roman" w:hAnsi="Times New Roman" w:cs="Times New Roman"/>
          <w:color w:val="auto"/>
          <w:shd w:val="clear" w:color="auto" w:fill="auto"/>
        </w:rPr>
        <w:t>）《河道管理范围内建设项目管理的有关规定》，</w:t>
      </w:r>
      <w:r>
        <w:rPr>
          <w:rFonts w:hint="eastAsia" w:ascii="Times New Roman" w:hAnsi="Times New Roman" w:cs="Times New Roman"/>
          <w:color w:val="auto"/>
          <w:shd w:val="clear" w:color="auto" w:fill="auto"/>
          <w:lang w:eastAsia="zh-CN"/>
        </w:rPr>
        <w:t>水利部、国家计委水政</w:t>
      </w:r>
      <w:r>
        <w:rPr>
          <w:rFonts w:hint="eastAsia" w:ascii="Times New Roman" w:hAnsi="Times New Roman" w:cs="Times New Roman"/>
          <w:color w:val="auto"/>
          <w:shd w:val="clear" w:color="auto" w:fill="auto"/>
          <w:lang w:val="en-US" w:eastAsia="zh-CN"/>
        </w:rPr>
        <w:t>[1992]7号，1992年4月3日颁布；</w:t>
      </w:r>
    </w:p>
    <w:p>
      <w:pPr>
        <w:ind w:firstLine="480"/>
        <w:rPr>
          <w:color w:val="auto"/>
          <w:shd w:val="clear" w:color="auto" w:fill="auto"/>
        </w:rPr>
      </w:pPr>
      <w:r>
        <w:rPr>
          <w:color w:val="auto"/>
          <w:shd w:val="clear" w:color="auto" w:fill="auto"/>
        </w:rPr>
        <w:t>（</w:t>
      </w:r>
      <w:r>
        <w:rPr>
          <w:rFonts w:hint="eastAsia"/>
          <w:color w:val="auto"/>
          <w:shd w:val="clear" w:color="auto" w:fill="auto"/>
        </w:rPr>
        <w:t>2</w:t>
      </w:r>
      <w:r>
        <w:rPr>
          <w:rFonts w:hint="eastAsia"/>
          <w:color w:val="auto"/>
          <w:shd w:val="clear" w:color="auto" w:fill="auto"/>
          <w:lang w:val="en-US" w:eastAsia="zh-CN"/>
        </w:rPr>
        <w:t>0</w:t>
      </w:r>
      <w:r>
        <w:rPr>
          <w:color w:val="auto"/>
          <w:shd w:val="clear" w:color="auto" w:fill="auto"/>
        </w:rPr>
        <w:t>）《中华人民共和国防治船舶污染内河水域环境管理规定》（交通部20</w:t>
      </w:r>
      <w:r>
        <w:rPr>
          <w:rFonts w:hint="eastAsia"/>
          <w:color w:val="auto"/>
          <w:shd w:val="clear" w:color="auto" w:fill="auto"/>
        </w:rPr>
        <w:t>1</w:t>
      </w:r>
      <w:r>
        <w:rPr>
          <w:color w:val="auto"/>
          <w:shd w:val="clear" w:color="auto" w:fill="auto"/>
        </w:rPr>
        <w:t>5年第</w:t>
      </w:r>
      <w:r>
        <w:rPr>
          <w:rFonts w:hint="eastAsia"/>
          <w:color w:val="auto"/>
          <w:shd w:val="clear" w:color="auto" w:fill="auto"/>
        </w:rPr>
        <w:t>25</w:t>
      </w:r>
      <w:r>
        <w:rPr>
          <w:color w:val="auto"/>
          <w:shd w:val="clear" w:color="auto" w:fill="auto"/>
        </w:rPr>
        <w:t>号令，20</w:t>
      </w:r>
      <w:r>
        <w:rPr>
          <w:rFonts w:hint="eastAsia"/>
          <w:color w:val="auto"/>
          <w:shd w:val="clear" w:color="auto" w:fill="auto"/>
        </w:rPr>
        <w:t>1</w:t>
      </w:r>
      <w:r>
        <w:rPr>
          <w:rFonts w:hint="eastAsia"/>
          <w:color w:val="auto"/>
          <w:shd w:val="clear" w:color="auto" w:fill="auto"/>
          <w:lang w:val="en-US" w:eastAsia="zh-CN"/>
        </w:rPr>
        <w:t>0</w:t>
      </w:r>
      <w:r>
        <w:rPr>
          <w:color w:val="auto"/>
          <w:shd w:val="clear" w:color="auto" w:fill="auto"/>
        </w:rPr>
        <w:t>年</w:t>
      </w:r>
      <w:r>
        <w:rPr>
          <w:rFonts w:hint="eastAsia"/>
          <w:color w:val="auto"/>
          <w:shd w:val="clear" w:color="auto" w:fill="auto"/>
          <w:lang w:val="en-US" w:eastAsia="zh-CN"/>
        </w:rPr>
        <w:t>5</w:t>
      </w:r>
      <w:r>
        <w:rPr>
          <w:color w:val="auto"/>
          <w:shd w:val="clear" w:color="auto" w:fill="auto"/>
        </w:rPr>
        <w:t>月</w:t>
      </w:r>
      <w:r>
        <w:rPr>
          <w:rFonts w:hint="eastAsia"/>
          <w:color w:val="auto"/>
          <w:shd w:val="clear" w:color="auto" w:fill="auto"/>
        </w:rPr>
        <w:t>1</w:t>
      </w:r>
      <w:r>
        <w:rPr>
          <w:color w:val="auto"/>
          <w:shd w:val="clear" w:color="auto" w:fill="auto"/>
        </w:rPr>
        <w:t>日</w:t>
      </w:r>
      <w:r>
        <w:rPr>
          <w:rFonts w:hint="eastAsia"/>
          <w:color w:val="auto"/>
          <w:shd w:val="clear" w:color="auto" w:fill="auto"/>
          <w:lang w:val="en-US" w:eastAsia="zh-CN"/>
        </w:rPr>
        <w:t>实施</w:t>
      </w:r>
      <w:r>
        <w:rPr>
          <w:color w:val="auto"/>
          <w:shd w:val="clear" w:color="auto" w:fill="auto"/>
        </w:rPr>
        <w:t>）；</w:t>
      </w:r>
    </w:p>
    <w:p>
      <w:pPr>
        <w:ind w:firstLine="480"/>
        <w:rPr>
          <w:color w:val="auto"/>
          <w:shd w:val="clear" w:color="auto" w:fill="auto"/>
        </w:rPr>
      </w:pPr>
      <w:r>
        <w:rPr>
          <w:color w:val="auto"/>
          <w:shd w:val="clear" w:color="auto" w:fill="auto"/>
        </w:rPr>
        <w:t>（</w:t>
      </w:r>
      <w:r>
        <w:rPr>
          <w:rFonts w:hint="eastAsia"/>
          <w:color w:val="auto"/>
          <w:shd w:val="clear" w:color="auto" w:fill="auto"/>
        </w:rPr>
        <w:t>2</w:t>
      </w:r>
      <w:r>
        <w:rPr>
          <w:rFonts w:hint="eastAsia"/>
          <w:color w:val="auto"/>
          <w:shd w:val="clear" w:color="auto" w:fill="auto"/>
          <w:lang w:val="en-US" w:eastAsia="zh-CN"/>
        </w:rPr>
        <w:t>1</w:t>
      </w:r>
      <w:r>
        <w:rPr>
          <w:color w:val="auto"/>
          <w:shd w:val="clear" w:color="auto" w:fill="auto"/>
        </w:rPr>
        <w:t>）</w:t>
      </w:r>
      <w:r>
        <w:rPr>
          <w:rFonts w:hint="eastAsia"/>
          <w:color w:val="auto"/>
          <w:shd w:val="clear" w:color="auto" w:fill="auto"/>
        </w:rPr>
        <w:t>《关于进一步加强水生生物资源保护 严格环境影响评价管理的通知》（环境保护部、农业部，2013年8月5日）；</w:t>
      </w:r>
    </w:p>
    <w:p>
      <w:pPr>
        <w:ind w:firstLine="480"/>
        <w:rPr>
          <w:color w:val="auto"/>
          <w:shd w:val="clear" w:color="auto" w:fill="auto"/>
        </w:rPr>
      </w:pPr>
      <w:r>
        <w:rPr>
          <w:color w:val="auto"/>
          <w:shd w:val="clear" w:color="auto" w:fill="auto"/>
        </w:rPr>
        <w:t>（</w:t>
      </w:r>
      <w:r>
        <w:rPr>
          <w:rFonts w:hint="eastAsia"/>
          <w:color w:val="auto"/>
          <w:shd w:val="clear" w:color="auto" w:fill="auto"/>
        </w:rPr>
        <w:t>2</w:t>
      </w:r>
      <w:r>
        <w:rPr>
          <w:rFonts w:hint="eastAsia"/>
          <w:color w:val="auto"/>
          <w:shd w:val="clear" w:color="auto" w:fill="auto"/>
          <w:lang w:val="en-US" w:eastAsia="zh-CN"/>
        </w:rPr>
        <w:t>2</w:t>
      </w:r>
      <w:r>
        <w:rPr>
          <w:color w:val="auto"/>
          <w:shd w:val="clear" w:color="auto" w:fill="auto"/>
        </w:rPr>
        <w:t>）</w:t>
      </w:r>
      <w:r>
        <w:rPr>
          <w:rFonts w:hint="eastAsia"/>
          <w:color w:val="auto"/>
          <w:shd w:val="clear" w:color="auto" w:fill="auto"/>
        </w:rPr>
        <w:t>《关于进一步加强环境影响评价管理防范环境风险的通知》</w:t>
      </w:r>
      <w:r>
        <w:rPr>
          <w:rFonts w:hint="eastAsia"/>
          <w:color w:val="auto"/>
          <w:shd w:val="clear" w:color="auto" w:fill="auto"/>
          <w:lang w:eastAsia="zh-CN"/>
        </w:rPr>
        <w:t>，</w:t>
      </w:r>
      <w:r>
        <w:rPr>
          <w:rFonts w:hint="eastAsia"/>
          <w:color w:val="auto"/>
          <w:shd w:val="clear" w:color="auto" w:fill="auto"/>
        </w:rPr>
        <w:t>环境保护部文件环发[2012]77号，2012年7月3日；</w:t>
      </w:r>
    </w:p>
    <w:p>
      <w:pPr>
        <w:rPr>
          <w:rFonts w:hint="eastAsia"/>
          <w:color w:val="auto"/>
          <w:shd w:val="clear" w:color="auto" w:fill="auto"/>
        </w:rPr>
      </w:pPr>
      <w:r>
        <w:rPr>
          <w:rFonts w:hint="eastAsia"/>
          <w:color w:val="auto"/>
          <w:shd w:val="clear" w:color="auto" w:fill="auto"/>
        </w:rPr>
        <w:t>（2</w:t>
      </w:r>
      <w:r>
        <w:rPr>
          <w:rFonts w:hint="eastAsia"/>
          <w:color w:val="auto"/>
          <w:shd w:val="clear" w:color="auto" w:fill="auto"/>
          <w:lang w:val="en-US" w:eastAsia="zh-CN"/>
        </w:rPr>
        <w:t>3</w:t>
      </w:r>
      <w:r>
        <w:rPr>
          <w:rFonts w:hint="eastAsia"/>
          <w:color w:val="auto"/>
          <w:shd w:val="clear" w:color="auto" w:fill="auto"/>
        </w:rPr>
        <w:t>）</w:t>
      </w:r>
      <w:r>
        <w:rPr>
          <w:color w:val="auto"/>
          <w:shd w:val="clear" w:color="auto" w:fill="auto"/>
        </w:rPr>
        <w:t>《关于切实加强风险防范严格环境影响评价管理的通知》</w:t>
      </w:r>
      <w:r>
        <w:rPr>
          <w:rFonts w:hint="eastAsia"/>
          <w:color w:val="auto"/>
          <w:shd w:val="clear" w:color="auto" w:fill="auto"/>
          <w:lang w:eastAsia="zh-CN"/>
        </w:rPr>
        <w:t>，</w:t>
      </w:r>
      <w:r>
        <w:rPr>
          <w:color w:val="auto"/>
          <w:shd w:val="clear" w:color="auto" w:fill="auto"/>
        </w:rPr>
        <w:t>环境保护部环发[2012]98号，2012</w:t>
      </w:r>
      <w:r>
        <w:rPr>
          <w:rFonts w:hint="eastAsia"/>
          <w:color w:val="auto"/>
          <w:shd w:val="clear" w:color="auto" w:fill="auto"/>
        </w:rPr>
        <w:t>年</w:t>
      </w:r>
      <w:r>
        <w:rPr>
          <w:color w:val="auto"/>
          <w:shd w:val="clear" w:color="auto" w:fill="auto"/>
        </w:rPr>
        <w:t>8</w:t>
      </w:r>
      <w:r>
        <w:rPr>
          <w:rFonts w:hint="eastAsia"/>
          <w:color w:val="auto"/>
          <w:shd w:val="clear" w:color="auto" w:fill="auto"/>
        </w:rPr>
        <w:t>月7日；</w:t>
      </w:r>
    </w:p>
    <w:p>
      <w:pPr>
        <w:ind w:firstLine="480"/>
        <w:rPr>
          <w:rFonts w:hint="eastAsia" w:ascii="Times New Roman" w:hAnsi="Times New Roman" w:cs="Times New Roman"/>
          <w:color w:val="auto"/>
          <w:shd w:val="clear" w:color="auto" w:fill="auto"/>
          <w:lang w:val="en-US" w:eastAsia="zh-CN"/>
        </w:rPr>
      </w:pPr>
      <w:r>
        <w:rPr>
          <w:rFonts w:hint="eastAsia"/>
          <w:color w:val="auto"/>
          <w:shd w:val="clear" w:color="auto" w:fill="auto"/>
          <w:lang w:val="en-US" w:eastAsia="zh-CN"/>
        </w:rPr>
        <w:t>（24）</w:t>
      </w:r>
      <w:r>
        <w:rPr>
          <w:rFonts w:hint="eastAsia" w:ascii="Times New Roman" w:hAnsi="Times New Roman" w:cs="Times New Roman"/>
          <w:color w:val="auto"/>
          <w:shd w:val="clear" w:color="auto" w:fill="auto"/>
        </w:rPr>
        <w:t>《国务院关于印发打赢蓝天保卫战三年行动计划的通知》</w:t>
      </w:r>
      <w:r>
        <w:rPr>
          <w:rFonts w:hint="eastAsia" w:ascii="Times New Roman" w:hAnsi="Times New Roman" w:eastAsia="宋体"/>
          <w:color w:val="auto"/>
          <w:shd w:val="clear" w:color="auto" w:fill="auto"/>
          <w:lang w:val="en-US" w:eastAsia="zh-CN"/>
        </w:rPr>
        <w:t>，</w:t>
      </w:r>
      <w:r>
        <w:rPr>
          <w:rFonts w:hint="eastAsia"/>
          <w:color w:val="auto"/>
          <w:sz w:val="24"/>
          <w:shd w:val="clear" w:color="auto" w:fill="auto"/>
        </w:rPr>
        <w:t>国发〔2018〕</w:t>
      </w:r>
      <w:r>
        <w:rPr>
          <w:rFonts w:hint="eastAsia" w:ascii="Times New Roman" w:hAnsi="Times New Roman" w:cs="Times New Roman"/>
          <w:color w:val="auto"/>
          <w:shd w:val="clear" w:color="auto" w:fill="auto"/>
        </w:rPr>
        <w:t>22号</w:t>
      </w:r>
      <w:r>
        <w:rPr>
          <w:rFonts w:hint="eastAsia" w:ascii="Times New Roman" w:hAnsi="Times New Roman" w:cs="Times New Roman"/>
          <w:color w:val="auto"/>
          <w:shd w:val="clear" w:color="auto" w:fill="auto"/>
          <w:lang w:eastAsia="zh-CN"/>
        </w:rPr>
        <w:t>，</w:t>
      </w:r>
      <w:r>
        <w:rPr>
          <w:rFonts w:hint="eastAsia" w:ascii="Times New Roman" w:hAnsi="Times New Roman" w:cs="Times New Roman"/>
          <w:color w:val="auto"/>
          <w:shd w:val="clear" w:color="auto" w:fill="auto"/>
        </w:rPr>
        <w:t>2018</w:t>
      </w:r>
      <w:r>
        <w:rPr>
          <w:rFonts w:hint="eastAsia" w:ascii="Times New Roman" w:hAnsi="Times New Roman" w:cs="Times New Roman"/>
          <w:color w:val="auto"/>
          <w:shd w:val="clear" w:color="auto" w:fill="auto"/>
          <w:lang w:val="en-US" w:eastAsia="zh-CN"/>
        </w:rPr>
        <w:t>年</w:t>
      </w:r>
      <w:r>
        <w:rPr>
          <w:rFonts w:hint="eastAsia" w:ascii="Times New Roman" w:hAnsi="Times New Roman" w:cs="Times New Roman"/>
          <w:color w:val="auto"/>
          <w:shd w:val="clear" w:color="auto" w:fill="auto"/>
        </w:rPr>
        <w:t>7</w:t>
      </w:r>
      <w:r>
        <w:rPr>
          <w:rFonts w:hint="eastAsia" w:ascii="Times New Roman" w:hAnsi="Times New Roman" w:cs="Times New Roman"/>
          <w:color w:val="auto"/>
          <w:shd w:val="clear" w:color="auto" w:fill="auto"/>
          <w:lang w:val="en-US" w:eastAsia="zh-CN"/>
        </w:rPr>
        <w:t>月</w:t>
      </w:r>
      <w:r>
        <w:rPr>
          <w:rFonts w:hint="eastAsia" w:ascii="Times New Roman" w:hAnsi="Times New Roman" w:cs="Times New Roman"/>
          <w:color w:val="auto"/>
          <w:shd w:val="clear" w:color="auto" w:fill="auto"/>
        </w:rPr>
        <w:t>3</w:t>
      </w:r>
      <w:r>
        <w:rPr>
          <w:rFonts w:hint="eastAsia" w:ascii="Times New Roman" w:hAnsi="Times New Roman" w:cs="Times New Roman"/>
          <w:color w:val="auto"/>
          <w:shd w:val="clear" w:color="auto" w:fill="auto"/>
          <w:lang w:val="en-US" w:eastAsia="zh-CN"/>
        </w:rPr>
        <w:t>日发布。</w:t>
      </w:r>
    </w:p>
    <w:p>
      <w:pPr>
        <w:ind w:firstLine="480"/>
        <w:rPr>
          <w:rFonts w:hint="eastAsia" w:ascii="Times New Roman" w:hAnsi="Times New Roman" w:cs="Times New Roman"/>
          <w:color w:val="auto"/>
          <w:shd w:val="clear" w:color="auto" w:fill="auto"/>
          <w:lang w:eastAsia="zh-CN"/>
        </w:rPr>
      </w:pPr>
      <w:r>
        <w:rPr>
          <w:rFonts w:hint="eastAsia" w:ascii="Times New Roman" w:hAnsi="Times New Roman" w:cs="Times New Roman"/>
          <w:color w:val="auto"/>
          <w:shd w:val="clear" w:color="auto" w:fill="auto"/>
          <w:lang w:val="en-US" w:eastAsia="zh-CN"/>
        </w:rPr>
        <w:t>（25）《船舶水污染防治技术政策》，环境保护部公告</w:t>
      </w:r>
      <w:r>
        <w:rPr>
          <w:rFonts w:hint="eastAsia" w:ascii="Times New Roman" w:hAnsi="Times New Roman" w:cs="Times New Roman"/>
          <w:color w:val="auto"/>
          <w:shd w:val="clear" w:color="auto" w:fill="auto"/>
          <w:lang w:eastAsia="zh-CN"/>
        </w:rPr>
        <w:t>，</w:t>
      </w:r>
      <w:r>
        <w:rPr>
          <w:rFonts w:hint="eastAsia" w:ascii="Times New Roman" w:hAnsi="Times New Roman" w:cs="Times New Roman"/>
          <w:color w:val="auto"/>
          <w:shd w:val="clear" w:color="auto" w:fill="auto"/>
        </w:rPr>
        <w:t>2018年第8号</w:t>
      </w:r>
      <w:r>
        <w:rPr>
          <w:rFonts w:hint="eastAsia" w:ascii="Times New Roman" w:hAnsi="Times New Roman" w:cs="Times New Roman"/>
          <w:color w:val="auto"/>
          <w:shd w:val="clear" w:color="auto" w:fill="auto"/>
          <w:lang w:eastAsia="zh-CN"/>
        </w:rPr>
        <w:t>；</w:t>
      </w:r>
    </w:p>
    <w:p>
      <w:pPr>
        <w:pStyle w:val="2"/>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eastAsia="zh-CN"/>
        </w:rPr>
        <w:t>（</w:t>
      </w:r>
      <w:r>
        <w:rPr>
          <w:rFonts w:hint="eastAsia" w:ascii="Times New Roman" w:hAnsi="Times New Roman" w:cs="Times New Roman"/>
          <w:color w:val="auto"/>
          <w:shd w:val="clear" w:color="auto" w:fill="auto"/>
          <w:lang w:val="en-US" w:eastAsia="zh-CN"/>
        </w:rPr>
        <w:t>26</w:t>
      </w:r>
      <w:r>
        <w:rPr>
          <w:rFonts w:hint="eastAsia" w:ascii="Times New Roman" w:hAnsi="Times New Roman" w:cs="Times New Roman"/>
          <w:color w:val="auto"/>
          <w:shd w:val="clear" w:color="auto" w:fill="auto"/>
          <w:lang w:eastAsia="zh-CN"/>
        </w:rPr>
        <w:t>）《港口建设项目环境影响评价文件审批原则（试行）》，环境保护部办公厅，</w:t>
      </w:r>
      <w:r>
        <w:rPr>
          <w:rFonts w:hint="eastAsia" w:ascii="Times New Roman" w:hAnsi="Times New Roman" w:cs="Times New Roman"/>
          <w:color w:val="auto"/>
          <w:shd w:val="clear" w:color="auto" w:fill="auto"/>
          <w:lang w:val="en-US" w:eastAsia="zh-CN"/>
        </w:rPr>
        <w:t>2018年1月5日印发。</w:t>
      </w:r>
    </w:p>
    <w:p>
      <w:pPr>
        <w:pStyle w:val="5"/>
        <w:rPr>
          <w:color w:val="auto"/>
          <w:shd w:val="clear" w:color="auto" w:fill="auto"/>
        </w:rPr>
      </w:pPr>
      <w:bookmarkStart w:id="45" w:name="_Toc7429"/>
      <w:r>
        <w:rPr>
          <w:rFonts w:hint="eastAsia"/>
          <w:color w:val="auto"/>
          <w:shd w:val="clear" w:color="auto" w:fill="auto"/>
        </w:rPr>
        <w:t>1.2.2 地方法规</w:t>
      </w:r>
      <w:bookmarkEnd w:id="45"/>
    </w:p>
    <w:p>
      <w:pPr>
        <w:ind w:firstLine="480"/>
        <w:rPr>
          <w:color w:val="auto"/>
          <w:shd w:val="clear" w:color="auto" w:fill="auto"/>
        </w:rPr>
      </w:pPr>
      <w:r>
        <w:rPr>
          <w:rFonts w:hint="eastAsia"/>
          <w:color w:val="auto"/>
          <w:shd w:val="clear" w:color="auto" w:fill="auto"/>
        </w:rPr>
        <w:t>（1）</w:t>
      </w:r>
      <w:r>
        <w:rPr>
          <w:color w:val="auto"/>
          <w:shd w:val="clear" w:color="auto" w:fill="auto"/>
        </w:rPr>
        <w:t>安徽省人民政府第25</w:t>
      </w:r>
      <w:r>
        <w:rPr>
          <w:rFonts w:hint="eastAsia"/>
          <w:color w:val="auto"/>
          <w:shd w:val="clear" w:color="auto" w:fill="auto"/>
        </w:rPr>
        <w:t>8</w:t>
      </w:r>
      <w:r>
        <w:rPr>
          <w:color w:val="auto"/>
          <w:shd w:val="clear" w:color="auto" w:fill="auto"/>
        </w:rPr>
        <w:t>号令《安徽省实施〈中华人民共和国河道管理条例〉办法》，</w:t>
      </w:r>
      <w:r>
        <w:rPr>
          <w:rFonts w:hint="eastAsia"/>
          <w:color w:val="auto"/>
          <w:shd w:val="clear" w:color="auto" w:fill="auto"/>
        </w:rPr>
        <w:t>2014</w:t>
      </w:r>
      <w:r>
        <w:rPr>
          <w:color w:val="auto"/>
          <w:shd w:val="clear" w:color="auto" w:fill="auto"/>
        </w:rPr>
        <w:t>年</w:t>
      </w:r>
      <w:r>
        <w:rPr>
          <w:rFonts w:hint="eastAsia"/>
          <w:color w:val="auto"/>
          <w:shd w:val="clear" w:color="auto" w:fill="auto"/>
        </w:rPr>
        <w:t>12</w:t>
      </w:r>
      <w:r>
        <w:rPr>
          <w:color w:val="auto"/>
          <w:shd w:val="clear" w:color="auto" w:fill="auto"/>
        </w:rPr>
        <w:t>月</w:t>
      </w:r>
      <w:r>
        <w:rPr>
          <w:rFonts w:hint="eastAsia"/>
          <w:color w:val="auto"/>
          <w:shd w:val="clear" w:color="auto" w:fill="auto"/>
        </w:rPr>
        <w:t>16</w:t>
      </w:r>
      <w:r>
        <w:rPr>
          <w:color w:val="auto"/>
          <w:shd w:val="clear" w:color="auto" w:fill="auto"/>
        </w:rPr>
        <w:t>日；</w:t>
      </w:r>
    </w:p>
    <w:p>
      <w:pPr>
        <w:ind w:firstLine="480"/>
        <w:rPr>
          <w:color w:val="auto"/>
          <w:shd w:val="clear" w:color="auto" w:fill="auto"/>
        </w:rPr>
      </w:pPr>
      <w:r>
        <w:rPr>
          <w:rFonts w:hint="eastAsia"/>
          <w:color w:val="auto"/>
          <w:shd w:val="clear" w:color="auto" w:fill="auto"/>
        </w:rPr>
        <w:t>（2）</w:t>
      </w:r>
      <w:r>
        <w:rPr>
          <w:color w:val="auto"/>
          <w:shd w:val="clear" w:color="auto" w:fill="auto"/>
        </w:rPr>
        <w:t>《安徽省水功能区划》安徽省水利厅、安徽省环境保护局，2003年10月；</w:t>
      </w:r>
    </w:p>
    <w:p>
      <w:pPr>
        <w:ind w:firstLine="480"/>
        <w:rPr>
          <w:color w:val="auto"/>
          <w:shd w:val="clear" w:color="auto" w:fill="auto"/>
        </w:rPr>
      </w:pPr>
      <w:r>
        <w:rPr>
          <w:rFonts w:hint="eastAsia"/>
          <w:color w:val="auto"/>
          <w:shd w:val="clear" w:color="auto" w:fill="auto"/>
        </w:rPr>
        <w:t>（3）《安徽省环境保护条例》（安徽省人民政府，2017年11 月17日）；</w:t>
      </w:r>
    </w:p>
    <w:p>
      <w:pPr>
        <w:ind w:firstLine="480"/>
        <w:rPr>
          <w:color w:val="auto"/>
          <w:shd w:val="clear" w:color="auto" w:fill="auto"/>
        </w:rPr>
      </w:pPr>
      <w:r>
        <w:rPr>
          <w:rFonts w:hint="eastAsia"/>
          <w:color w:val="auto"/>
          <w:shd w:val="clear" w:color="auto" w:fill="auto"/>
        </w:rPr>
        <w:t>（4）</w:t>
      </w:r>
      <w:r>
        <w:rPr>
          <w:color w:val="auto"/>
          <w:shd w:val="clear" w:color="auto" w:fill="auto"/>
        </w:rPr>
        <w:t>印发《加强建设项目环境影响报告书编制规范化的规定（试行）》的通知</w:t>
      </w:r>
      <w:r>
        <w:rPr>
          <w:rFonts w:hint="eastAsia"/>
          <w:color w:val="auto"/>
          <w:shd w:val="clear" w:color="auto" w:fill="auto"/>
          <w:lang w:eastAsia="zh-CN"/>
        </w:rPr>
        <w:t>（</w:t>
      </w:r>
      <w:r>
        <w:rPr>
          <w:color w:val="auto"/>
          <w:shd w:val="clear" w:color="auto" w:fill="auto"/>
        </w:rPr>
        <w:t>安徽省环境保护局，环评[2006]113号</w:t>
      </w:r>
      <w:r>
        <w:rPr>
          <w:rFonts w:hint="eastAsia"/>
          <w:color w:val="auto"/>
          <w:shd w:val="clear" w:color="auto" w:fill="auto"/>
          <w:lang w:eastAsia="zh-CN"/>
        </w:rPr>
        <w:t>）</w:t>
      </w:r>
      <w:r>
        <w:rPr>
          <w:color w:val="auto"/>
          <w:shd w:val="clear" w:color="auto" w:fill="auto"/>
        </w:rPr>
        <w:t>；</w:t>
      </w:r>
    </w:p>
    <w:p>
      <w:pPr>
        <w:ind w:firstLine="480"/>
        <w:rPr>
          <w:color w:val="auto"/>
          <w:shd w:val="clear" w:color="auto" w:fill="auto"/>
        </w:rPr>
      </w:pPr>
      <w:r>
        <w:rPr>
          <w:rFonts w:hint="eastAsia"/>
          <w:color w:val="auto"/>
          <w:shd w:val="clear" w:color="auto" w:fill="auto"/>
        </w:rPr>
        <w:t>（5）《关于进一步加强环境影响评价管理工作的通知》（安徽省环境保护局</w:t>
      </w:r>
      <w:r>
        <w:rPr>
          <w:rFonts w:hint="eastAsia"/>
          <w:color w:val="auto"/>
          <w:shd w:val="clear" w:color="auto" w:fill="auto"/>
          <w:lang w:val="en-US" w:eastAsia="zh-CN"/>
        </w:rPr>
        <w:t xml:space="preserve"> </w:t>
      </w:r>
      <w:r>
        <w:rPr>
          <w:rFonts w:hint="eastAsia"/>
          <w:color w:val="auto"/>
          <w:shd w:val="clear" w:color="auto" w:fill="auto"/>
        </w:rPr>
        <w:t>环评[2007]52号）；</w:t>
      </w:r>
    </w:p>
    <w:p>
      <w:pPr>
        <w:ind w:firstLine="480"/>
        <w:rPr>
          <w:color w:val="auto"/>
          <w:shd w:val="clear" w:color="auto" w:fill="auto"/>
        </w:rPr>
      </w:pPr>
      <w:r>
        <w:rPr>
          <w:rFonts w:hint="eastAsia"/>
          <w:color w:val="auto"/>
          <w:shd w:val="clear" w:color="auto" w:fill="auto"/>
        </w:rPr>
        <w:t>（6）《安徽省人民政府办公厅关于印发安徽省内河航运发展规划要点的通知》</w:t>
      </w:r>
      <w:r>
        <w:rPr>
          <w:rFonts w:hint="eastAsia"/>
          <w:color w:val="auto"/>
          <w:shd w:val="clear" w:color="auto" w:fill="auto"/>
          <w:lang w:eastAsia="zh-CN"/>
        </w:rPr>
        <w:t>（</w:t>
      </w:r>
      <w:r>
        <w:rPr>
          <w:rFonts w:hint="eastAsia"/>
          <w:color w:val="auto"/>
          <w:shd w:val="clear" w:color="auto" w:fill="auto"/>
        </w:rPr>
        <w:t>安徽省人民政府办公厅</w:t>
      </w:r>
      <w:r>
        <w:rPr>
          <w:rFonts w:hint="eastAsia"/>
          <w:color w:val="auto"/>
          <w:shd w:val="clear" w:color="auto" w:fill="auto"/>
          <w:lang w:eastAsia="zh-CN"/>
        </w:rPr>
        <w:t>，</w:t>
      </w:r>
      <w:r>
        <w:rPr>
          <w:rFonts w:hint="eastAsia"/>
          <w:color w:val="auto"/>
          <w:shd w:val="clear" w:color="auto" w:fill="auto"/>
        </w:rPr>
        <w:t>皖政办[2006]37号，2006年5月</w:t>
      </w:r>
      <w:r>
        <w:rPr>
          <w:rFonts w:hint="eastAsia"/>
          <w:color w:val="auto"/>
          <w:shd w:val="clear" w:color="auto" w:fill="auto"/>
          <w:lang w:eastAsia="zh-CN"/>
        </w:rPr>
        <w:t>）</w:t>
      </w:r>
      <w:r>
        <w:rPr>
          <w:rFonts w:hint="eastAsia"/>
          <w:color w:val="auto"/>
          <w:shd w:val="clear" w:color="auto" w:fill="auto"/>
        </w:rPr>
        <w:t>；</w:t>
      </w:r>
    </w:p>
    <w:p>
      <w:pPr>
        <w:ind w:firstLine="480"/>
        <w:rPr>
          <w:color w:val="auto"/>
          <w:shd w:val="clear" w:color="auto" w:fill="auto"/>
        </w:rPr>
      </w:pPr>
      <w:r>
        <w:rPr>
          <w:rFonts w:hint="eastAsia"/>
          <w:color w:val="auto"/>
          <w:shd w:val="clear" w:color="auto" w:fill="auto"/>
        </w:rPr>
        <w:t>（7）《安徽省内河发展航运规划》（2005-2020年）；</w:t>
      </w:r>
    </w:p>
    <w:p>
      <w:pPr>
        <w:ind w:firstLine="480"/>
        <w:rPr>
          <w:color w:val="auto"/>
          <w:shd w:val="clear" w:color="auto" w:fill="auto"/>
        </w:rPr>
      </w:pPr>
      <w:r>
        <w:rPr>
          <w:rFonts w:hint="eastAsia"/>
          <w:color w:val="auto"/>
          <w:shd w:val="clear" w:color="auto" w:fill="auto"/>
        </w:rPr>
        <w:t>（8）《关于落实大气污染防治行动计划严格环境影响评价准入的通知》</w:t>
      </w:r>
      <w:r>
        <w:rPr>
          <w:rFonts w:hint="eastAsia"/>
          <w:color w:val="auto"/>
          <w:shd w:val="clear" w:color="auto" w:fill="auto"/>
          <w:lang w:eastAsia="zh-CN"/>
        </w:rPr>
        <w:t>（</w:t>
      </w:r>
      <w:r>
        <w:rPr>
          <w:rFonts w:hint="eastAsia"/>
          <w:color w:val="auto"/>
          <w:shd w:val="clear" w:color="auto" w:fill="auto"/>
        </w:rPr>
        <w:t>中华人民共和国环境保护部</w:t>
      </w:r>
      <w:r>
        <w:rPr>
          <w:rFonts w:hint="eastAsia"/>
          <w:color w:val="auto"/>
          <w:shd w:val="clear" w:color="auto" w:fill="auto"/>
          <w:lang w:eastAsia="zh-CN"/>
        </w:rPr>
        <w:t>，</w:t>
      </w:r>
      <w:r>
        <w:rPr>
          <w:rFonts w:hint="eastAsia"/>
          <w:color w:val="auto"/>
          <w:shd w:val="clear" w:color="auto" w:fill="auto"/>
        </w:rPr>
        <w:t>环发[2014]30号，2014年3月25日</w:t>
      </w:r>
      <w:r>
        <w:rPr>
          <w:rFonts w:hint="eastAsia"/>
          <w:color w:val="auto"/>
          <w:shd w:val="clear" w:color="auto" w:fill="auto"/>
          <w:lang w:eastAsia="zh-CN"/>
        </w:rPr>
        <w:t>）</w:t>
      </w:r>
      <w:r>
        <w:rPr>
          <w:rFonts w:hint="eastAsia"/>
          <w:color w:val="auto"/>
          <w:shd w:val="clear" w:color="auto" w:fill="auto"/>
        </w:rPr>
        <w:t>；</w:t>
      </w:r>
    </w:p>
    <w:p>
      <w:pPr>
        <w:ind w:firstLine="480"/>
        <w:rPr>
          <w:color w:val="auto"/>
          <w:shd w:val="clear" w:color="auto" w:fill="auto"/>
        </w:rPr>
      </w:pPr>
      <w:r>
        <w:rPr>
          <w:rFonts w:hint="eastAsia"/>
          <w:color w:val="auto"/>
          <w:shd w:val="clear" w:color="auto" w:fill="auto"/>
        </w:rPr>
        <w:t>（9）</w:t>
      </w:r>
      <w:r>
        <w:rPr>
          <w:color w:val="auto"/>
          <w:shd w:val="clear" w:color="auto" w:fill="auto"/>
        </w:rPr>
        <w:t>《关于印发安徽省大气污染防治行动计划实施方案的通知》</w:t>
      </w:r>
      <w:r>
        <w:rPr>
          <w:rFonts w:hint="eastAsia"/>
          <w:color w:val="auto"/>
          <w:shd w:val="clear" w:color="auto" w:fill="auto"/>
          <w:lang w:eastAsia="zh-CN"/>
        </w:rPr>
        <w:t>（</w:t>
      </w:r>
      <w:r>
        <w:rPr>
          <w:color w:val="auto"/>
          <w:shd w:val="clear" w:color="auto" w:fill="auto"/>
        </w:rPr>
        <w:t>安徽省人民政府</w:t>
      </w:r>
      <w:r>
        <w:rPr>
          <w:rFonts w:hint="eastAsia"/>
          <w:color w:val="auto"/>
          <w:shd w:val="clear" w:color="auto" w:fill="auto"/>
          <w:lang w:eastAsia="zh-CN"/>
        </w:rPr>
        <w:t>，</w:t>
      </w:r>
      <w:r>
        <w:rPr>
          <w:color w:val="auto"/>
          <w:shd w:val="clear" w:color="auto" w:fill="auto"/>
        </w:rPr>
        <w:t>皖政〔2013〕89号</w:t>
      </w:r>
      <w:r>
        <w:rPr>
          <w:rFonts w:hint="eastAsia"/>
          <w:color w:val="auto"/>
          <w:shd w:val="clear" w:color="auto" w:fill="auto"/>
        </w:rPr>
        <w:t>，</w:t>
      </w:r>
      <w:r>
        <w:rPr>
          <w:color w:val="auto"/>
          <w:shd w:val="clear" w:color="auto" w:fill="auto"/>
        </w:rPr>
        <w:t>2013</w:t>
      </w:r>
      <w:r>
        <w:rPr>
          <w:rFonts w:hint="eastAsia"/>
          <w:color w:val="auto"/>
          <w:shd w:val="clear" w:color="auto" w:fill="auto"/>
        </w:rPr>
        <w:t>年</w:t>
      </w:r>
      <w:r>
        <w:rPr>
          <w:color w:val="auto"/>
          <w:shd w:val="clear" w:color="auto" w:fill="auto"/>
        </w:rPr>
        <w:t>12</w:t>
      </w:r>
      <w:r>
        <w:rPr>
          <w:rFonts w:hint="eastAsia"/>
          <w:color w:val="auto"/>
          <w:shd w:val="clear" w:color="auto" w:fill="auto"/>
        </w:rPr>
        <w:t>月</w:t>
      </w:r>
      <w:r>
        <w:rPr>
          <w:color w:val="auto"/>
          <w:shd w:val="clear" w:color="auto" w:fill="auto"/>
        </w:rPr>
        <w:t>30</w:t>
      </w:r>
      <w:r>
        <w:rPr>
          <w:rFonts w:hint="eastAsia"/>
          <w:color w:val="auto"/>
          <w:shd w:val="clear" w:color="auto" w:fill="auto"/>
        </w:rPr>
        <w:t>日</w:t>
      </w:r>
      <w:r>
        <w:rPr>
          <w:rFonts w:hint="eastAsia"/>
          <w:color w:val="auto"/>
          <w:shd w:val="clear" w:color="auto" w:fill="auto"/>
          <w:lang w:eastAsia="zh-CN"/>
        </w:rPr>
        <w:t>）</w:t>
      </w:r>
      <w:r>
        <w:rPr>
          <w:rFonts w:hint="eastAsia"/>
          <w:color w:val="auto"/>
          <w:shd w:val="clear" w:color="auto" w:fill="auto"/>
        </w:rPr>
        <w:t>；</w:t>
      </w:r>
    </w:p>
    <w:p>
      <w:pPr>
        <w:ind w:firstLine="480"/>
        <w:rPr>
          <w:color w:val="auto"/>
          <w:shd w:val="clear" w:color="auto" w:fill="auto"/>
        </w:rPr>
      </w:pPr>
      <w:r>
        <w:rPr>
          <w:rFonts w:hint="eastAsia"/>
          <w:color w:val="auto"/>
          <w:shd w:val="clear" w:color="auto" w:fill="auto"/>
        </w:rPr>
        <w:t>（10）《安徽省大气污染防治条例》</w:t>
      </w:r>
      <w:r>
        <w:rPr>
          <w:rFonts w:hint="eastAsia"/>
          <w:color w:val="auto"/>
          <w:shd w:val="clear" w:color="auto" w:fill="auto"/>
          <w:lang w:eastAsia="zh-CN"/>
        </w:rPr>
        <w:t>（</w:t>
      </w:r>
      <w:r>
        <w:rPr>
          <w:rFonts w:hint="eastAsia"/>
          <w:color w:val="auto"/>
          <w:shd w:val="clear" w:color="auto" w:fill="auto"/>
        </w:rPr>
        <w:t>安徽省人民代表大会，2015年3月1日</w:t>
      </w:r>
      <w:r>
        <w:rPr>
          <w:rFonts w:hint="eastAsia"/>
          <w:color w:val="auto"/>
          <w:shd w:val="clear" w:color="auto" w:fill="auto"/>
          <w:lang w:eastAsia="zh-CN"/>
        </w:rPr>
        <w:t>）</w:t>
      </w:r>
      <w:r>
        <w:rPr>
          <w:rFonts w:hint="eastAsia"/>
          <w:color w:val="auto"/>
          <w:shd w:val="clear" w:color="auto" w:fill="auto"/>
        </w:rPr>
        <w:t>；</w:t>
      </w:r>
    </w:p>
    <w:p>
      <w:pPr>
        <w:ind w:firstLine="480"/>
        <w:rPr>
          <w:rFonts w:hint="eastAsia" w:eastAsia="宋体"/>
          <w:color w:val="auto"/>
          <w:shd w:val="clear" w:color="auto" w:fill="auto"/>
          <w:lang w:eastAsia="zh-CN"/>
        </w:rPr>
      </w:pPr>
      <w:r>
        <w:rPr>
          <w:rFonts w:hint="eastAsia"/>
          <w:color w:val="auto"/>
          <w:shd w:val="clear" w:color="auto" w:fill="auto"/>
        </w:rPr>
        <w:t>（11）</w:t>
      </w:r>
      <w:r>
        <w:rPr>
          <w:color w:val="auto"/>
          <w:shd w:val="clear" w:color="auto" w:fill="auto"/>
        </w:rPr>
        <w:t>《安徽省人民政府关于印发安徽省水污染防治工作方案的通知》</w:t>
      </w:r>
      <w:r>
        <w:rPr>
          <w:rFonts w:hint="eastAsia"/>
          <w:color w:val="auto"/>
          <w:shd w:val="clear" w:color="auto" w:fill="auto"/>
          <w:lang w:eastAsia="zh-CN"/>
        </w:rPr>
        <w:t>（</w:t>
      </w:r>
      <w:r>
        <w:rPr>
          <w:color w:val="auto"/>
          <w:shd w:val="clear" w:color="auto" w:fill="auto"/>
        </w:rPr>
        <w:t>皖政</w:t>
      </w:r>
      <w:r>
        <w:rPr>
          <w:rFonts w:hint="eastAsia"/>
          <w:color w:val="auto"/>
          <w:shd w:val="clear" w:color="auto" w:fill="auto"/>
          <w:lang w:val="en-US" w:eastAsia="zh-CN"/>
        </w:rPr>
        <w:t>[</w:t>
      </w:r>
      <w:r>
        <w:rPr>
          <w:color w:val="auto"/>
          <w:shd w:val="clear" w:color="auto" w:fill="auto"/>
        </w:rPr>
        <w:t>2015</w:t>
      </w:r>
      <w:r>
        <w:rPr>
          <w:rFonts w:hint="eastAsia"/>
          <w:color w:val="auto"/>
          <w:shd w:val="clear" w:color="auto" w:fill="auto"/>
          <w:lang w:val="en-US" w:eastAsia="zh-CN"/>
        </w:rPr>
        <w:t>]</w:t>
      </w:r>
      <w:r>
        <w:rPr>
          <w:color w:val="auto"/>
          <w:shd w:val="clear" w:color="auto" w:fill="auto"/>
        </w:rPr>
        <w:t>131号</w:t>
      </w:r>
      <w:r>
        <w:rPr>
          <w:rFonts w:hint="eastAsia"/>
          <w:color w:val="auto"/>
          <w:shd w:val="clear" w:color="auto" w:fill="auto"/>
          <w:lang w:eastAsia="zh-CN"/>
        </w:rPr>
        <w:t>）；</w:t>
      </w:r>
    </w:p>
    <w:p>
      <w:pPr>
        <w:pStyle w:val="12"/>
        <w:rPr>
          <w:rFonts w:hint="eastAsia" w:ascii="Times New Roman" w:hAnsi="Times New Roman" w:eastAsia="宋体" w:cs="Times New Roman"/>
          <w:color w:val="auto"/>
          <w:shd w:val="clear" w:color="auto" w:fill="auto"/>
          <w:lang w:eastAsia="zh-CN"/>
        </w:rPr>
      </w:pPr>
      <w:r>
        <w:rPr>
          <w:rFonts w:hint="eastAsia" w:ascii="Times New Roman" w:hAnsi="Times New Roman" w:eastAsia="宋体" w:cs="Times New Roman"/>
          <w:color w:val="auto"/>
          <w:shd w:val="clear" w:color="auto" w:fill="auto"/>
          <w:lang w:eastAsia="zh-CN"/>
        </w:rPr>
        <w:t>（12）《安徽省人民政府贯彻国务院关于落实科学发展观加强环境保护决定的实施意见》（皖政[2006]71号，2006年9月）；</w:t>
      </w:r>
    </w:p>
    <w:p>
      <w:pPr>
        <w:rPr>
          <w:rFonts w:hint="default"/>
          <w:color w:val="auto"/>
          <w:shd w:val="clear" w:color="auto" w:fill="auto"/>
          <w:lang w:val="en-US" w:eastAsia="zh-CN"/>
        </w:rPr>
      </w:pPr>
      <w:r>
        <w:rPr>
          <w:rFonts w:hint="eastAsia"/>
          <w:color w:val="auto"/>
          <w:shd w:val="clear" w:color="auto" w:fill="auto"/>
          <w:lang w:val="en-US" w:eastAsia="zh-CN"/>
        </w:rPr>
        <w:t>（13）《关于全面打造水清岸绿产业优美丽长江（安徽）经济带的实施意见》（皖发[2018]21号）；</w:t>
      </w:r>
    </w:p>
    <w:p>
      <w:pPr>
        <w:rPr>
          <w:rFonts w:hint="eastAsia"/>
          <w:color w:val="auto"/>
          <w:shd w:val="clear" w:color="auto" w:fill="auto"/>
          <w:lang w:eastAsia="zh-CN"/>
        </w:rPr>
      </w:pPr>
      <w:r>
        <w:rPr>
          <w:rFonts w:hint="eastAsia"/>
          <w:color w:val="auto"/>
          <w:shd w:val="clear" w:color="auto" w:fill="auto"/>
          <w:lang w:val="en-US" w:eastAsia="zh-CN"/>
        </w:rPr>
        <w:t>（14）</w:t>
      </w:r>
      <w:r>
        <w:rPr>
          <w:rFonts w:hint="eastAsia"/>
          <w:color w:val="auto"/>
          <w:shd w:val="clear" w:color="auto" w:fill="auto"/>
        </w:rPr>
        <w:t>《</w:t>
      </w:r>
      <w:r>
        <w:rPr>
          <w:rFonts w:hint="eastAsia"/>
          <w:color w:val="auto"/>
          <w:shd w:val="clear" w:color="auto" w:fill="auto"/>
          <w:lang w:eastAsia="zh-CN"/>
        </w:rPr>
        <w:t>阜阳市打赢蓝天保卫战三年行动计划实施方案</w:t>
      </w:r>
      <w:r>
        <w:rPr>
          <w:rFonts w:hint="eastAsia"/>
          <w:color w:val="auto"/>
          <w:shd w:val="clear" w:color="auto" w:fill="auto"/>
        </w:rPr>
        <w:t>》</w:t>
      </w:r>
      <w:r>
        <w:rPr>
          <w:rFonts w:hint="eastAsia"/>
          <w:color w:val="auto"/>
          <w:shd w:val="clear" w:color="auto" w:fill="auto"/>
          <w:lang w:eastAsia="zh-CN"/>
        </w:rPr>
        <w:t>（</w:t>
      </w:r>
      <w:r>
        <w:rPr>
          <w:rFonts w:hint="eastAsia" w:ascii="Arial" w:hAnsi="Arial" w:eastAsia="宋体" w:cs="Arial"/>
          <w:i w:val="0"/>
          <w:caps w:val="0"/>
          <w:color w:val="auto"/>
          <w:spacing w:val="0"/>
          <w:sz w:val="24"/>
          <w:szCs w:val="24"/>
          <w:shd w:val="clear" w:color="auto" w:fill="auto"/>
        </w:rPr>
        <w:t>阜政秘</w:t>
      </w:r>
      <w:r>
        <w:rPr>
          <w:rFonts w:hint="default" w:ascii="Times New Roman" w:hAnsi="Times New Roman" w:eastAsia="宋体" w:cs="Times New Roman"/>
          <w:b w:val="0"/>
          <w:bCs w:val="0"/>
          <w:i w:val="0"/>
          <w:caps w:val="0"/>
          <w:color w:val="auto"/>
          <w:spacing w:val="0"/>
          <w:sz w:val="24"/>
          <w:szCs w:val="24"/>
          <w:shd w:val="clear" w:color="auto" w:fill="auto"/>
        </w:rPr>
        <w:t>〔2019〕55</w:t>
      </w:r>
      <w:r>
        <w:rPr>
          <w:rFonts w:hint="eastAsia" w:ascii="Arial" w:hAnsi="Arial" w:eastAsia="宋体" w:cs="Arial"/>
          <w:i w:val="0"/>
          <w:caps w:val="0"/>
          <w:color w:val="auto"/>
          <w:spacing w:val="0"/>
          <w:sz w:val="24"/>
          <w:szCs w:val="24"/>
          <w:shd w:val="clear" w:color="auto" w:fill="auto"/>
        </w:rPr>
        <w:t>号</w:t>
      </w:r>
      <w:r>
        <w:rPr>
          <w:rFonts w:hint="eastAsia"/>
          <w:color w:val="auto"/>
          <w:shd w:val="clear" w:color="auto" w:fill="auto"/>
          <w:lang w:val="en-US" w:eastAsia="zh-CN"/>
        </w:rPr>
        <w:t>，</w:t>
      </w:r>
      <w:r>
        <w:rPr>
          <w:rFonts w:hint="eastAsia"/>
          <w:color w:val="auto"/>
          <w:shd w:val="clear" w:color="auto" w:fill="auto"/>
        </w:rPr>
        <w:t>2019年3月22日</w:t>
      </w:r>
      <w:r>
        <w:rPr>
          <w:rFonts w:hint="eastAsia"/>
          <w:color w:val="auto"/>
          <w:shd w:val="clear" w:color="auto" w:fill="auto"/>
          <w:lang w:eastAsia="zh-CN"/>
        </w:rPr>
        <w:t>）；</w:t>
      </w:r>
    </w:p>
    <w:p>
      <w:pPr>
        <w:pStyle w:val="2"/>
        <w:rPr>
          <w:rFonts w:hint="eastAsia" w:eastAsia="宋体"/>
          <w:color w:val="auto"/>
          <w:lang w:val="en-US" w:eastAsia="zh-CN"/>
        </w:rPr>
      </w:pPr>
      <w:r>
        <w:rPr>
          <w:rFonts w:hint="eastAsia"/>
          <w:color w:val="auto"/>
          <w:sz w:val="24"/>
          <w:lang w:eastAsia="zh-CN"/>
        </w:rPr>
        <w:t>（</w:t>
      </w:r>
      <w:r>
        <w:rPr>
          <w:rFonts w:hint="eastAsia"/>
          <w:color w:val="auto"/>
          <w:sz w:val="24"/>
          <w:lang w:val="en-US" w:eastAsia="zh-CN"/>
        </w:rPr>
        <w:t>15</w:t>
      </w:r>
      <w:r>
        <w:rPr>
          <w:rFonts w:hint="eastAsia"/>
          <w:color w:val="auto"/>
          <w:sz w:val="24"/>
          <w:lang w:eastAsia="zh-CN"/>
        </w:rPr>
        <w:t>）</w:t>
      </w:r>
      <w:r>
        <w:rPr>
          <w:color w:val="auto"/>
          <w:sz w:val="24"/>
        </w:rPr>
        <w:t>《</w:t>
      </w:r>
      <w:r>
        <w:rPr>
          <w:rFonts w:hint="eastAsia"/>
          <w:color w:val="auto"/>
          <w:sz w:val="24"/>
          <w:lang w:eastAsia="zh-CN"/>
        </w:rPr>
        <w:t>阜阳</w:t>
      </w:r>
      <w:r>
        <w:rPr>
          <w:color w:val="auto"/>
          <w:sz w:val="24"/>
        </w:rPr>
        <w:t>市人民政府关于印发</w:t>
      </w:r>
      <w:r>
        <w:rPr>
          <w:rFonts w:hint="eastAsia"/>
          <w:color w:val="auto"/>
          <w:sz w:val="24"/>
          <w:lang w:eastAsia="zh-CN"/>
        </w:rPr>
        <w:t>阜阳市水污染防治工作方案的通知</w:t>
      </w:r>
      <w:r>
        <w:rPr>
          <w:color w:val="auto"/>
          <w:sz w:val="24"/>
        </w:rPr>
        <w:t>》（</w:t>
      </w:r>
      <w:r>
        <w:rPr>
          <w:rFonts w:hint="eastAsia"/>
          <w:color w:val="auto"/>
          <w:sz w:val="24"/>
        </w:rPr>
        <w:t>阜政发〔2016〕8号</w:t>
      </w:r>
      <w:r>
        <w:rPr>
          <w:rFonts w:hint="eastAsia"/>
          <w:color w:val="auto"/>
          <w:sz w:val="24"/>
          <w:lang w:eastAsia="zh-CN"/>
        </w:rPr>
        <w:t>，2016年2月14日</w:t>
      </w:r>
      <w:r>
        <w:rPr>
          <w:color w:val="auto"/>
          <w:sz w:val="24"/>
        </w:rPr>
        <w:t>）</w:t>
      </w:r>
      <w:r>
        <w:rPr>
          <w:rFonts w:hint="eastAsia"/>
          <w:color w:val="auto"/>
          <w:sz w:val="24"/>
          <w:lang w:eastAsia="zh-CN"/>
        </w:rPr>
        <w:t>。</w:t>
      </w:r>
    </w:p>
    <w:p>
      <w:pPr>
        <w:pStyle w:val="5"/>
        <w:rPr>
          <w:color w:val="auto"/>
          <w:shd w:val="clear" w:color="auto" w:fill="auto"/>
        </w:rPr>
      </w:pPr>
      <w:bookmarkStart w:id="46" w:name="_Toc5282"/>
      <w:r>
        <w:rPr>
          <w:rFonts w:hint="eastAsia"/>
          <w:color w:val="auto"/>
          <w:shd w:val="clear" w:color="auto" w:fill="auto"/>
        </w:rPr>
        <w:t>1</w:t>
      </w:r>
      <w:r>
        <w:rPr>
          <w:color w:val="auto"/>
          <w:shd w:val="clear" w:color="auto" w:fill="auto"/>
        </w:rPr>
        <w:t>.</w:t>
      </w:r>
      <w:r>
        <w:rPr>
          <w:rFonts w:hint="eastAsia"/>
          <w:color w:val="auto"/>
          <w:shd w:val="clear" w:color="auto" w:fill="auto"/>
        </w:rPr>
        <w:t>2</w:t>
      </w:r>
      <w:r>
        <w:rPr>
          <w:color w:val="auto"/>
          <w:shd w:val="clear" w:color="auto" w:fill="auto"/>
        </w:rPr>
        <w:t>.</w:t>
      </w:r>
      <w:r>
        <w:rPr>
          <w:rFonts w:hint="eastAsia"/>
          <w:color w:val="auto"/>
          <w:shd w:val="clear" w:color="auto" w:fill="auto"/>
        </w:rPr>
        <w:t>3 技术标准</w:t>
      </w:r>
      <w:bookmarkEnd w:id="46"/>
    </w:p>
    <w:p>
      <w:pPr>
        <w:ind w:firstLine="480"/>
        <w:rPr>
          <w:color w:val="auto"/>
          <w:shd w:val="clear" w:color="auto" w:fill="auto"/>
        </w:rPr>
      </w:pPr>
      <w:r>
        <w:rPr>
          <w:rFonts w:hint="eastAsia"/>
          <w:color w:val="auto"/>
          <w:shd w:val="clear" w:color="auto" w:fill="auto"/>
        </w:rPr>
        <w:t>（1）</w:t>
      </w:r>
      <w:r>
        <w:rPr>
          <w:color w:val="auto"/>
          <w:shd w:val="clear" w:color="auto" w:fill="auto"/>
        </w:rPr>
        <w:t>《</w:t>
      </w:r>
      <w:r>
        <w:rPr>
          <w:rFonts w:hint="eastAsia"/>
          <w:color w:val="auto"/>
          <w:shd w:val="clear" w:color="auto" w:fill="auto"/>
        </w:rPr>
        <w:t>建设项目</w:t>
      </w:r>
      <w:r>
        <w:rPr>
          <w:color w:val="auto"/>
          <w:shd w:val="clear" w:color="auto" w:fill="auto"/>
        </w:rPr>
        <w:t>环境影响评价技术导则  总纲》（HJ2.1-2016）；</w:t>
      </w:r>
    </w:p>
    <w:p>
      <w:pPr>
        <w:ind w:firstLine="480"/>
        <w:rPr>
          <w:color w:val="auto"/>
          <w:shd w:val="clear" w:color="auto" w:fill="auto"/>
        </w:rPr>
      </w:pPr>
      <w:r>
        <w:rPr>
          <w:rFonts w:hint="eastAsia"/>
          <w:color w:val="auto"/>
          <w:shd w:val="clear" w:color="auto" w:fill="auto"/>
        </w:rPr>
        <w:t>（2）</w:t>
      </w:r>
      <w:r>
        <w:rPr>
          <w:color w:val="auto"/>
          <w:shd w:val="clear" w:color="auto" w:fill="auto"/>
        </w:rPr>
        <w:t>《环境影响评价技术导则  大气环境》(HJ2.2-20</w:t>
      </w:r>
      <w:r>
        <w:rPr>
          <w:rFonts w:hint="eastAsia"/>
          <w:color w:val="auto"/>
          <w:shd w:val="clear" w:color="auto" w:fill="auto"/>
          <w:lang w:val="en-US" w:eastAsia="zh-CN"/>
        </w:rPr>
        <w:t>1</w:t>
      </w:r>
      <w:r>
        <w:rPr>
          <w:color w:val="auto"/>
          <w:shd w:val="clear" w:color="auto" w:fill="auto"/>
        </w:rPr>
        <w:t>8)</w:t>
      </w:r>
      <w:r>
        <w:rPr>
          <w:rFonts w:hint="eastAsia"/>
          <w:color w:val="auto"/>
          <w:shd w:val="clear" w:color="auto" w:fill="auto"/>
        </w:rPr>
        <w:t>；</w:t>
      </w:r>
    </w:p>
    <w:p>
      <w:pPr>
        <w:ind w:firstLine="480"/>
        <w:rPr>
          <w:color w:val="auto"/>
          <w:shd w:val="clear" w:color="auto" w:fill="auto"/>
        </w:rPr>
      </w:pPr>
      <w:r>
        <w:rPr>
          <w:rFonts w:hint="eastAsia"/>
          <w:color w:val="auto"/>
          <w:shd w:val="clear" w:color="auto" w:fill="auto"/>
        </w:rPr>
        <w:t>（3）</w:t>
      </w:r>
      <w:r>
        <w:rPr>
          <w:color w:val="auto"/>
          <w:shd w:val="clear" w:color="auto" w:fill="auto"/>
        </w:rPr>
        <w:t>《环境影响评价技术导则  地</w:t>
      </w:r>
      <w:r>
        <w:rPr>
          <w:rFonts w:hint="eastAsia"/>
          <w:color w:val="auto"/>
          <w:shd w:val="clear" w:color="auto" w:fill="auto"/>
          <w:lang w:val="en-US" w:eastAsia="zh-CN"/>
        </w:rPr>
        <w:t>表</w:t>
      </w:r>
      <w:r>
        <w:rPr>
          <w:color w:val="auto"/>
          <w:shd w:val="clear" w:color="auto" w:fill="auto"/>
        </w:rPr>
        <w:t>水环境》(HJ2.3-</w:t>
      </w:r>
      <w:r>
        <w:rPr>
          <w:rFonts w:hint="eastAsia"/>
          <w:color w:val="auto"/>
          <w:shd w:val="clear" w:color="auto" w:fill="auto"/>
          <w:lang w:val="en-US" w:eastAsia="zh-CN"/>
        </w:rPr>
        <w:t>2018</w:t>
      </w:r>
      <w:r>
        <w:rPr>
          <w:color w:val="auto"/>
          <w:shd w:val="clear" w:color="auto" w:fill="auto"/>
        </w:rPr>
        <w:t>)；</w:t>
      </w:r>
    </w:p>
    <w:p>
      <w:pPr>
        <w:ind w:firstLine="480"/>
        <w:rPr>
          <w:color w:val="auto"/>
          <w:shd w:val="clear" w:color="auto" w:fill="auto"/>
        </w:rPr>
      </w:pPr>
      <w:r>
        <w:rPr>
          <w:rFonts w:hint="eastAsia"/>
          <w:color w:val="auto"/>
          <w:shd w:val="clear" w:color="auto" w:fill="auto"/>
        </w:rPr>
        <w:t>（4）</w:t>
      </w:r>
      <w:r>
        <w:rPr>
          <w:color w:val="auto"/>
          <w:shd w:val="clear" w:color="auto" w:fill="auto"/>
        </w:rPr>
        <w:t>《环境影响评价技术导则  声环境》(HJ2.4-2009)；</w:t>
      </w:r>
    </w:p>
    <w:p>
      <w:pPr>
        <w:ind w:firstLine="480"/>
        <w:rPr>
          <w:color w:val="auto"/>
          <w:shd w:val="clear" w:color="auto" w:fill="auto"/>
        </w:rPr>
      </w:pPr>
      <w:r>
        <w:rPr>
          <w:rFonts w:hint="eastAsia"/>
          <w:color w:val="auto"/>
          <w:shd w:val="clear" w:color="auto" w:fill="auto"/>
        </w:rPr>
        <w:t>（5）</w:t>
      </w:r>
      <w:r>
        <w:rPr>
          <w:color w:val="auto"/>
          <w:shd w:val="clear" w:color="auto" w:fill="auto"/>
        </w:rPr>
        <w:t>《环境影响评价技术导则  生态影响》（HJ19-2011）；</w:t>
      </w:r>
    </w:p>
    <w:p>
      <w:pPr>
        <w:ind w:firstLine="480"/>
        <w:rPr>
          <w:color w:val="auto"/>
          <w:shd w:val="clear" w:color="auto" w:fill="auto"/>
        </w:rPr>
      </w:pPr>
      <w:r>
        <w:rPr>
          <w:rFonts w:hint="eastAsia"/>
          <w:color w:val="auto"/>
          <w:shd w:val="clear" w:color="auto" w:fill="auto"/>
        </w:rPr>
        <w:t>（6）</w:t>
      </w:r>
      <w:r>
        <w:rPr>
          <w:color w:val="auto"/>
          <w:shd w:val="clear" w:color="auto" w:fill="auto"/>
        </w:rPr>
        <w:t>《环境影响评价技术导则  地下水环境》(HJ610-2016)；</w:t>
      </w:r>
    </w:p>
    <w:p>
      <w:pPr>
        <w:ind w:firstLine="480"/>
        <w:rPr>
          <w:color w:val="auto"/>
          <w:shd w:val="clear" w:color="auto" w:fill="auto"/>
        </w:rPr>
      </w:pPr>
      <w:r>
        <w:rPr>
          <w:rFonts w:hint="eastAsia"/>
          <w:color w:val="auto"/>
          <w:shd w:val="clear" w:color="auto" w:fill="auto"/>
        </w:rPr>
        <w:t>（7）</w:t>
      </w:r>
      <w:r>
        <w:rPr>
          <w:color w:val="auto"/>
          <w:shd w:val="clear" w:color="auto" w:fill="auto"/>
        </w:rPr>
        <w:t>《建设项目环境风险评价技术导则》(HJ169-20</w:t>
      </w:r>
      <w:r>
        <w:rPr>
          <w:rFonts w:hint="eastAsia"/>
          <w:color w:val="auto"/>
          <w:shd w:val="clear" w:color="auto" w:fill="auto"/>
          <w:lang w:val="en-US" w:eastAsia="zh-CN"/>
        </w:rPr>
        <w:t>18</w:t>
      </w:r>
      <w:r>
        <w:rPr>
          <w:color w:val="auto"/>
          <w:shd w:val="clear" w:color="auto" w:fill="auto"/>
        </w:rPr>
        <w:t>)；</w:t>
      </w:r>
    </w:p>
    <w:p>
      <w:pPr>
        <w:ind w:firstLine="480"/>
        <w:rPr>
          <w:color w:val="auto"/>
          <w:shd w:val="clear" w:color="auto" w:fill="auto"/>
        </w:rPr>
      </w:pPr>
      <w:r>
        <w:rPr>
          <w:rFonts w:hint="eastAsia"/>
          <w:color w:val="auto"/>
          <w:shd w:val="clear" w:color="auto" w:fill="auto"/>
        </w:rPr>
        <w:t>（8）</w:t>
      </w:r>
      <w:r>
        <w:rPr>
          <w:color w:val="auto"/>
          <w:shd w:val="clear" w:color="auto" w:fill="auto"/>
        </w:rPr>
        <w:t>《船舶油污染事故等级标准》(JT2011-91)；</w:t>
      </w:r>
    </w:p>
    <w:p>
      <w:pPr>
        <w:ind w:firstLine="480"/>
        <w:rPr>
          <w:color w:val="auto"/>
          <w:shd w:val="clear" w:color="auto" w:fill="auto"/>
        </w:rPr>
      </w:pPr>
      <w:r>
        <w:rPr>
          <w:rFonts w:hint="eastAsia"/>
          <w:color w:val="auto"/>
          <w:shd w:val="clear" w:color="auto" w:fill="auto"/>
        </w:rPr>
        <w:t>（9）</w:t>
      </w:r>
      <w:r>
        <w:rPr>
          <w:color w:val="auto"/>
          <w:shd w:val="clear" w:color="auto" w:fill="auto"/>
        </w:rPr>
        <w:t>《内河航运建设项目环境影响评价规范》(JTJ227-2001)；</w:t>
      </w:r>
    </w:p>
    <w:p>
      <w:pPr>
        <w:ind w:firstLine="480"/>
        <w:rPr>
          <w:color w:val="auto"/>
          <w:shd w:val="clear" w:color="auto" w:fill="auto"/>
        </w:rPr>
      </w:pPr>
      <w:r>
        <w:rPr>
          <w:rFonts w:hint="eastAsia"/>
          <w:color w:val="auto"/>
          <w:shd w:val="clear" w:color="auto" w:fill="auto"/>
        </w:rPr>
        <w:t>（10）</w:t>
      </w:r>
      <w:r>
        <w:rPr>
          <w:color w:val="auto"/>
          <w:shd w:val="clear" w:color="auto" w:fill="auto"/>
        </w:rPr>
        <w:t>《港口工程环境保护设计规范》(JTS149-1-2007)；</w:t>
      </w:r>
    </w:p>
    <w:p>
      <w:pPr>
        <w:ind w:firstLine="480"/>
        <w:rPr>
          <w:color w:val="auto"/>
          <w:shd w:val="clear" w:color="auto" w:fill="auto"/>
        </w:rPr>
      </w:pPr>
      <w:r>
        <w:rPr>
          <w:rFonts w:hint="eastAsia"/>
          <w:color w:val="auto"/>
          <w:shd w:val="clear" w:color="auto" w:fill="auto"/>
        </w:rPr>
        <w:t>（11）《港口建设项目环境影响评价规范》（JTS105-1-2011）；</w:t>
      </w:r>
    </w:p>
    <w:p>
      <w:pPr>
        <w:pStyle w:val="5"/>
        <w:rPr>
          <w:color w:val="auto"/>
          <w:shd w:val="clear" w:color="auto" w:fill="auto"/>
        </w:rPr>
      </w:pPr>
      <w:bookmarkStart w:id="47" w:name="_Toc13309"/>
      <w:r>
        <w:rPr>
          <w:rFonts w:hint="eastAsia"/>
          <w:color w:val="auto"/>
          <w:shd w:val="clear" w:color="auto" w:fill="auto"/>
        </w:rPr>
        <w:t>1.2.4 有关技术文件</w:t>
      </w:r>
      <w:bookmarkEnd w:id="47"/>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color w:val="auto"/>
          <w:shd w:val="clear" w:color="auto" w:fill="auto"/>
        </w:rPr>
      </w:pPr>
      <w:r>
        <w:rPr>
          <w:rFonts w:hint="eastAsia"/>
          <w:color w:val="auto"/>
          <w:shd w:val="clear" w:color="auto" w:fill="auto"/>
          <w:lang w:eastAsia="zh-CN"/>
        </w:rPr>
        <w:t>（</w:t>
      </w:r>
      <w:r>
        <w:rPr>
          <w:rFonts w:hint="eastAsia"/>
          <w:color w:val="auto"/>
          <w:shd w:val="clear" w:color="auto" w:fill="auto"/>
          <w:lang w:val="en-US" w:eastAsia="zh-CN"/>
        </w:rPr>
        <w:t>1</w:t>
      </w:r>
      <w:r>
        <w:rPr>
          <w:rFonts w:hint="eastAsia"/>
          <w:color w:val="auto"/>
          <w:shd w:val="clear" w:color="auto" w:fill="auto"/>
          <w:lang w:eastAsia="zh-CN"/>
        </w:rPr>
        <w:t>）</w:t>
      </w:r>
      <w:r>
        <w:rPr>
          <w:rFonts w:hint="eastAsia" w:ascii="Times New Roman" w:hAnsi="Times New Roman" w:cs="Times New Roman"/>
          <w:color w:val="auto"/>
          <w:shd w:val="clear" w:color="auto" w:fill="auto"/>
          <w:lang w:eastAsia="zh-CN"/>
        </w:rPr>
        <w:t>《关于阜阳港太和港区陶庙作业区码头工程立项的批复》</w:t>
      </w:r>
      <w:r>
        <w:rPr>
          <w:rFonts w:hint="eastAsia"/>
          <w:color w:val="auto"/>
          <w:shd w:val="clear" w:color="auto" w:fill="auto"/>
        </w:rPr>
        <w:t>（</w:t>
      </w:r>
      <w:r>
        <w:rPr>
          <w:rFonts w:hint="eastAsia"/>
          <w:color w:val="auto"/>
          <w:shd w:val="clear" w:color="auto" w:fill="auto"/>
          <w:lang w:val="en-US" w:eastAsia="zh-CN"/>
        </w:rPr>
        <w:t>2019-341222-55-03-026709</w:t>
      </w:r>
      <w:r>
        <w:rPr>
          <w:rFonts w:hint="eastAsia"/>
          <w:color w:val="auto"/>
          <w:shd w:val="clear" w:color="auto" w:fill="auto"/>
        </w:rPr>
        <w:t>）；</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color w:val="auto"/>
          <w:shd w:val="clear" w:color="auto" w:fill="auto"/>
        </w:rPr>
      </w:pPr>
      <w:r>
        <w:rPr>
          <w:rFonts w:hint="eastAsia"/>
          <w:color w:val="auto"/>
          <w:shd w:val="clear" w:color="auto" w:fill="auto"/>
          <w:lang w:eastAsia="zh-CN"/>
        </w:rPr>
        <w:t>（</w:t>
      </w:r>
      <w:r>
        <w:rPr>
          <w:rFonts w:hint="eastAsia"/>
          <w:color w:val="auto"/>
          <w:shd w:val="clear" w:color="auto" w:fill="auto"/>
          <w:lang w:val="en-US" w:eastAsia="zh-CN"/>
        </w:rPr>
        <w:t>2</w:t>
      </w:r>
      <w:r>
        <w:rPr>
          <w:rFonts w:hint="eastAsia"/>
          <w:color w:val="auto"/>
          <w:shd w:val="clear" w:color="auto" w:fill="auto"/>
          <w:lang w:eastAsia="zh-CN"/>
        </w:rPr>
        <w:t>）</w:t>
      </w:r>
      <w:r>
        <w:rPr>
          <w:rFonts w:hint="eastAsia"/>
          <w:color w:val="auto"/>
          <w:shd w:val="clear" w:color="auto" w:fill="auto"/>
        </w:rPr>
        <w:t>《</w:t>
      </w:r>
      <w:r>
        <w:rPr>
          <w:rFonts w:hint="eastAsia"/>
          <w:color w:val="auto"/>
          <w:shd w:val="clear" w:color="auto" w:fill="auto"/>
          <w:lang w:eastAsia="zh-CN"/>
        </w:rPr>
        <w:t>阜阳港太和港区陶庙作业区码头工程</w:t>
      </w:r>
      <w:r>
        <w:rPr>
          <w:rFonts w:hint="eastAsia"/>
          <w:color w:val="auto"/>
          <w:shd w:val="clear" w:color="auto" w:fill="auto"/>
        </w:rPr>
        <w:t>可行性研究报告》，安徽省交通勘察设计院有限公司，20</w:t>
      </w:r>
      <w:r>
        <w:rPr>
          <w:rFonts w:hint="eastAsia"/>
          <w:color w:val="auto"/>
          <w:shd w:val="clear" w:color="auto" w:fill="auto"/>
          <w:lang w:val="en-US" w:eastAsia="zh-CN"/>
        </w:rPr>
        <w:t>20</w:t>
      </w:r>
      <w:r>
        <w:rPr>
          <w:rFonts w:hint="eastAsia"/>
          <w:color w:val="auto"/>
          <w:highlight w:val="none"/>
          <w:shd w:val="clear" w:color="auto" w:fill="auto"/>
        </w:rPr>
        <w:t>年</w:t>
      </w:r>
      <w:r>
        <w:rPr>
          <w:rFonts w:hint="eastAsia"/>
          <w:color w:val="auto"/>
          <w:highlight w:val="none"/>
          <w:shd w:val="clear" w:color="auto" w:fill="auto"/>
          <w:lang w:val="en-US" w:eastAsia="zh-CN"/>
        </w:rPr>
        <w:t>5</w:t>
      </w:r>
      <w:r>
        <w:rPr>
          <w:rFonts w:hint="eastAsia"/>
          <w:color w:val="auto"/>
          <w:highlight w:val="none"/>
          <w:shd w:val="clear" w:color="auto" w:fill="auto"/>
        </w:rPr>
        <w:t>月。</w:t>
      </w:r>
    </w:p>
    <w:p>
      <w:pPr>
        <w:pStyle w:val="4"/>
        <w:spacing w:before="120" w:after="120"/>
        <w:rPr>
          <w:color w:val="auto"/>
          <w:shd w:val="clear" w:color="auto" w:fill="auto"/>
        </w:rPr>
      </w:pPr>
      <w:bookmarkStart w:id="48" w:name="_Toc13659"/>
      <w:bookmarkStart w:id="49" w:name="_Toc17851_WPSOffice_Level2"/>
      <w:bookmarkStart w:id="50" w:name="_Toc24894_WPSOffice_Level2"/>
      <w:r>
        <w:rPr>
          <w:rFonts w:hint="eastAsia"/>
          <w:color w:val="auto"/>
          <w:shd w:val="clear" w:color="auto" w:fill="auto"/>
        </w:rPr>
        <w:t>1.3 评价因子与评价标准</w:t>
      </w:r>
      <w:bookmarkEnd w:id="48"/>
      <w:bookmarkEnd w:id="49"/>
      <w:bookmarkEnd w:id="50"/>
    </w:p>
    <w:p>
      <w:pPr>
        <w:pStyle w:val="5"/>
        <w:rPr>
          <w:rFonts w:hint="eastAsia"/>
          <w:color w:val="auto"/>
          <w:shd w:val="clear" w:color="auto" w:fill="auto"/>
        </w:rPr>
      </w:pPr>
      <w:r>
        <w:rPr>
          <w:rFonts w:hint="eastAsia"/>
          <w:color w:val="auto"/>
          <w:shd w:val="clear" w:color="auto" w:fill="auto"/>
        </w:rPr>
        <w:t>1.3.1 评价因子</w:t>
      </w:r>
    </w:p>
    <w:p>
      <w:pPr>
        <w:ind w:firstLine="480"/>
        <w:rPr>
          <w:color w:val="auto"/>
          <w:shd w:val="clear" w:color="auto" w:fill="auto"/>
        </w:rPr>
      </w:pPr>
      <w:r>
        <w:rPr>
          <w:color w:val="auto"/>
          <w:shd w:val="clear" w:color="auto" w:fill="auto"/>
        </w:rPr>
        <w:t>根据本工程的污染特点，通过</w:t>
      </w:r>
      <w:r>
        <w:rPr>
          <w:rFonts w:hint="eastAsia"/>
          <w:color w:val="auto"/>
          <w:shd w:val="clear" w:color="auto" w:fill="auto"/>
        </w:rPr>
        <w:t>环境影响</w:t>
      </w:r>
      <w:r>
        <w:rPr>
          <w:color w:val="auto"/>
          <w:shd w:val="clear" w:color="auto" w:fill="auto"/>
        </w:rPr>
        <w:t>识别，各环境要素的环境影响评价因子见表</w:t>
      </w:r>
      <w:r>
        <w:rPr>
          <w:rFonts w:hint="eastAsia"/>
          <w:color w:val="auto"/>
          <w:shd w:val="clear" w:color="auto" w:fill="auto"/>
        </w:rPr>
        <w:t>1.</w:t>
      </w:r>
      <w:r>
        <w:rPr>
          <w:rFonts w:hint="eastAsia"/>
          <w:color w:val="auto"/>
          <w:shd w:val="clear" w:color="auto" w:fill="auto"/>
          <w:lang w:val="en-US" w:eastAsia="zh-CN"/>
        </w:rPr>
        <w:t>3</w:t>
      </w:r>
      <w:r>
        <w:rPr>
          <w:rFonts w:hint="eastAsia"/>
          <w:color w:val="auto"/>
          <w:shd w:val="clear" w:color="auto" w:fill="auto"/>
        </w:rPr>
        <w:t>-</w:t>
      </w:r>
      <w:r>
        <w:rPr>
          <w:rFonts w:hint="eastAsia"/>
          <w:color w:val="auto"/>
          <w:shd w:val="clear" w:color="auto" w:fill="auto"/>
          <w:lang w:val="en-US" w:eastAsia="zh-CN"/>
        </w:rPr>
        <w:t>1</w:t>
      </w:r>
      <w:r>
        <w:rPr>
          <w:rFonts w:hint="eastAsia"/>
          <w:color w:val="auto"/>
          <w:shd w:val="clear" w:color="auto" w:fill="auto"/>
        </w:rPr>
        <w:t>。</w:t>
      </w:r>
    </w:p>
    <w:p>
      <w:pPr>
        <w:pStyle w:val="43"/>
        <w:rPr>
          <w:color w:val="auto"/>
          <w:shd w:val="clear" w:color="auto" w:fill="auto"/>
        </w:rPr>
      </w:pPr>
      <w:r>
        <w:rPr>
          <w:rFonts w:hint="eastAsia"/>
          <w:color w:val="auto"/>
          <w:shd w:val="clear" w:color="auto" w:fill="auto"/>
        </w:rPr>
        <w:t>表1.</w:t>
      </w:r>
      <w:r>
        <w:rPr>
          <w:rFonts w:hint="eastAsia"/>
          <w:color w:val="auto"/>
          <w:shd w:val="clear" w:color="auto" w:fill="auto"/>
          <w:lang w:val="en-US" w:eastAsia="zh-CN"/>
        </w:rPr>
        <w:t xml:space="preserve">3-1 </w:t>
      </w:r>
      <w:r>
        <w:rPr>
          <w:rFonts w:hint="eastAsia"/>
          <w:color w:val="auto"/>
          <w:shd w:val="clear" w:color="auto" w:fill="auto"/>
        </w:rPr>
        <w:t xml:space="preserve"> 建设项目评价因子表</w:t>
      </w:r>
    </w:p>
    <w:tbl>
      <w:tblPr>
        <w:tblStyle w:val="27"/>
        <w:tblW w:w="8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7"/>
        <w:gridCol w:w="866"/>
        <w:gridCol w:w="4686"/>
        <w:gridCol w:w="26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3" w:type="dxa"/>
            <w:gridSpan w:val="2"/>
            <w:vAlign w:val="center"/>
          </w:tcPr>
          <w:p>
            <w:pPr>
              <w:pStyle w:val="44"/>
              <w:rPr>
                <w:color w:val="auto"/>
                <w:shd w:val="clear" w:color="auto" w:fill="auto"/>
              </w:rPr>
            </w:pPr>
            <w:r>
              <w:rPr>
                <w:color w:val="auto"/>
                <w:shd w:val="clear" w:color="auto" w:fill="auto"/>
              </w:rPr>
              <w:t>环境要素</w:t>
            </w:r>
          </w:p>
        </w:tc>
        <w:tc>
          <w:tcPr>
            <w:tcW w:w="4686" w:type="dxa"/>
            <w:vAlign w:val="center"/>
          </w:tcPr>
          <w:p>
            <w:pPr>
              <w:pStyle w:val="44"/>
              <w:rPr>
                <w:color w:val="auto"/>
                <w:shd w:val="clear" w:color="auto" w:fill="auto"/>
              </w:rPr>
            </w:pPr>
            <w:r>
              <w:rPr>
                <w:color w:val="auto"/>
                <w:shd w:val="clear" w:color="auto" w:fill="auto"/>
              </w:rPr>
              <w:t>现状评价因子</w:t>
            </w:r>
          </w:p>
        </w:tc>
        <w:tc>
          <w:tcPr>
            <w:tcW w:w="2667" w:type="dxa"/>
            <w:vAlign w:val="center"/>
          </w:tcPr>
          <w:p>
            <w:pPr>
              <w:pStyle w:val="44"/>
              <w:rPr>
                <w:color w:val="auto"/>
                <w:shd w:val="clear" w:color="auto" w:fill="auto"/>
              </w:rPr>
            </w:pPr>
            <w:r>
              <w:rPr>
                <w:color w:val="auto"/>
                <w:shd w:val="clear" w:color="auto" w:fill="auto"/>
              </w:rPr>
              <w:t>影响评价因子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3" w:type="dxa"/>
            <w:gridSpan w:val="2"/>
            <w:vAlign w:val="center"/>
          </w:tcPr>
          <w:p>
            <w:pPr>
              <w:pStyle w:val="44"/>
              <w:rPr>
                <w:color w:val="auto"/>
                <w:shd w:val="clear" w:color="auto" w:fill="auto"/>
              </w:rPr>
            </w:pPr>
            <w:r>
              <w:rPr>
                <w:rFonts w:hint="eastAsia"/>
                <w:color w:val="auto"/>
                <w:shd w:val="clear" w:color="auto" w:fill="auto"/>
              </w:rPr>
              <w:t>大气环境</w:t>
            </w:r>
          </w:p>
        </w:tc>
        <w:tc>
          <w:tcPr>
            <w:tcW w:w="4686" w:type="dxa"/>
            <w:vAlign w:val="center"/>
          </w:tcPr>
          <w:p>
            <w:pPr>
              <w:pStyle w:val="44"/>
              <w:rPr>
                <w:rFonts w:hint="default" w:eastAsia="宋体"/>
                <w:color w:val="auto"/>
                <w:shd w:val="clear" w:color="auto" w:fill="auto"/>
                <w:vertAlign w:val="baseline"/>
                <w:lang w:val="en-US" w:eastAsia="zh-CN"/>
              </w:rPr>
            </w:pPr>
            <w:r>
              <w:rPr>
                <w:rFonts w:hint="eastAsia"/>
                <w:color w:val="auto"/>
                <w:shd w:val="clear" w:color="auto" w:fill="auto"/>
                <w:lang w:eastAsia="zh-CN"/>
              </w:rPr>
              <w:t>PM</w:t>
            </w:r>
            <w:r>
              <w:rPr>
                <w:color w:val="auto"/>
                <w:shd w:val="clear" w:color="auto" w:fill="auto"/>
                <w:vertAlign w:val="subscript"/>
              </w:rPr>
              <w:t>10</w:t>
            </w:r>
            <w:r>
              <w:rPr>
                <w:rFonts w:hint="eastAsia"/>
                <w:color w:val="auto"/>
                <w:shd w:val="clear" w:color="auto" w:fill="auto"/>
                <w:vertAlign w:val="baseline"/>
                <w:lang w:eastAsia="zh-CN"/>
              </w:rPr>
              <w:t>、</w:t>
            </w:r>
            <w:r>
              <w:rPr>
                <w:rFonts w:hint="eastAsia"/>
                <w:color w:val="auto"/>
                <w:shd w:val="clear" w:color="auto" w:fill="auto"/>
                <w:lang w:eastAsia="zh-CN"/>
              </w:rPr>
              <w:t>PM</w:t>
            </w:r>
            <w:r>
              <w:rPr>
                <w:rFonts w:hint="eastAsia"/>
                <w:color w:val="auto"/>
                <w:shd w:val="clear" w:color="auto" w:fill="auto"/>
                <w:vertAlign w:val="subscript"/>
                <w:lang w:eastAsia="zh-CN"/>
              </w:rPr>
              <w:t>2.5</w:t>
            </w:r>
            <w:r>
              <w:rPr>
                <w:rFonts w:hint="eastAsia"/>
                <w:color w:val="auto"/>
                <w:shd w:val="clear" w:color="auto" w:fill="auto"/>
                <w:vertAlign w:val="baseline"/>
                <w:lang w:val="en-US" w:eastAsia="zh-CN"/>
              </w:rPr>
              <w:t>、</w:t>
            </w:r>
            <w:r>
              <w:rPr>
                <w:color w:val="auto"/>
                <w:shd w:val="clear" w:color="auto" w:fill="auto"/>
              </w:rPr>
              <w:t>SO</w:t>
            </w:r>
            <w:r>
              <w:rPr>
                <w:color w:val="auto"/>
                <w:shd w:val="clear" w:color="auto" w:fill="auto"/>
                <w:vertAlign w:val="subscript"/>
              </w:rPr>
              <w:t>2</w:t>
            </w:r>
            <w:r>
              <w:rPr>
                <w:color w:val="auto"/>
                <w:shd w:val="clear" w:color="auto" w:fill="auto"/>
              </w:rPr>
              <w:t>、NO</w:t>
            </w:r>
            <w:r>
              <w:rPr>
                <w:color w:val="auto"/>
                <w:shd w:val="clear" w:color="auto" w:fill="auto"/>
                <w:vertAlign w:val="subscript"/>
              </w:rPr>
              <w:t>2</w:t>
            </w:r>
            <w:r>
              <w:rPr>
                <w:color w:val="auto"/>
                <w:shd w:val="clear" w:color="auto" w:fill="auto"/>
              </w:rPr>
              <w:t>、</w:t>
            </w:r>
            <w:r>
              <w:rPr>
                <w:rFonts w:hint="eastAsia"/>
                <w:color w:val="auto"/>
                <w:shd w:val="clear" w:color="auto" w:fill="auto"/>
                <w:lang w:val="en-US" w:eastAsia="zh-CN"/>
              </w:rPr>
              <w:t>CO、O</w:t>
            </w:r>
            <w:r>
              <w:rPr>
                <w:rFonts w:hint="eastAsia"/>
                <w:color w:val="auto"/>
                <w:shd w:val="clear" w:color="auto" w:fill="auto"/>
                <w:vertAlign w:val="subscript"/>
                <w:lang w:val="en-US" w:eastAsia="zh-CN"/>
              </w:rPr>
              <w:t>3</w:t>
            </w:r>
          </w:p>
        </w:tc>
        <w:tc>
          <w:tcPr>
            <w:tcW w:w="2667" w:type="dxa"/>
            <w:vAlign w:val="center"/>
          </w:tcPr>
          <w:p>
            <w:pPr>
              <w:pStyle w:val="44"/>
              <w:rPr>
                <w:rFonts w:hint="default" w:eastAsia="宋体"/>
                <w:color w:val="auto"/>
                <w:shd w:val="clear" w:color="auto" w:fill="auto"/>
                <w:lang w:val="en-US" w:eastAsia="zh-CN"/>
              </w:rPr>
            </w:pPr>
            <w:r>
              <w:rPr>
                <w:rFonts w:hint="eastAsia"/>
                <w:color w:val="auto"/>
                <w:shd w:val="clear" w:color="auto" w:fill="auto"/>
                <w:lang w:val="en-US" w:eastAsia="zh-CN"/>
              </w:rPr>
              <w:t>TSP、</w:t>
            </w:r>
            <w:r>
              <w:rPr>
                <w:color w:val="auto"/>
                <w:shd w:val="clear" w:color="auto" w:fill="auto"/>
              </w:rPr>
              <w:t>SO</w:t>
            </w:r>
            <w:r>
              <w:rPr>
                <w:color w:val="auto"/>
                <w:shd w:val="clear" w:color="auto" w:fill="auto"/>
                <w:vertAlign w:val="subscript"/>
              </w:rPr>
              <w:t>2</w:t>
            </w:r>
            <w:r>
              <w:rPr>
                <w:color w:val="auto"/>
                <w:shd w:val="clear" w:color="auto" w:fill="auto"/>
              </w:rPr>
              <w:t>、NO</w:t>
            </w:r>
            <w:r>
              <w:rPr>
                <w:color w:val="auto"/>
                <w:shd w:val="clear" w:color="auto" w:fill="auto"/>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3" w:type="dxa"/>
            <w:gridSpan w:val="2"/>
            <w:vAlign w:val="center"/>
          </w:tcPr>
          <w:p>
            <w:pPr>
              <w:pStyle w:val="44"/>
              <w:rPr>
                <w:color w:val="auto"/>
                <w:shd w:val="clear" w:color="auto" w:fill="auto"/>
              </w:rPr>
            </w:pPr>
            <w:r>
              <w:rPr>
                <w:rFonts w:hint="eastAsia"/>
                <w:color w:val="auto"/>
                <w:shd w:val="clear" w:color="auto" w:fill="auto"/>
              </w:rPr>
              <w:t>地表水环境</w:t>
            </w:r>
          </w:p>
        </w:tc>
        <w:tc>
          <w:tcPr>
            <w:tcW w:w="4686" w:type="dxa"/>
            <w:vAlign w:val="center"/>
          </w:tcPr>
          <w:p>
            <w:pPr>
              <w:pStyle w:val="44"/>
              <w:rPr>
                <w:color w:val="auto"/>
                <w:shd w:val="clear" w:color="auto" w:fill="auto"/>
              </w:rPr>
            </w:pPr>
            <w:r>
              <w:rPr>
                <w:color w:val="auto"/>
                <w:shd w:val="clear" w:color="auto" w:fill="auto"/>
              </w:rPr>
              <w:t>pH、COD、</w:t>
            </w:r>
            <w:r>
              <w:rPr>
                <w:rFonts w:hint="eastAsia"/>
                <w:color w:val="auto"/>
                <w:shd w:val="clear" w:color="auto" w:fill="auto"/>
                <w:lang w:val="en-US" w:eastAsia="zh-CN"/>
              </w:rPr>
              <w:t>BOD</w:t>
            </w:r>
            <w:r>
              <w:rPr>
                <w:rFonts w:hint="eastAsia"/>
                <w:color w:val="auto"/>
                <w:shd w:val="clear" w:color="auto" w:fill="auto"/>
                <w:vertAlign w:val="subscript"/>
                <w:lang w:val="en-US" w:eastAsia="zh-CN"/>
              </w:rPr>
              <w:t>5</w:t>
            </w:r>
            <w:r>
              <w:rPr>
                <w:rFonts w:hint="eastAsia"/>
                <w:color w:val="auto"/>
                <w:shd w:val="clear" w:color="auto" w:fill="auto"/>
              </w:rPr>
              <w:t>、</w:t>
            </w:r>
            <w:r>
              <w:rPr>
                <w:color w:val="auto"/>
                <w:shd w:val="clear" w:color="auto" w:fill="auto"/>
              </w:rPr>
              <w:t>氨氮、总磷、石油类</w:t>
            </w:r>
            <w:r>
              <w:rPr>
                <w:rFonts w:hint="eastAsia"/>
                <w:color w:val="auto"/>
                <w:shd w:val="clear" w:color="auto" w:fill="auto"/>
                <w:lang w:val="en-US" w:eastAsia="zh-CN"/>
              </w:rPr>
              <w:t>、SS</w:t>
            </w:r>
          </w:p>
        </w:tc>
        <w:tc>
          <w:tcPr>
            <w:tcW w:w="2667" w:type="dxa"/>
            <w:vAlign w:val="center"/>
          </w:tcPr>
          <w:p>
            <w:pPr>
              <w:pStyle w:val="44"/>
              <w:rPr>
                <w:rFonts w:hint="eastAsia" w:eastAsia="宋体"/>
                <w:color w:val="auto"/>
                <w:shd w:val="clear" w:color="auto" w:fill="auto"/>
                <w:lang w:eastAsia="zh-CN"/>
              </w:rPr>
            </w:pPr>
            <w:r>
              <w:rPr>
                <w:rFonts w:hint="eastAsia"/>
                <w:color w:val="auto"/>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vMerge w:val="restart"/>
            <w:vAlign w:val="center"/>
          </w:tcPr>
          <w:p>
            <w:pPr>
              <w:pStyle w:val="44"/>
              <w:rPr>
                <w:color w:val="auto"/>
                <w:shd w:val="clear" w:color="auto" w:fill="auto"/>
              </w:rPr>
            </w:pPr>
            <w:r>
              <w:rPr>
                <w:rFonts w:hint="eastAsia"/>
                <w:color w:val="auto"/>
                <w:shd w:val="clear" w:color="auto" w:fill="auto"/>
              </w:rPr>
              <w:t>生态</w:t>
            </w:r>
          </w:p>
        </w:tc>
        <w:tc>
          <w:tcPr>
            <w:tcW w:w="866" w:type="dxa"/>
            <w:vAlign w:val="center"/>
          </w:tcPr>
          <w:p>
            <w:pPr>
              <w:pStyle w:val="44"/>
              <w:rPr>
                <w:color w:val="auto"/>
                <w:shd w:val="clear" w:color="auto" w:fill="auto"/>
              </w:rPr>
            </w:pPr>
            <w:r>
              <w:rPr>
                <w:rFonts w:hint="eastAsia"/>
                <w:color w:val="auto"/>
                <w:shd w:val="clear" w:color="auto" w:fill="auto"/>
              </w:rPr>
              <w:t>水生</w:t>
            </w:r>
          </w:p>
        </w:tc>
        <w:tc>
          <w:tcPr>
            <w:tcW w:w="4686" w:type="dxa"/>
            <w:vAlign w:val="center"/>
          </w:tcPr>
          <w:p>
            <w:pPr>
              <w:pStyle w:val="44"/>
              <w:rPr>
                <w:rFonts w:hint="eastAsia" w:eastAsia="宋体"/>
                <w:color w:val="auto"/>
                <w:shd w:val="clear" w:color="auto" w:fill="auto"/>
                <w:lang w:val="en-US" w:eastAsia="zh-CN"/>
              </w:rPr>
            </w:pPr>
            <w:r>
              <w:rPr>
                <w:color w:val="auto"/>
                <w:shd w:val="clear" w:color="auto" w:fill="auto"/>
              </w:rPr>
              <w:t>底栖生物、浮游</w:t>
            </w:r>
            <w:r>
              <w:rPr>
                <w:rFonts w:hint="eastAsia"/>
                <w:color w:val="auto"/>
                <w:shd w:val="clear" w:color="auto" w:fill="auto"/>
              </w:rPr>
              <w:t>生物</w:t>
            </w:r>
            <w:r>
              <w:rPr>
                <w:rFonts w:hint="eastAsia"/>
                <w:color w:val="auto"/>
                <w:shd w:val="clear" w:color="auto" w:fill="auto"/>
                <w:lang w:eastAsia="zh-CN"/>
              </w:rPr>
              <w:t>、</w:t>
            </w:r>
            <w:r>
              <w:rPr>
                <w:rFonts w:hint="eastAsia"/>
                <w:color w:val="auto"/>
                <w:shd w:val="clear" w:color="auto" w:fill="auto"/>
                <w:lang w:val="en-US" w:eastAsia="zh-CN"/>
              </w:rPr>
              <w:t>鱼类</w:t>
            </w:r>
          </w:p>
        </w:tc>
        <w:tc>
          <w:tcPr>
            <w:tcW w:w="2667" w:type="dxa"/>
            <w:vAlign w:val="center"/>
          </w:tcPr>
          <w:p>
            <w:pPr>
              <w:pStyle w:val="44"/>
              <w:rPr>
                <w:color w:val="auto"/>
                <w:shd w:val="clear" w:color="auto" w:fill="auto"/>
              </w:rPr>
            </w:pPr>
            <w:r>
              <w:rPr>
                <w:color w:val="auto"/>
                <w:shd w:val="clear" w:color="auto" w:fill="auto"/>
              </w:rPr>
              <w:t>底栖生物、浮游</w:t>
            </w:r>
            <w:r>
              <w:rPr>
                <w:rFonts w:hint="eastAsia"/>
                <w:color w:val="auto"/>
                <w:shd w:val="clear" w:color="auto" w:fill="auto"/>
              </w:rPr>
              <w:t>生物</w:t>
            </w:r>
            <w:r>
              <w:rPr>
                <w:rFonts w:hint="eastAsia"/>
                <w:color w:val="auto"/>
                <w:shd w:val="clear" w:color="auto" w:fill="auto"/>
                <w:lang w:eastAsia="zh-CN"/>
              </w:rPr>
              <w:t>、</w:t>
            </w:r>
            <w:r>
              <w:rPr>
                <w:rFonts w:hint="eastAsia"/>
                <w:color w:val="auto"/>
                <w:shd w:val="clear" w:color="auto" w:fill="auto"/>
                <w:lang w:val="en-US" w:eastAsia="zh-CN"/>
              </w:rPr>
              <w:t>鱼类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vMerge w:val="continue"/>
            <w:vAlign w:val="center"/>
          </w:tcPr>
          <w:p>
            <w:pPr>
              <w:pStyle w:val="44"/>
              <w:rPr>
                <w:color w:val="auto"/>
                <w:shd w:val="clear" w:color="auto" w:fill="auto"/>
              </w:rPr>
            </w:pPr>
          </w:p>
        </w:tc>
        <w:tc>
          <w:tcPr>
            <w:tcW w:w="866" w:type="dxa"/>
            <w:vAlign w:val="center"/>
          </w:tcPr>
          <w:p>
            <w:pPr>
              <w:pStyle w:val="44"/>
              <w:rPr>
                <w:color w:val="auto"/>
                <w:shd w:val="clear" w:color="auto" w:fill="auto"/>
              </w:rPr>
            </w:pPr>
            <w:r>
              <w:rPr>
                <w:rFonts w:hint="eastAsia"/>
                <w:color w:val="auto"/>
                <w:shd w:val="clear" w:color="auto" w:fill="auto"/>
              </w:rPr>
              <w:t>陆域</w:t>
            </w:r>
          </w:p>
        </w:tc>
        <w:tc>
          <w:tcPr>
            <w:tcW w:w="4686" w:type="dxa"/>
            <w:vAlign w:val="center"/>
          </w:tcPr>
          <w:p>
            <w:pPr>
              <w:pStyle w:val="44"/>
              <w:rPr>
                <w:color w:val="auto"/>
                <w:shd w:val="clear" w:color="auto" w:fill="auto"/>
              </w:rPr>
            </w:pPr>
            <w:r>
              <w:rPr>
                <w:color w:val="auto"/>
                <w:shd w:val="clear" w:color="auto" w:fill="auto"/>
              </w:rPr>
              <w:t>土壤、植被与动物</w:t>
            </w:r>
          </w:p>
        </w:tc>
        <w:tc>
          <w:tcPr>
            <w:tcW w:w="2667" w:type="dxa"/>
            <w:vAlign w:val="center"/>
          </w:tcPr>
          <w:p>
            <w:pPr>
              <w:pStyle w:val="44"/>
              <w:rPr>
                <w:color w:val="auto"/>
                <w:shd w:val="clear" w:color="auto" w:fill="auto"/>
              </w:rPr>
            </w:pPr>
            <w:r>
              <w:rPr>
                <w:color w:val="auto"/>
                <w:shd w:val="clear" w:color="auto" w:fill="auto"/>
              </w:rPr>
              <w:t>土壤、植被与动物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3" w:type="dxa"/>
            <w:gridSpan w:val="2"/>
            <w:vAlign w:val="center"/>
          </w:tcPr>
          <w:p>
            <w:pPr>
              <w:pStyle w:val="44"/>
              <w:rPr>
                <w:rFonts w:hint="eastAsia" w:eastAsia="宋体"/>
                <w:color w:val="auto"/>
                <w:shd w:val="clear" w:color="auto" w:fill="auto"/>
                <w:lang w:val="en-US" w:eastAsia="zh-CN"/>
              </w:rPr>
            </w:pPr>
            <w:r>
              <w:rPr>
                <w:rFonts w:hint="eastAsia"/>
                <w:color w:val="auto"/>
                <w:shd w:val="clear" w:color="auto" w:fill="auto"/>
                <w:lang w:val="en-US" w:eastAsia="zh-CN"/>
              </w:rPr>
              <w:t>底泥</w:t>
            </w:r>
          </w:p>
        </w:tc>
        <w:tc>
          <w:tcPr>
            <w:tcW w:w="4686" w:type="dxa"/>
            <w:vAlign w:val="center"/>
          </w:tcPr>
          <w:p>
            <w:pPr>
              <w:pStyle w:val="44"/>
              <w:rPr>
                <w:color w:val="auto"/>
                <w:shd w:val="clear" w:color="auto" w:fill="auto"/>
              </w:rPr>
            </w:pPr>
            <w:r>
              <w:rPr>
                <w:rFonts w:ascii="Times New Roman" w:hAnsi="Times New Roman"/>
                <w:color w:val="auto"/>
                <w:kern w:val="2"/>
              </w:rPr>
              <w:t>pH、铜、锌、铅、镉、镍、总铬、六价铬、汞、砷、苯</w:t>
            </w:r>
            <w:r>
              <w:rPr>
                <w:rFonts w:cs="Times New Roman"/>
                <w:color w:val="auto"/>
                <w:sz w:val="21"/>
                <w:szCs w:val="21"/>
              </w:rPr>
              <w:t>等GB 36600</w:t>
            </w:r>
            <w:r>
              <w:rPr>
                <w:rFonts w:hint="eastAsia" w:cs="Times New Roman"/>
                <w:color w:val="auto"/>
                <w:sz w:val="21"/>
                <w:szCs w:val="21"/>
                <w:lang w:val="en-US" w:eastAsia="zh-CN"/>
              </w:rPr>
              <w:t>-</w:t>
            </w:r>
            <w:r>
              <w:rPr>
                <w:rFonts w:cs="Times New Roman"/>
                <w:color w:val="auto"/>
                <w:sz w:val="21"/>
                <w:szCs w:val="21"/>
              </w:rPr>
              <w:t>2018</w:t>
            </w:r>
            <w:r>
              <w:rPr>
                <w:rFonts w:hint="eastAsia" w:cs="Times New Roman"/>
                <w:color w:val="auto"/>
                <w:sz w:val="21"/>
                <w:szCs w:val="21"/>
              </w:rPr>
              <w:t xml:space="preserve"> 表1中所列</w:t>
            </w:r>
            <w:r>
              <w:rPr>
                <w:rFonts w:cs="Times New Roman"/>
                <w:color w:val="auto"/>
                <w:sz w:val="21"/>
                <w:szCs w:val="21"/>
              </w:rPr>
              <w:t>的</w:t>
            </w:r>
            <w:r>
              <w:rPr>
                <w:rFonts w:hint="eastAsia" w:cs="Times New Roman"/>
                <w:color w:val="auto"/>
                <w:sz w:val="21"/>
                <w:szCs w:val="21"/>
              </w:rPr>
              <w:t>45项因子</w:t>
            </w:r>
          </w:p>
        </w:tc>
        <w:tc>
          <w:tcPr>
            <w:tcW w:w="2667" w:type="dxa"/>
            <w:vAlign w:val="center"/>
          </w:tcPr>
          <w:p>
            <w:pPr>
              <w:pStyle w:val="44"/>
              <w:rPr>
                <w:rFonts w:hint="eastAsia" w:eastAsia="宋体"/>
                <w:color w:val="auto"/>
                <w:shd w:val="clear" w:color="auto" w:fill="auto"/>
                <w:lang w:val="en-US" w:eastAsia="zh-CN"/>
              </w:rPr>
            </w:pPr>
            <w:r>
              <w:rPr>
                <w:rFonts w:hint="eastAsia"/>
                <w:color w:val="auto"/>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3" w:type="dxa"/>
            <w:gridSpan w:val="2"/>
            <w:vAlign w:val="center"/>
          </w:tcPr>
          <w:p>
            <w:pPr>
              <w:pStyle w:val="44"/>
              <w:rPr>
                <w:color w:val="auto"/>
                <w:shd w:val="clear" w:color="auto" w:fill="auto"/>
              </w:rPr>
            </w:pPr>
            <w:r>
              <w:rPr>
                <w:rFonts w:hint="eastAsia"/>
                <w:color w:val="auto"/>
                <w:shd w:val="clear" w:color="auto" w:fill="auto"/>
              </w:rPr>
              <w:t>声环境</w:t>
            </w:r>
          </w:p>
        </w:tc>
        <w:tc>
          <w:tcPr>
            <w:tcW w:w="4686" w:type="dxa"/>
            <w:vAlign w:val="center"/>
          </w:tcPr>
          <w:p>
            <w:pPr>
              <w:pStyle w:val="44"/>
              <w:rPr>
                <w:color w:val="auto"/>
                <w:shd w:val="clear" w:color="auto" w:fill="auto"/>
              </w:rPr>
            </w:pPr>
            <w:r>
              <w:rPr>
                <w:color w:val="auto"/>
                <w:shd w:val="clear" w:color="auto" w:fill="auto"/>
              </w:rPr>
              <w:t>等效连续A声级</w:t>
            </w:r>
          </w:p>
        </w:tc>
        <w:tc>
          <w:tcPr>
            <w:tcW w:w="2667" w:type="dxa"/>
            <w:vAlign w:val="center"/>
          </w:tcPr>
          <w:p>
            <w:pPr>
              <w:pStyle w:val="44"/>
              <w:rPr>
                <w:color w:val="auto"/>
                <w:shd w:val="clear" w:color="auto" w:fill="auto"/>
              </w:rPr>
            </w:pPr>
            <w:r>
              <w:rPr>
                <w:color w:val="auto"/>
                <w:shd w:val="clear" w:color="auto" w:fill="auto"/>
              </w:rPr>
              <w:t>等效连续A声级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3" w:type="dxa"/>
            <w:gridSpan w:val="2"/>
            <w:vAlign w:val="center"/>
          </w:tcPr>
          <w:p>
            <w:pPr>
              <w:pStyle w:val="44"/>
              <w:rPr>
                <w:color w:val="auto"/>
                <w:shd w:val="clear" w:color="auto" w:fill="auto"/>
              </w:rPr>
            </w:pPr>
            <w:r>
              <w:rPr>
                <w:rFonts w:hint="eastAsia"/>
                <w:color w:val="auto"/>
                <w:shd w:val="clear" w:color="auto" w:fill="auto"/>
              </w:rPr>
              <w:t>固废</w:t>
            </w:r>
          </w:p>
        </w:tc>
        <w:tc>
          <w:tcPr>
            <w:tcW w:w="4686" w:type="dxa"/>
            <w:vAlign w:val="center"/>
          </w:tcPr>
          <w:p>
            <w:pPr>
              <w:pStyle w:val="44"/>
              <w:rPr>
                <w:color w:val="auto"/>
                <w:shd w:val="clear" w:color="auto" w:fill="auto"/>
              </w:rPr>
            </w:pPr>
            <w:r>
              <w:rPr>
                <w:rFonts w:hint="eastAsia"/>
                <w:color w:val="auto"/>
                <w:shd w:val="clear" w:color="auto" w:fill="auto"/>
              </w:rPr>
              <w:t>——</w:t>
            </w:r>
          </w:p>
        </w:tc>
        <w:tc>
          <w:tcPr>
            <w:tcW w:w="2667" w:type="dxa"/>
            <w:vAlign w:val="center"/>
          </w:tcPr>
          <w:p>
            <w:pPr>
              <w:pStyle w:val="44"/>
              <w:rPr>
                <w:color w:val="auto"/>
                <w:shd w:val="clear" w:color="auto" w:fill="auto"/>
              </w:rPr>
            </w:pPr>
            <w:r>
              <w:rPr>
                <w:rFonts w:hint="eastAsia"/>
                <w:color w:val="auto"/>
                <w:shd w:val="clear" w:color="auto" w:fill="auto"/>
                <w:lang w:val="en-US" w:eastAsia="zh-CN"/>
              </w:rPr>
              <w:t>工业固废</w:t>
            </w:r>
            <w:r>
              <w:rPr>
                <w:color w:val="auto"/>
                <w:shd w:val="clear" w:color="auto" w:fill="auto"/>
              </w:rPr>
              <w:t>、生活垃圾等</w:t>
            </w:r>
          </w:p>
        </w:tc>
      </w:tr>
    </w:tbl>
    <w:p>
      <w:pPr>
        <w:pStyle w:val="5"/>
        <w:rPr>
          <w:color w:val="auto"/>
          <w:shd w:val="clear" w:color="auto" w:fill="auto"/>
        </w:rPr>
      </w:pPr>
      <w:r>
        <w:rPr>
          <w:rFonts w:hint="eastAsia"/>
          <w:color w:val="auto"/>
          <w:shd w:val="clear" w:color="auto" w:fill="auto"/>
        </w:rPr>
        <w:t>1.3.2 评价标准</w:t>
      </w:r>
    </w:p>
    <w:p>
      <w:pPr>
        <w:ind w:firstLine="480"/>
        <w:rPr>
          <w:color w:val="auto"/>
          <w:highlight w:val="none"/>
          <w:shd w:val="clear" w:color="auto" w:fill="auto"/>
        </w:rPr>
      </w:pPr>
      <w:r>
        <w:rPr>
          <w:color w:val="auto"/>
          <w:shd w:val="clear" w:color="auto" w:fill="auto"/>
        </w:rPr>
        <w:t>本项目环境评价所采用的评价标准已经</w:t>
      </w:r>
      <w:r>
        <w:rPr>
          <w:rFonts w:hint="eastAsia"/>
          <w:color w:val="auto"/>
          <w:shd w:val="clear" w:color="auto" w:fill="auto"/>
          <w:lang w:eastAsia="zh-CN"/>
        </w:rPr>
        <w:t>太和县生态环境分局</w:t>
      </w:r>
      <w:r>
        <w:rPr>
          <w:color w:val="auto"/>
          <w:shd w:val="clear" w:color="auto" w:fill="auto"/>
        </w:rPr>
        <w:t>确认，</w:t>
      </w:r>
      <w:r>
        <w:rPr>
          <w:color w:val="auto"/>
          <w:highlight w:val="none"/>
          <w:shd w:val="clear" w:color="auto" w:fill="auto"/>
        </w:rPr>
        <w:t>标准确认函见附件</w:t>
      </w:r>
      <w:r>
        <w:rPr>
          <w:rFonts w:hint="eastAsia"/>
          <w:color w:val="auto"/>
          <w:highlight w:val="none"/>
          <w:shd w:val="clear" w:color="auto" w:fill="auto"/>
          <w:lang w:val="en-US" w:eastAsia="zh-CN"/>
        </w:rPr>
        <w:t>8</w:t>
      </w:r>
      <w:r>
        <w:rPr>
          <w:color w:val="auto"/>
          <w:highlight w:val="none"/>
          <w:shd w:val="clear" w:color="auto" w:fill="auto"/>
        </w:rPr>
        <w:t>。</w:t>
      </w:r>
    </w:p>
    <w:p>
      <w:pPr>
        <w:pStyle w:val="6"/>
        <w:rPr>
          <w:color w:val="auto"/>
          <w:shd w:val="clear" w:color="auto" w:fill="auto"/>
        </w:rPr>
      </w:pPr>
      <w:bookmarkStart w:id="51" w:name="_Toc11764"/>
      <w:r>
        <w:rPr>
          <w:rFonts w:hint="eastAsia"/>
          <w:color w:val="auto"/>
          <w:shd w:val="clear" w:color="auto" w:fill="auto"/>
        </w:rPr>
        <w:t xml:space="preserve">1.3.2.1 </w:t>
      </w:r>
      <w:r>
        <w:rPr>
          <w:color w:val="auto"/>
          <w:shd w:val="clear" w:color="auto" w:fill="auto"/>
        </w:rPr>
        <w:t>环境质量标准</w:t>
      </w:r>
      <w:bookmarkEnd w:id="51"/>
    </w:p>
    <w:p>
      <w:pPr>
        <w:ind w:firstLine="480"/>
        <w:rPr>
          <w:color w:val="auto"/>
          <w:shd w:val="clear" w:color="auto" w:fill="auto"/>
        </w:rPr>
      </w:pPr>
      <w:r>
        <w:rPr>
          <w:rFonts w:hint="eastAsia"/>
          <w:color w:val="auto"/>
          <w:shd w:val="clear" w:color="auto" w:fill="auto"/>
        </w:rPr>
        <w:t>1、</w:t>
      </w:r>
      <w:r>
        <w:rPr>
          <w:color w:val="auto"/>
          <w:shd w:val="clear" w:color="auto" w:fill="auto"/>
        </w:rPr>
        <w:t>环境空气质量标准</w:t>
      </w:r>
    </w:p>
    <w:p>
      <w:pPr>
        <w:ind w:firstLine="480"/>
        <w:rPr>
          <w:color w:val="auto"/>
          <w:shd w:val="clear" w:color="auto" w:fill="auto"/>
        </w:rPr>
      </w:pPr>
      <w:r>
        <w:rPr>
          <w:color w:val="auto"/>
          <w:shd w:val="clear" w:color="auto" w:fill="auto"/>
        </w:rPr>
        <w:t>评价区域内环境空气质量执行《环境空气质量标准》（GB3095-2012）二级标准限值，具体值见表1.</w:t>
      </w:r>
      <w:r>
        <w:rPr>
          <w:rFonts w:hint="eastAsia"/>
          <w:color w:val="auto"/>
          <w:shd w:val="clear" w:color="auto" w:fill="auto"/>
        </w:rPr>
        <w:t>3</w:t>
      </w:r>
      <w:r>
        <w:rPr>
          <w:color w:val="auto"/>
          <w:shd w:val="clear" w:color="auto" w:fill="auto"/>
        </w:rPr>
        <w:t>-</w:t>
      </w:r>
      <w:r>
        <w:rPr>
          <w:rFonts w:hint="eastAsia"/>
          <w:color w:val="auto"/>
          <w:shd w:val="clear" w:color="auto" w:fill="auto"/>
        </w:rPr>
        <w:t>2</w:t>
      </w:r>
      <w:r>
        <w:rPr>
          <w:color w:val="auto"/>
          <w:shd w:val="clear" w:color="auto" w:fill="auto"/>
        </w:rPr>
        <w:t>。</w:t>
      </w:r>
    </w:p>
    <w:p>
      <w:pPr>
        <w:pStyle w:val="43"/>
        <w:rPr>
          <w:color w:val="auto"/>
          <w:shd w:val="clear" w:color="auto" w:fill="auto"/>
        </w:rPr>
      </w:pPr>
      <w:r>
        <w:rPr>
          <w:color w:val="auto"/>
          <w:shd w:val="clear" w:color="auto" w:fill="auto"/>
        </w:rPr>
        <w:t>表1.</w:t>
      </w:r>
      <w:r>
        <w:rPr>
          <w:rFonts w:hint="eastAsia"/>
          <w:color w:val="auto"/>
          <w:shd w:val="clear" w:color="auto" w:fill="auto"/>
        </w:rPr>
        <w:t>3</w:t>
      </w:r>
      <w:r>
        <w:rPr>
          <w:color w:val="auto"/>
          <w:shd w:val="clear" w:color="auto" w:fill="auto"/>
        </w:rPr>
        <w:t>-</w:t>
      </w:r>
      <w:r>
        <w:rPr>
          <w:rFonts w:hint="eastAsia"/>
          <w:color w:val="auto"/>
          <w:shd w:val="clear" w:color="auto" w:fill="auto"/>
        </w:rPr>
        <w:t xml:space="preserve">2 </w:t>
      </w:r>
      <w:r>
        <w:rPr>
          <w:color w:val="auto"/>
          <w:shd w:val="clear" w:color="auto" w:fill="auto"/>
        </w:rPr>
        <w:t>环境空气质量标准限值</w:t>
      </w:r>
      <w:r>
        <w:rPr>
          <w:rFonts w:hint="eastAsia"/>
          <w:color w:val="auto"/>
          <w:shd w:val="clear" w:color="auto" w:fill="auto"/>
        </w:rPr>
        <w:t xml:space="preserve">  单位：u</w:t>
      </w:r>
      <w:r>
        <w:rPr>
          <w:color w:val="auto"/>
          <w:shd w:val="clear" w:color="auto" w:fill="auto"/>
        </w:rPr>
        <w:t>g/</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p>
    <w:tbl>
      <w:tblPr>
        <w:tblStyle w:val="27"/>
        <w:tblW w:w="8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6"/>
        <w:gridCol w:w="2236"/>
        <w:gridCol w:w="2237"/>
        <w:gridCol w:w="22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6" w:type="dxa"/>
            <w:vAlign w:val="center"/>
          </w:tcPr>
          <w:p>
            <w:pPr>
              <w:pStyle w:val="44"/>
              <w:rPr>
                <w:color w:val="auto"/>
                <w:shd w:val="clear" w:color="auto" w:fill="auto"/>
              </w:rPr>
            </w:pPr>
            <w:r>
              <w:rPr>
                <w:color w:val="auto"/>
                <w:shd w:val="clear" w:color="auto" w:fill="auto"/>
              </w:rPr>
              <w:t>污染物名称</w:t>
            </w:r>
          </w:p>
        </w:tc>
        <w:tc>
          <w:tcPr>
            <w:tcW w:w="2236" w:type="dxa"/>
            <w:vAlign w:val="center"/>
          </w:tcPr>
          <w:p>
            <w:pPr>
              <w:pStyle w:val="44"/>
              <w:rPr>
                <w:color w:val="auto"/>
                <w:shd w:val="clear" w:color="auto" w:fill="auto"/>
              </w:rPr>
            </w:pPr>
            <w:r>
              <w:rPr>
                <w:color w:val="auto"/>
                <w:shd w:val="clear" w:color="auto" w:fill="auto"/>
              </w:rPr>
              <w:t>取值时间</w:t>
            </w:r>
          </w:p>
        </w:tc>
        <w:tc>
          <w:tcPr>
            <w:tcW w:w="2237" w:type="dxa"/>
            <w:vAlign w:val="center"/>
          </w:tcPr>
          <w:p>
            <w:pPr>
              <w:pStyle w:val="44"/>
              <w:rPr>
                <w:color w:val="auto"/>
                <w:shd w:val="clear" w:color="auto" w:fill="auto"/>
              </w:rPr>
            </w:pPr>
            <w:r>
              <w:rPr>
                <w:color w:val="auto"/>
                <w:shd w:val="clear" w:color="auto" w:fill="auto"/>
              </w:rPr>
              <w:t>浓度限值</w:t>
            </w:r>
          </w:p>
        </w:tc>
        <w:tc>
          <w:tcPr>
            <w:tcW w:w="2237" w:type="dxa"/>
            <w:vAlign w:val="center"/>
          </w:tcPr>
          <w:p>
            <w:pPr>
              <w:pStyle w:val="44"/>
              <w:rPr>
                <w:color w:val="auto"/>
                <w:shd w:val="clear" w:color="auto" w:fill="auto"/>
              </w:rPr>
            </w:pPr>
            <w:r>
              <w:rPr>
                <w:color w:val="auto"/>
                <w:shd w:val="clear" w:color="auto" w:fill="auto"/>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6" w:type="dxa"/>
            <w:vMerge w:val="restart"/>
            <w:vAlign w:val="center"/>
          </w:tcPr>
          <w:p>
            <w:pPr>
              <w:pStyle w:val="44"/>
              <w:rPr>
                <w:color w:val="auto"/>
                <w:shd w:val="clear" w:color="auto" w:fill="auto"/>
              </w:rPr>
            </w:pPr>
            <w:r>
              <w:rPr>
                <w:rFonts w:hint="eastAsia"/>
                <w:color w:val="auto"/>
                <w:shd w:val="clear" w:color="auto" w:fill="auto"/>
              </w:rPr>
              <w:t>SO</w:t>
            </w:r>
            <w:r>
              <w:rPr>
                <w:rFonts w:hint="eastAsia"/>
                <w:color w:val="auto"/>
                <w:shd w:val="clear" w:color="auto" w:fill="auto"/>
                <w:vertAlign w:val="subscript"/>
              </w:rPr>
              <w:t>2</w:t>
            </w:r>
          </w:p>
        </w:tc>
        <w:tc>
          <w:tcPr>
            <w:tcW w:w="2236" w:type="dxa"/>
            <w:vAlign w:val="center"/>
          </w:tcPr>
          <w:p>
            <w:pPr>
              <w:pStyle w:val="44"/>
              <w:rPr>
                <w:color w:val="auto"/>
                <w:shd w:val="clear" w:color="auto" w:fill="auto"/>
              </w:rPr>
            </w:pPr>
            <w:r>
              <w:rPr>
                <w:rFonts w:hint="eastAsia"/>
                <w:color w:val="auto"/>
                <w:shd w:val="clear" w:color="auto" w:fill="auto"/>
              </w:rPr>
              <w:t>日</w:t>
            </w:r>
            <w:r>
              <w:rPr>
                <w:color w:val="auto"/>
                <w:shd w:val="clear" w:color="auto" w:fill="auto"/>
              </w:rPr>
              <w:t>平均</w:t>
            </w:r>
          </w:p>
        </w:tc>
        <w:tc>
          <w:tcPr>
            <w:tcW w:w="2237" w:type="dxa"/>
            <w:vAlign w:val="center"/>
          </w:tcPr>
          <w:p>
            <w:pPr>
              <w:pStyle w:val="44"/>
              <w:rPr>
                <w:color w:val="auto"/>
                <w:shd w:val="clear" w:color="auto" w:fill="auto"/>
              </w:rPr>
            </w:pPr>
            <w:r>
              <w:rPr>
                <w:rFonts w:hint="eastAsia"/>
                <w:color w:val="auto"/>
                <w:shd w:val="clear" w:color="auto" w:fill="auto"/>
              </w:rPr>
              <w:t>150</w:t>
            </w:r>
          </w:p>
        </w:tc>
        <w:tc>
          <w:tcPr>
            <w:tcW w:w="2237" w:type="dxa"/>
            <w:vMerge w:val="restart"/>
            <w:vAlign w:val="center"/>
          </w:tcPr>
          <w:p>
            <w:pPr>
              <w:pStyle w:val="44"/>
              <w:rPr>
                <w:color w:val="auto"/>
                <w:shd w:val="clear" w:color="auto" w:fill="auto"/>
              </w:rPr>
            </w:pPr>
            <w:r>
              <w:rPr>
                <w:rFonts w:hint="eastAsia"/>
                <w:color w:val="auto"/>
                <w:shd w:val="clear" w:color="auto" w:fill="auto"/>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6" w:type="dxa"/>
            <w:vMerge w:val="continue"/>
            <w:vAlign w:val="center"/>
          </w:tcPr>
          <w:p>
            <w:pPr>
              <w:pStyle w:val="44"/>
              <w:rPr>
                <w:color w:val="auto"/>
                <w:shd w:val="clear" w:color="auto" w:fill="auto"/>
              </w:rPr>
            </w:pPr>
          </w:p>
        </w:tc>
        <w:tc>
          <w:tcPr>
            <w:tcW w:w="2236" w:type="dxa"/>
            <w:vAlign w:val="center"/>
          </w:tcPr>
          <w:p>
            <w:pPr>
              <w:pStyle w:val="44"/>
              <w:rPr>
                <w:color w:val="auto"/>
                <w:shd w:val="clear" w:color="auto" w:fill="auto"/>
              </w:rPr>
            </w:pPr>
            <w:r>
              <w:rPr>
                <w:color w:val="auto"/>
                <w:shd w:val="clear" w:color="auto" w:fill="auto"/>
              </w:rPr>
              <w:t>小时平均</w:t>
            </w:r>
          </w:p>
        </w:tc>
        <w:tc>
          <w:tcPr>
            <w:tcW w:w="2237" w:type="dxa"/>
            <w:vAlign w:val="center"/>
          </w:tcPr>
          <w:p>
            <w:pPr>
              <w:pStyle w:val="44"/>
              <w:rPr>
                <w:color w:val="auto"/>
                <w:shd w:val="clear" w:color="auto" w:fill="auto"/>
              </w:rPr>
            </w:pPr>
            <w:r>
              <w:rPr>
                <w:rFonts w:hint="eastAsia"/>
                <w:color w:val="auto"/>
                <w:shd w:val="clear" w:color="auto" w:fill="auto"/>
              </w:rPr>
              <w:t>500</w:t>
            </w:r>
          </w:p>
        </w:tc>
        <w:tc>
          <w:tcPr>
            <w:tcW w:w="2237" w:type="dxa"/>
            <w:vMerge w:val="continue"/>
            <w:vAlign w:val="center"/>
          </w:tcPr>
          <w:p>
            <w:pPr>
              <w:pStyle w:val="44"/>
              <w:rPr>
                <w:color w:val="auto"/>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6" w:type="dxa"/>
            <w:vMerge w:val="restart"/>
            <w:vAlign w:val="center"/>
          </w:tcPr>
          <w:p>
            <w:pPr>
              <w:pStyle w:val="44"/>
              <w:rPr>
                <w:color w:val="auto"/>
                <w:shd w:val="clear" w:color="auto" w:fill="auto"/>
              </w:rPr>
            </w:pPr>
            <w:r>
              <w:rPr>
                <w:rFonts w:hint="eastAsia"/>
                <w:color w:val="auto"/>
                <w:shd w:val="clear" w:color="auto" w:fill="auto"/>
              </w:rPr>
              <w:t>NO</w:t>
            </w:r>
            <w:r>
              <w:rPr>
                <w:rFonts w:hint="eastAsia"/>
                <w:color w:val="auto"/>
                <w:shd w:val="clear" w:color="auto" w:fill="auto"/>
                <w:vertAlign w:val="subscript"/>
              </w:rPr>
              <w:t>2</w:t>
            </w:r>
          </w:p>
        </w:tc>
        <w:tc>
          <w:tcPr>
            <w:tcW w:w="2236" w:type="dxa"/>
            <w:vAlign w:val="center"/>
          </w:tcPr>
          <w:p>
            <w:pPr>
              <w:pStyle w:val="44"/>
              <w:rPr>
                <w:color w:val="auto"/>
                <w:shd w:val="clear" w:color="auto" w:fill="auto"/>
              </w:rPr>
            </w:pPr>
            <w:r>
              <w:rPr>
                <w:rFonts w:hint="eastAsia"/>
                <w:color w:val="auto"/>
                <w:shd w:val="clear" w:color="auto" w:fill="auto"/>
              </w:rPr>
              <w:t>日</w:t>
            </w:r>
            <w:r>
              <w:rPr>
                <w:color w:val="auto"/>
                <w:shd w:val="clear" w:color="auto" w:fill="auto"/>
              </w:rPr>
              <w:t>平均</w:t>
            </w:r>
          </w:p>
        </w:tc>
        <w:tc>
          <w:tcPr>
            <w:tcW w:w="2237" w:type="dxa"/>
            <w:vAlign w:val="center"/>
          </w:tcPr>
          <w:p>
            <w:pPr>
              <w:pStyle w:val="44"/>
              <w:rPr>
                <w:color w:val="auto"/>
                <w:shd w:val="clear" w:color="auto" w:fill="auto"/>
              </w:rPr>
            </w:pPr>
            <w:r>
              <w:rPr>
                <w:rFonts w:hint="eastAsia"/>
                <w:color w:val="auto"/>
                <w:shd w:val="clear" w:color="auto" w:fill="auto"/>
              </w:rPr>
              <w:t>80</w:t>
            </w:r>
          </w:p>
        </w:tc>
        <w:tc>
          <w:tcPr>
            <w:tcW w:w="2237" w:type="dxa"/>
            <w:vMerge w:val="continue"/>
            <w:vAlign w:val="center"/>
          </w:tcPr>
          <w:p>
            <w:pPr>
              <w:pStyle w:val="44"/>
              <w:rPr>
                <w:color w:val="auto"/>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6" w:type="dxa"/>
            <w:vMerge w:val="continue"/>
            <w:vAlign w:val="center"/>
          </w:tcPr>
          <w:p>
            <w:pPr>
              <w:pStyle w:val="44"/>
              <w:rPr>
                <w:color w:val="auto"/>
                <w:shd w:val="clear" w:color="auto" w:fill="auto"/>
              </w:rPr>
            </w:pPr>
          </w:p>
        </w:tc>
        <w:tc>
          <w:tcPr>
            <w:tcW w:w="2236" w:type="dxa"/>
            <w:vAlign w:val="center"/>
          </w:tcPr>
          <w:p>
            <w:pPr>
              <w:pStyle w:val="44"/>
              <w:rPr>
                <w:color w:val="auto"/>
                <w:shd w:val="clear" w:color="auto" w:fill="auto"/>
              </w:rPr>
            </w:pPr>
            <w:r>
              <w:rPr>
                <w:color w:val="auto"/>
                <w:shd w:val="clear" w:color="auto" w:fill="auto"/>
              </w:rPr>
              <w:t>小时平均</w:t>
            </w:r>
          </w:p>
        </w:tc>
        <w:tc>
          <w:tcPr>
            <w:tcW w:w="2237" w:type="dxa"/>
            <w:vAlign w:val="center"/>
          </w:tcPr>
          <w:p>
            <w:pPr>
              <w:pStyle w:val="44"/>
              <w:rPr>
                <w:color w:val="auto"/>
                <w:shd w:val="clear" w:color="auto" w:fill="auto"/>
              </w:rPr>
            </w:pPr>
            <w:r>
              <w:rPr>
                <w:rFonts w:hint="eastAsia"/>
                <w:color w:val="auto"/>
                <w:shd w:val="clear" w:color="auto" w:fill="auto"/>
              </w:rPr>
              <w:t>200</w:t>
            </w:r>
          </w:p>
        </w:tc>
        <w:tc>
          <w:tcPr>
            <w:tcW w:w="2237" w:type="dxa"/>
            <w:vMerge w:val="continue"/>
            <w:vAlign w:val="center"/>
          </w:tcPr>
          <w:p>
            <w:pPr>
              <w:pStyle w:val="44"/>
              <w:rPr>
                <w:color w:val="auto"/>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6" w:type="dxa"/>
            <w:vMerge w:val="restart"/>
            <w:vAlign w:val="center"/>
          </w:tcPr>
          <w:p>
            <w:pPr>
              <w:pStyle w:val="44"/>
              <w:rPr>
                <w:color w:val="auto"/>
                <w:shd w:val="clear" w:color="auto" w:fill="auto"/>
              </w:rPr>
            </w:pPr>
            <w:r>
              <w:rPr>
                <w:rFonts w:hint="eastAsia"/>
                <w:color w:val="auto"/>
                <w:shd w:val="clear" w:color="auto" w:fill="auto"/>
                <w:lang w:eastAsia="zh-CN"/>
              </w:rPr>
              <w:t>PM</w:t>
            </w:r>
            <w:r>
              <w:rPr>
                <w:rFonts w:hint="eastAsia"/>
                <w:color w:val="auto"/>
                <w:shd w:val="clear" w:color="auto" w:fill="auto"/>
                <w:vertAlign w:val="subscript"/>
              </w:rPr>
              <w:t>10</w:t>
            </w:r>
          </w:p>
        </w:tc>
        <w:tc>
          <w:tcPr>
            <w:tcW w:w="2236" w:type="dxa"/>
            <w:vAlign w:val="center"/>
          </w:tcPr>
          <w:p>
            <w:pPr>
              <w:pStyle w:val="44"/>
              <w:rPr>
                <w:rFonts w:hint="eastAsia" w:eastAsia="宋体"/>
                <w:color w:val="auto"/>
                <w:shd w:val="clear" w:color="auto" w:fill="auto"/>
                <w:lang w:eastAsia="zh-CN"/>
              </w:rPr>
            </w:pPr>
            <w:r>
              <w:rPr>
                <w:rFonts w:hint="eastAsia"/>
                <w:color w:val="auto"/>
                <w:shd w:val="clear" w:color="auto" w:fill="auto"/>
                <w:lang w:val="en-US" w:eastAsia="zh-CN"/>
              </w:rPr>
              <w:t>年均</w:t>
            </w:r>
          </w:p>
        </w:tc>
        <w:tc>
          <w:tcPr>
            <w:tcW w:w="2237" w:type="dxa"/>
            <w:vAlign w:val="center"/>
          </w:tcPr>
          <w:p>
            <w:pPr>
              <w:pStyle w:val="44"/>
              <w:rPr>
                <w:rFonts w:hint="default" w:eastAsia="宋体"/>
                <w:color w:val="auto"/>
                <w:shd w:val="clear" w:color="auto" w:fill="auto"/>
                <w:lang w:val="en-US" w:eastAsia="zh-CN"/>
              </w:rPr>
            </w:pPr>
            <w:r>
              <w:rPr>
                <w:rFonts w:hint="eastAsia"/>
                <w:color w:val="auto"/>
                <w:shd w:val="clear" w:color="auto" w:fill="auto"/>
                <w:lang w:val="en-US" w:eastAsia="zh-CN"/>
              </w:rPr>
              <w:t>70</w:t>
            </w:r>
          </w:p>
        </w:tc>
        <w:tc>
          <w:tcPr>
            <w:tcW w:w="2237" w:type="dxa"/>
            <w:vMerge w:val="continue"/>
            <w:vAlign w:val="center"/>
          </w:tcPr>
          <w:p>
            <w:pPr>
              <w:pStyle w:val="44"/>
              <w:rPr>
                <w:color w:val="auto"/>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6" w:type="dxa"/>
            <w:vMerge w:val="continue"/>
            <w:vAlign w:val="center"/>
          </w:tcPr>
          <w:p>
            <w:pPr>
              <w:pStyle w:val="44"/>
              <w:ind w:firstLine="0" w:firstLineChars="0"/>
              <w:rPr>
                <w:rFonts w:hint="default" w:eastAsia="宋体"/>
                <w:color w:val="auto"/>
                <w:shd w:val="clear" w:color="auto" w:fill="auto"/>
                <w:lang w:val="en-US" w:eastAsia="zh-CN"/>
              </w:rPr>
            </w:pPr>
          </w:p>
        </w:tc>
        <w:tc>
          <w:tcPr>
            <w:tcW w:w="2236" w:type="dxa"/>
            <w:vAlign w:val="center"/>
          </w:tcPr>
          <w:p>
            <w:pPr>
              <w:pStyle w:val="44"/>
              <w:ind w:firstLine="0" w:firstLineChars="0"/>
              <w:rPr>
                <w:rFonts w:hint="eastAsia"/>
                <w:color w:val="auto"/>
                <w:shd w:val="clear" w:color="auto" w:fill="auto"/>
              </w:rPr>
            </w:pPr>
            <w:r>
              <w:rPr>
                <w:rFonts w:hint="eastAsia"/>
                <w:color w:val="auto"/>
                <w:shd w:val="clear" w:color="auto" w:fill="auto"/>
              </w:rPr>
              <w:t>日</w:t>
            </w:r>
            <w:r>
              <w:rPr>
                <w:color w:val="auto"/>
                <w:shd w:val="clear" w:color="auto" w:fill="auto"/>
              </w:rPr>
              <w:t>平均</w:t>
            </w:r>
          </w:p>
        </w:tc>
        <w:tc>
          <w:tcPr>
            <w:tcW w:w="2237" w:type="dxa"/>
            <w:vAlign w:val="center"/>
          </w:tcPr>
          <w:p>
            <w:pPr>
              <w:pStyle w:val="44"/>
              <w:rPr>
                <w:rFonts w:hint="default" w:eastAsia="宋体"/>
                <w:color w:val="auto"/>
                <w:shd w:val="clear" w:color="auto" w:fill="auto"/>
                <w:lang w:val="en-US" w:eastAsia="zh-CN"/>
              </w:rPr>
            </w:pPr>
            <w:r>
              <w:rPr>
                <w:rFonts w:hint="eastAsia"/>
                <w:color w:val="auto"/>
                <w:shd w:val="clear" w:color="auto" w:fill="auto"/>
                <w:lang w:val="en-US" w:eastAsia="zh-CN"/>
              </w:rPr>
              <w:t>150</w:t>
            </w:r>
          </w:p>
        </w:tc>
        <w:tc>
          <w:tcPr>
            <w:tcW w:w="2237" w:type="dxa"/>
            <w:vMerge w:val="continue"/>
            <w:vAlign w:val="center"/>
          </w:tcPr>
          <w:p>
            <w:pPr>
              <w:pStyle w:val="44"/>
              <w:rPr>
                <w:color w:val="auto"/>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6" w:type="dxa"/>
            <w:vMerge w:val="restart"/>
            <w:vAlign w:val="center"/>
          </w:tcPr>
          <w:p>
            <w:pPr>
              <w:pStyle w:val="44"/>
              <w:ind w:firstLine="0" w:firstLineChars="0"/>
              <w:rPr>
                <w:rFonts w:hint="eastAsia"/>
                <w:color w:val="auto"/>
                <w:shd w:val="clear" w:color="auto" w:fill="auto"/>
              </w:rPr>
            </w:pPr>
            <w:r>
              <w:rPr>
                <w:rFonts w:hint="eastAsia"/>
                <w:color w:val="auto"/>
                <w:shd w:val="clear" w:color="auto" w:fill="auto"/>
                <w:lang w:eastAsia="zh-CN"/>
              </w:rPr>
              <w:t>PM</w:t>
            </w:r>
            <w:r>
              <w:rPr>
                <w:rFonts w:hint="eastAsia"/>
                <w:color w:val="auto"/>
                <w:shd w:val="clear" w:color="auto" w:fill="auto"/>
                <w:vertAlign w:val="subscript"/>
                <w:lang w:eastAsia="zh-CN"/>
              </w:rPr>
              <w:t>2.5</w:t>
            </w:r>
          </w:p>
        </w:tc>
        <w:tc>
          <w:tcPr>
            <w:tcW w:w="2236" w:type="dxa"/>
            <w:vAlign w:val="center"/>
          </w:tcPr>
          <w:p>
            <w:pPr>
              <w:pStyle w:val="44"/>
              <w:ind w:firstLine="0" w:firstLineChars="0"/>
              <w:rPr>
                <w:rFonts w:hint="eastAsia" w:eastAsia="宋体"/>
                <w:color w:val="auto"/>
                <w:shd w:val="clear" w:color="auto" w:fill="auto"/>
                <w:lang w:val="en-US" w:eastAsia="zh-CN"/>
              </w:rPr>
            </w:pPr>
            <w:r>
              <w:rPr>
                <w:rFonts w:hint="eastAsia"/>
                <w:color w:val="auto"/>
                <w:shd w:val="clear" w:color="auto" w:fill="auto"/>
                <w:lang w:val="en-US" w:eastAsia="zh-CN"/>
              </w:rPr>
              <w:t>年均</w:t>
            </w:r>
          </w:p>
        </w:tc>
        <w:tc>
          <w:tcPr>
            <w:tcW w:w="2237" w:type="dxa"/>
            <w:vAlign w:val="center"/>
          </w:tcPr>
          <w:p>
            <w:pPr>
              <w:pStyle w:val="44"/>
              <w:rPr>
                <w:rFonts w:hint="default" w:eastAsia="宋体"/>
                <w:color w:val="auto"/>
                <w:shd w:val="clear" w:color="auto" w:fill="auto"/>
                <w:lang w:val="en-US" w:eastAsia="zh-CN"/>
              </w:rPr>
            </w:pPr>
            <w:r>
              <w:rPr>
                <w:rFonts w:hint="eastAsia"/>
                <w:color w:val="auto"/>
                <w:shd w:val="clear" w:color="auto" w:fill="auto"/>
                <w:lang w:val="en-US" w:eastAsia="zh-CN"/>
              </w:rPr>
              <w:t>35</w:t>
            </w:r>
          </w:p>
        </w:tc>
        <w:tc>
          <w:tcPr>
            <w:tcW w:w="2237" w:type="dxa"/>
            <w:vMerge w:val="continue"/>
            <w:vAlign w:val="center"/>
          </w:tcPr>
          <w:p>
            <w:pPr>
              <w:pStyle w:val="44"/>
              <w:rPr>
                <w:color w:val="auto"/>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6" w:type="dxa"/>
            <w:vMerge w:val="continue"/>
            <w:vAlign w:val="center"/>
          </w:tcPr>
          <w:p>
            <w:pPr>
              <w:pStyle w:val="44"/>
              <w:ind w:firstLine="0" w:firstLineChars="0"/>
              <w:rPr>
                <w:rFonts w:hint="eastAsia"/>
                <w:color w:val="auto"/>
                <w:shd w:val="clear" w:color="auto" w:fill="auto"/>
              </w:rPr>
            </w:pPr>
          </w:p>
        </w:tc>
        <w:tc>
          <w:tcPr>
            <w:tcW w:w="2236" w:type="dxa"/>
            <w:vAlign w:val="center"/>
          </w:tcPr>
          <w:p>
            <w:pPr>
              <w:pStyle w:val="44"/>
              <w:ind w:firstLine="0" w:firstLineChars="0"/>
              <w:rPr>
                <w:rFonts w:hint="eastAsia" w:eastAsia="宋体"/>
                <w:color w:val="auto"/>
                <w:shd w:val="clear" w:color="auto" w:fill="auto"/>
                <w:lang w:val="en-US" w:eastAsia="zh-CN"/>
              </w:rPr>
            </w:pPr>
            <w:r>
              <w:rPr>
                <w:rFonts w:hint="eastAsia"/>
                <w:color w:val="auto"/>
                <w:shd w:val="clear" w:color="auto" w:fill="auto"/>
                <w:lang w:val="en-US" w:eastAsia="zh-CN"/>
              </w:rPr>
              <w:t>日均</w:t>
            </w:r>
          </w:p>
        </w:tc>
        <w:tc>
          <w:tcPr>
            <w:tcW w:w="2237" w:type="dxa"/>
            <w:vAlign w:val="center"/>
          </w:tcPr>
          <w:p>
            <w:pPr>
              <w:pStyle w:val="44"/>
              <w:rPr>
                <w:rFonts w:hint="default" w:eastAsia="宋体"/>
                <w:color w:val="auto"/>
                <w:shd w:val="clear" w:color="auto" w:fill="auto"/>
                <w:lang w:val="en-US" w:eastAsia="zh-CN"/>
              </w:rPr>
            </w:pPr>
            <w:r>
              <w:rPr>
                <w:rFonts w:hint="eastAsia"/>
                <w:color w:val="auto"/>
                <w:shd w:val="clear" w:color="auto" w:fill="auto"/>
                <w:lang w:val="en-US" w:eastAsia="zh-CN"/>
              </w:rPr>
              <w:t>75</w:t>
            </w:r>
          </w:p>
        </w:tc>
        <w:tc>
          <w:tcPr>
            <w:tcW w:w="2237" w:type="dxa"/>
            <w:vMerge w:val="continue"/>
            <w:vAlign w:val="center"/>
          </w:tcPr>
          <w:p>
            <w:pPr>
              <w:pStyle w:val="44"/>
              <w:rPr>
                <w:color w:val="auto"/>
                <w:shd w:val="clear" w:color="auto" w:fill="auto"/>
              </w:rPr>
            </w:pPr>
          </w:p>
        </w:tc>
      </w:tr>
    </w:tbl>
    <w:p>
      <w:pPr>
        <w:keepNext w:val="0"/>
        <w:keepLines w:val="0"/>
        <w:pageBreakBefore w:val="0"/>
        <w:widowControl w:val="0"/>
        <w:kinsoku/>
        <w:wordWrap/>
        <w:overflowPunct/>
        <w:topLinePunct w:val="0"/>
        <w:autoSpaceDE/>
        <w:autoSpaceDN/>
        <w:bidi w:val="0"/>
        <w:adjustRightInd/>
        <w:snapToGrid/>
        <w:spacing w:before="157" w:beforeLines="50"/>
        <w:ind w:firstLine="480"/>
        <w:textAlignment w:val="auto"/>
        <w:outlineLvl w:val="9"/>
        <w:rPr>
          <w:color w:val="auto"/>
          <w:shd w:val="clear" w:color="auto" w:fill="auto"/>
        </w:rPr>
      </w:pPr>
      <w:r>
        <w:rPr>
          <w:rFonts w:hint="eastAsia"/>
          <w:color w:val="auto"/>
          <w:shd w:val="clear" w:color="auto" w:fill="auto"/>
        </w:rPr>
        <w:t>2、</w:t>
      </w:r>
      <w:r>
        <w:rPr>
          <w:color w:val="auto"/>
          <w:shd w:val="clear" w:color="auto" w:fill="auto"/>
        </w:rPr>
        <w:t>地表水环境质量标准</w:t>
      </w:r>
    </w:p>
    <w:p>
      <w:pPr>
        <w:ind w:firstLine="480"/>
        <w:rPr>
          <w:color w:val="auto"/>
          <w:shd w:val="clear" w:color="auto" w:fill="auto"/>
        </w:rPr>
      </w:pPr>
      <w:r>
        <w:rPr>
          <w:color w:val="auto"/>
          <w:shd w:val="clear" w:color="auto" w:fill="auto"/>
        </w:rPr>
        <w:t>评价区域内</w:t>
      </w:r>
      <w:r>
        <w:rPr>
          <w:rFonts w:hint="eastAsia"/>
          <w:color w:val="auto"/>
          <w:shd w:val="clear" w:color="auto" w:fill="auto"/>
        </w:rPr>
        <w:t>地表水环境</w:t>
      </w:r>
      <w:r>
        <w:rPr>
          <w:color w:val="auto"/>
          <w:shd w:val="clear" w:color="auto" w:fill="auto"/>
        </w:rPr>
        <w:t>质量执行《地表水环境质量标准》（GB3838-2002）</w:t>
      </w:r>
      <w:r>
        <w:rPr>
          <w:rFonts w:hint="eastAsia" w:ascii="宋体" w:hAnsi="宋体" w:cs="宋体"/>
          <w:color w:val="auto"/>
          <w:shd w:val="clear" w:color="auto" w:fill="auto"/>
        </w:rPr>
        <w:t>Ⅳ</w:t>
      </w:r>
      <w:r>
        <w:rPr>
          <w:color w:val="auto"/>
          <w:shd w:val="clear" w:color="auto" w:fill="auto"/>
        </w:rPr>
        <w:t>类标准，SS执行《地表水资源质量标准》（SL63-1994)中相关标准</w:t>
      </w:r>
      <w:r>
        <w:rPr>
          <w:rFonts w:hint="eastAsia"/>
          <w:color w:val="auto"/>
          <w:shd w:val="clear" w:color="auto" w:fill="auto"/>
        </w:rPr>
        <w:t>，</w:t>
      </w:r>
      <w:r>
        <w:rPr>
          <w:color w:val="auto"/>
          <w:shd w:val="clear" w:color="auto" w:fill="auto"/>
        </w:rPr>
        <w:t>详见表1.</w:t>
      </w:r>
      <w:r>
        <w:rPr>
          <w:rFonts w:hint="eastAsia"/>
          <w:color w:val="auto"/>
          <w:shd w:val="clear" w:color="auto" w:fill="auto"/>
        </w:rPr>
        <w:t>3</w:t>
      </w:r>
      <w:r>
        <w:rPr>
          <w:color w:val="auto"/>
          <w:shd w:val="clear" w:color="auto" w:fill="auto"/>
        </w:rPr>
        <w:t>-</w:t>
      </w:r>
      <w:r>
        <w:rPr>
          <w:rFonts w:hint="eastAsia"/>
          <w:color w:val="auto"/>
          <w:shd w:val="clear" w:color="auto" w:fill="auto"/>
        </w:rPr>
        <w:t>3</w:t>
      </w:r>
      <w:r>
        <w:rPr>
          <w:color w:val="auto"/>
          <w:shd w:val="clear" w:color="auto" w:fill="auto"/>
        </w:rPr>
        <w:t>。</w:t>
      </w:r>
    </w:p>
    <w:p>
      <w:pPr>
        <w:pStyle w:val="43"/>
        <w:rPr>
          <w:color w:val="auto"/>
          <w:shd w:val="clear" w:color="auto" w:fill="auto"/>
        </w:rPr>
      </w:pPr>
      <w:r>
        <w:rPr>
          <w:color w:val="auto"/>
          <w:shd w:val="clear" w:color="auto" w:fill="auto"/>
        </w:rPr>
        <w:t>表1.</w:t>
      </w:r>
      <w:r>
        <w:rPr>
          <w:rFonts w:hint="eastAsia"/>
          <w:color w:val="auto"/>
          <w:shd w:val="clear" w:color="auto" w:fill="auto"/>
        </w:rPr>
        <w:t>3</w:t>
      </w:r>
      <w:r>
        <w:rPr>
          <w:color w:val="auto"/>
          <w:shd w:val="clear" w:color="auto" w:fill="auto"/>
        </w:rPr>
        <w:t>-</w:t>
      </w:r>
      <w:r>
        <w:rPr>
          <w:rFonts w:hint="eastAsia"/>
          <w:color w:val="auto"/>
          <w:shd w:val="clear" w:color="auto" w:fill="auto"/>
        </w:rPr>
        <w:t xml:space="preserve">3 </w:t>
      </w:r>
      <w:r>
        <w:rPr>
          <w:color w:val="auto"/>
          <w:shd w:val="clear" w:color="auto" w:fill="auto"/>
        </w:rPr>
        <w:t xml:space="preserve">地表水环境质量标准限值 </w:t>
      </w:r>
      <w:r>
        <w:rPr>
          <w:rFonts w:hint="eastAsia"/>
          <w:color w:val="auto"/>
          <w:shd w:val="clear" w:color="auto" w:fill="auto"/>
        </w:rPr>
        <w:t xml:space="preserve"> </w:t>
      </w:r>
      <w:r>
        <w:rPr>
          <w:color w:val="auto"/>
          <w:shd w:val="clear" w:color="auto" w:fill="auto"/>
        </w:rPr>
        <w:t>单位：</w:t>
      </w:r>
      <w:r>
        <w:rPr>
          <w:rFonts w:hint="eastAsia"/>
          <w:color w:val="auto"/>
          <w:shd w:val="clear" w:color="auto" w:fill="auto"/>
          <w:lang w:eastAsia="zh-CN"/>
        </w:rPr>
        <w:t>m</w:t>
      </w:r>
      <w:r>
        <w:rPr>
          <w:color w:val="auto"/>
          <w:shd w:val="clear" w:color="auto" w:fill="auto"/>
        </w:rPr>
        <w:t>g/L</w:t>
      </w:r>
      <w:r>
        <w:rPr>
          <w:rFonts w:hint="eastAsia"/>
          <w:color w:val="auto"/>
          <w:shd w:val="clear" w:color="auto" w:fill="auto"/>
          <w:lang w:eastAsia="zh-CN"/>
        </w:rPr>
        <w:t>，</w:t>
      </w:r>
      <w:r>
        <w:rPr>
          <w:color w:val="auto"/>
          <w:shd w:val="clear" w:color="auto" w:fill="auto"/>
        </w:rPr>
        <w:t>pH</w:t>
      </w:r>
      <w:r>
        <w:rPr>
          <w:rFonts w:hint="eastAsia"/>
          <w:color w:val="auto"/>
          <w:shd w:val="clear" w:color="auto" w:fill="auto"/>
          <w:lang w:val="en-US" w:eastAsia="zh-CN"/>
        </w:rPr>
        <w:t>无量纲</w:t>
      </w:r>
    </w:p>
    <w:tbl>
      <w:tblPr>
        <w:tblStyle w:val="27"/>
        <w:tblW w:w="8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8"/>
        <w:gridCol w:w="1119"/>
        <w:gridCol w:w="1118"/>
        <w:gridCol w:w="1118"/>
        <w:gridCol w:w="1118"/>
        <w:gridCol w:w="1119"/>
        <w:gridCol w:w="1118"/>
        <w:gridCol w:w="1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8" w:type="dxa"/>
            <w:vAlign w:val="center"/>
          </w:tcPr>
          <w:p>
            <w:pPr>
              <w:pStyle w:val="44"/>
              <w:rPr>
                <w:color w:val="auto"/>
                <w:shd w:val="clear" w:color="auto" w:fill="auto"/>
              </w:rPr>
            </w:pPr>
            <w:r>
              <w:rPr>
                <w:rFonts w:hint="eastAsia"/>
                <w:color w:val="auto"/>
                <w:shd w:val="clear" w:color="auto" w:fill="auto"/>
              </w:rPr>
              <w:t>类别</w:t>
            </w:r>
          </w:p>
        </w:tc>
        <w:tc>
          <w:tcPr>
            <w:tcW w:w="1119" w:type="dxa"/>
            <w:vAlign w:val="center"/>
          </w:tcPr>
          <w:p>
            <w:pPr>
              <w:pStyle w:val="44"/>
              <w:rPr>
                <w:color w:val="auto"/>
                <w:shd w:val="clear" w:color="auto" w:fill="auto"/>
              </w:rPr>
            </w:pPr>
            <w:r>
              <w:rPr>
                <w:rFonts w:hint="eastAsia"/>
                <w:color w:val="auto"/>
                <w:shd w:val="clear" w:color="auto" w:fill="auto"/>
              </w:rPr>
              <w:t>SS</w:t>
            </w:r>
          </w:p>
        </w:tc>
        <w:tc>
          <w:tcPr>
            <w:tcW w:w="1118" w:type="dxa"/>
            <w:vAlign w:val="center"/>
          </w:tcPr>
          <w:p>
            <w:pPr>
              <w:pStyle w:val="44"/>
              <w:rPr>
                <w:color w:val="auto"/>
                <w:shd w:val="clear" w:color="auto" w:fill="auto"/>
              </w:rPr>
            </w:pPr>
            <w:r>
              <w:rPr>
                <w:rFonts w:hint="eastAsia"/>
                <w:color w:val="auto"/>
                <w:shd w:val="clear" w:color="auto" w:fill="auto"/>
              </w:rPr>
              <w:t>pH</w:t>
            </w:r>
          </w:p>
        </w:tc>
        <w:tc>
          <w:tcPr>
            <w:tcW w:w="1118" w:type="dxa"/>
            <w:vAlign w:val="center"/>
          </w:tcPr>
          <w:p>
            <w:pPr>
              <w:pStyle w:val="44"/>
              <w:rPr>
                <w:color w:val="auto"/>
                <w:shd w:val="clear" w:color="auto" w:fill="auto"/>
              </w:rPr>
            </w:pPr>
            <w:r>
              <w:rPr>
                <w:rFonts w:hint="eastAsia"/>
                <w:color w:val="auto"/>
                <w:shd w:val="clear" w:color="auto" w:fill="auto"/>
              </w:rPr>
              <w:t>COD</w:t>
            </w:r>
          </w:p>
        </w:tc>
        <w:tc>
          <w:tcPr>
            <w:tcW w:w="1118" w:type="dxa"/>
            <w:vAlign w:val="center"/>
          </w:tcPr>
          <w:p>
            <w:pPr>
              <w:pStyle w:val="44"/>
              <w:rPr>
                <w:color w:val="auto"/>
                <w:shd w:val="clear" w:color="auto" w:fill="auto"/>
              </w:rPr>
            </w:pPr>
            <w:r>
              <w:rPr>
                <w:rFonts w:hint="eastAsia"/>
                <w:color w:val="auto"/>
                <w:shd w:val="clear" w:color="auto" w:fill="auto"/>
              </w:rPr>
              <w:t>TP</w:t>
            </w:r>
          </w:p>
        </w:tc>
        <w:tc>
          <w:tcPr>
            <w:tcW w:w="1119" w:type="dxa"/>
            <w:vAlign w:val="center"/>
          </w:tcPr>
          <w:p>
            <w:pPr>
              <w:pStyle w:val="44"/>
              <w:rPr>
                <w:color w:val="auto"/>
                <w:shd w:val="clear" w:color="auto" w:fill="auto"/>
              </w:rPr>
            </w:pPr>
            <w:r>
              <w:rPr>
                <w:rFonts w:hint="eastAsia"/>
                <w:color w:val="auto"/>
                <w:shd w:val="clear" w:color="auto" w:fill="auto"/>
              </w:rPr>
              <w:t>BOD</w:t>
            </w:r>
            <w:r>
              <w:rPr>
                <w:rFonts w:hint="eastAsia"/>
                <w:color w:val="auto"/>
                <w:shd w:val="clear" w:color="auto" w:fill="auto"/>
                <w:vertAlign w:val="subscript"/>
              </w:rPr>
              <w:t>5</w:t>
            </w:r>
          </w:p>
        </w:tc>
        <w:tc>
          <w:tcPr>
            <w:tcW w:w="1118" w:type="dxa"/>
            <w:vAlign w:val="center"/>
          </w:tcPr>
          <w:p>
            <w:pPr>
              <w:pStyle w:val="44"/>
              <w:rPr>
                <w:color w:val="auto"/>
                <w:shd w:val="clear" w:color="auto" w:fill="auto"/>
              </w:rPr>
            </w:pPr>
            <w:r>
              <w:rPr>
                <w:rFonts w:hint="eastAsia"/>
                <w:color w:val="auto"/>
                <w:shd w:val="clear" w:color="auto" w:fill="auto"/>
              </w:rPr>
              <w:t>氨氮</w:t>
            </w:r>
          </w:p>
        </w:tc>
        <w:tc>
          <w:tcPr>
            <w:tcW w:w="1118" w:type="dxa"/>
            <w:vAlign w:val="center"/>
          </w:tcPr>
          <w:p>
            <w:pPr>
              <w:pStyle w:val="44"/>
              <w:rPr>
                <w:color w:val="auto"/>
                <w:shd w:val="clear" w:color="auto" w:fill="auto"/>
              </w:rPr>
            </w:pPr>
            <w:r>
              <w:rPr>
                <w:rFonts w:hint="eastAsia"/>
                <w:color w:val="auto"/>
                <w:shd w:val="clear" w:color="auto" w:fill="auto"/>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8" w:type="dxa"/>
            <w:vAlign w:val="center"/>
          </w:tcPr>
          <w:p>
            <w:pPr>
              <w:pStyle w:val="44"/>
              <w:rPr>
                <w:color w:val="auto"/>
                <w:shd w:val="clear" w:color="auto" w:fill="auto"/>
              </w:rPr>
            </w:pPr>
            <w:r>
              <w:rPr>
                <w:color w:val="auto"/>
                <w:shd w:val="clear" w:color="auto" w:fill="auto"/>
              </w:rPr>
              <w:t>标准</w:t>
            </w:r>
            <w:r>
              <w:rPr>
                <w:rFonts w:hint="eastAsia"/>
                <w:color w:val="auto"/>
                <w:shd w:val="clear" w:color="auto" w:fill="auto"/>
              </w:rPr>
              <w:t>限值</w:t>
            </w:r>
          </w:p>
        </w:tc>
        <w:tc>
          <w:tcPr>
            <w:tcW w:w="1119" w:type="dxa"/>
            <w:vAlign w:val="center"/>
          </w:tcPr>
          <w:p>
            <w:pPr>
              <w:pStyle w:val="44"/>
              <w:rPr>
                <w:color w:val="auto"/>
                <w:shd w:val="clear" w:color="auto" w:fill="auto"/>
              </w:rPr>
            </w:pPr>
            <w:r>
              <w:rPr>
                <w:rFonts w:hint="eastAsia"/>
                <w:color w:val="auto"/>
                <w:shd w:val="clear" w:color="auto" w:fill="auto"/>
              </w:rPr>
              <w:t>≤60</w:t>
            </w:r>
          </w:p>
        </w:tc>
        <w:tc>
          <w:tcPr>
            <w:tcW w:w="1118" w:type="dxa"/>
            <w:vAlign w:val="center"/>
          </w:tcPr>
          <w:p>
            <w:pPr>
              <w:pStyle w:val="44"/>
              <w:rPr>
                <w:color w:val="auto"/>
                <w:shd w:val="clear" w:color="auto" w:fill="auto"/>
              </w:rPr>
            </w:pPr>
            <w:r>
              <w:rPr>
                <w:rFonts w:hint="eastAsia"/>
                <w:color w:val="auto"/>
                <w:shd w:val="clear" w:color="auto" w:fill="auto"/>
              </w:rPr>
              <w:t>6~9</w:t>
            </w:r>
          </w:p>
        </w:tc>
        <w:tc>
          <w:tcPr>
            <w:tcW w:w="1118" w:type="dxa"/>
            <w:vAlign w:val="center"/>
          </w:tcPr>
          <w:p>
            <w:pPr>
              <w:pStyle w:val="44"/>
              <w:rPr>
                <w:color w:val="auto"/>
                <w:shd w:val="clear" w:color="auto" w:fill="auto"/>
              </w:rPr>
            </w:pPr>
            <w:r>
              <w:rPr>
                <w:rFonts w:hint="eastAsia"/>
                <w:color w:val="auto"/>
                <w:shd w:val="clear" w:color="auto" w:fill="auto"/>
              </w:rPr>
              <w:t>≤30</w:t>
            </w:r>
          </w:p>
        </w:tc>
        <w:tc>
          <w:tcPr>
            <w:tcW w:w="1118" w:type="dxa"/>
            <w:vAlign w:val="center"/>
          </w:tcPr>
          <w:p>
            <w:pPr>
              <w:pStyle w:val="44"/>
              <w:rPr>
                <w:color w:val="auto"/>
                <w:shd w:val="clear" w:color="auto" w:fill="auto"/>
              </w:rPr>
            </w:pPr>
            <w:r>
              <w:rPr>
                <w:rFonts w:hint="eastAsia"/>
                <w:color w:val="auto"/>
                <w:shd w:val="clear" w:color="auto" w:fill="auto"/>
              </w:rPr>
              <w:t>≤0.3</w:t>
            </w:r>
          </w:p>
        </w:tc>
        <w:tc>
          <w:tcPr>
            <w:tcW w:w="1119" w:type="dxa"/>
            <w:vAlign w:val="center"/>
          </w:tcPr>
          <w:p>
            <w:pPr>
              <w:pStyle w:val="44"/>
              <w:rPr>
                <w:color w:val="auto"/>
                <w:shd w:val="clear" w:color="auto" w:fill="auto"/>
              </w:rPr>
            </w:pPr>
            <w:r>
              <w:rPr>
                <w:rFonts w:hint="eastAsia"/>
                <w:color w:val="auto"/>
                <w:shd w:val="clear" w:color="auto" w:fill="auto"/>
              </w:rPr>
              <w:t>≤6</w:t>
            </w:r>
          </w:p>
        </w:tc>
        <w:tc>
          <w:tcPr>
            <w:tcW w:w="1118" w:type="dxa"/>
            <w:vAlign w:val="center"/>
          </w:tcPr>
          <w:p>
            <w:pPr>
              <w:pStyle w:val="44"/>
              <w:rPr>
                <w:color w:val="auto"/>
                <w:shd w:val="clear" w:color="auto" w:fill="auto"/>
              </w:rPr>
            </w:pPr>
            <w:r>
              <w:rPr>
                <w:rFonts w:hint="eastAsia"/>
                <w:color w:val="auto"/>
                <w:shd w:val="clear" w:color="auto" w:fill="auto"/>
              </w:rPr>
              <w:t>≤1.5</w:t>
            </w:r>
          </w:p>
        </w:tc>
        <w:tc>
          <w:tcPr>
            <w:tcW w:w="1118" w:type="dxa"/>
            <w:vAlign w:val="center"/>
          </w:tcPr>
          <w:p>
            <w:pPr>
              <w:pStyle w:val="44"/>
              <w:rPr>
                <w:color w:val="auto"/>
                <w:shd w:val="clear" w:color="auto" w:fill="auto"/>
              </w:rPr>
            </w:pPr>
            <w:r>
              <w:rPr>
                <w:rFonts w:hint="eastAsia"/>
                <w:color w:val="auto"/>
                <w:shd w:val="clear" w:color="auto" w:fill="auto"/>
              </w:rPr>
              <w:t>≤0.5</w:t>
            </w:r>
          </w:p>
        </w:tc>
      </w:tr>
    </w:tbl>
    <w:p>
      <w:pPr>
        <w:keepNext w:val="0"/>
        <w:keepLines w:val="0"/>
        <w:pageBreakBefore w:val="0"/>
        <w:widowControl w:val="0"/>
        <w:kinsoku/>
        <w:wordWrap/>
        <w:overflowPunct/>
        <w:topLinePunct w:val="0"/>
        <w:autoSpaceDE/>
        <w:autoSpaceDN/>
        <w:bidi w:val="0"/>
        <w:adjustRightInd/>
        <w:snapToGrid/>
        <w:spacing w:before="157" w:beforeLines="50"/>
        <w:ind w:firstLine="480"/>
        <w:textAlignment w:val="auto"/>
        <w:outlineLvl w:val="9"/>
        <w:rPr>
          <w:color w:val="auto"/>
          <w:highlight w:val="none"/>
          <w:shd w:val="clear" w:color="auto" w:fill="auto"/>
        </w:rPr>
      </w:pPr>
      <w:r>
        <w:rPr>
          <w:rFonts w:hint="eastAsia"/>
          <w:color w:val="auto"/>
          <w:highlight w:val="none"/>
          <w:shd w:val="clear" w:color="auto" w:fill="auto"/>
        </w:rPr>
        <w:t>3、</w:t>
      </w:r>
      <w:r>
        <w:rPr>
          <w:color w:val="auto"/>
          <w:highlight w:val="none"/>
          <w:shd w:val="clear" w:color="auto" w:fill="auto"/>
        </w:rPr>
        <w:t>声环境标准</w:t>
      </w:r>
    </w:p>
    <w:p>
      <w:pPr>
        <w:ind w:firstLine="480"/>
        <w:rPr>
          <w:color w:val="auto"/>
          <w:highlight w:val="none"/>
          <w:shd w:val="clear" w:color="auto" w:fill="auto"/>
        </w:rPr>
      </w:pPr>
      <w:r>
        <w:rPr>
          <w:rFonts w:hint="eastAsia"/>
          <w:color w:val="auto"/>
          <w:highlight w:val="none"/>
          <w:shd w:val="clear" w:color="auto" w:fill="auto"/>
        </w:rPr>
        <w:t>项目</w:t>
      </w:r>
      <w:r>
        <w:rPr>
          <w:rFonts w:hint="eastAsia"/>
          <w:color w:val="auto"/>
          <w:highlight w:val="none"/>
          <w:shd w:val="clear" w:color="auto" w:fill="auto"/>
          <w:lang w:val="en-US" w:eastAsia="zh-CN"/>
        </w:rPr>
        <w:t>南</w:t>
      </w:r>
      <w:r>
        <w:rPr>
          <w:rFonts w:hint="eastAsia"/>
          <w:color w:val="auto"/>
          <w:highlight w:val="none"/>
          <w:shd w:val="clear" w:color="auto" w:fill="auto"/>
        </w:rPr>
        <w:t>厂界位于</w:t>
      </w:r>
      <w:r>
        <w:rPr>
          <w:rFonts w:hint="eastAsia"/>
          <w:color w:val="auto"/>
          <w:highlight w:val="none"/>
          <w:shd w:val="clear" w:color="auto" w:fill="auto"/>
          <w:lang w:val="en-US" w:eastAsia="zh-CN"/>
        </w:rPr>
        <w:t>沙</w:t>
      </w:r>
      <w:r>
        <w:rPr>
          <w:rFonts w:hint="eastAsia"/>
          <w:color w:val="auto"/>
          <w:highlight w:val="none"/>
          <w:shd w:val="clear" w:color="auto" w:fill="auto"/>
          <w:lang w:eastAsia="zh-CN"/>
        </w:rPr>
        <w:t>颍河</w:t>
      </w:r>
      <w:r>
        <w:rPr>
          <w:rFonts w:hint="eastAsia"/>
          <w:color w:val="auto"/>
          <w:highlight w:val="none"/>
          <w:shd w:val="clear" w:color="auto" w:fill="auto"/>
        </w:rPr>
        <w:t>航道一侧，属交通干线两侧</w:t>
      </w:r>
      <w:r>
        <w:rPr>
          <w:color w:val="auto"/>
          <w:highlight w:val="none"/>
          <w:shd w:val="clear" w:color="auto" w:fill="auto"/>
        </w:rPr>
        <w:t>执行《声环境质量标准》（GB3096-2008）中的4a类标准</w:t>
      </w:r>
      <w:r>
        <w:rPr>
          <w:rFonts w:hint="eastAsia"/>
          <w:color w:val="auto"/>
          <w:highlight w:val="none"/>
          <w:shd w:val="clear" w:color="auto" w:fill="auto"/>
          <w:lang w:eastAsia="zh-CN"/>
        </w:rPr>
        <w:t>，其余厂界执行</w:t>
      </w:r>
      <w:r>
        <w:rPr>
          <w:rFonts w:hint="eastAsia"/>
          <w:color w:val="auto"/>
          <w:highlight w:val="none"/>
          <w:shd w:val="clear" w:color="auto" w:fill="auto"/>
          <w:lang w:val="en-US" w:eastAsia="zh-CN"/>
        </w:rPr>
        <w:t>2类标准</w:t>
      </w:r>
      <w:r>
        <w:rPr>
          <w:rFonts w:hint="eastAsia"/>
          <w:color w:val="auto"/>
          <w:highlight w:val="none"/>
          <w:shd w:val="clear" w:color="auto" w:fill="auto"/>
          <w:lang w:eastAsia="zh-CN"/>
        </w:rPr>
        <w:t>；</w:t>
      </w:r>
      <w:r>
        <w:rPr>
          <w:rFonts w:hint="eastAsia"/>
          <w:color w:val="auto"/>
          <w:highlight w:val="none"/>
          <w:shd w:val="clear" w:color="auto" w:fill="auto"/>
          <w:lang w:val="en-US" w:eastAsia="zh-CN"/>
        </w:rPr>
        <w:t>厂界外200m范围内敏感点执行2类标准。</w:t>
      </w:r>
      <w:r>
        <w:rPr>
          <w:color w:val="auto"/>
          <w:highlight w:val="none"/>
          <w:shd w:val="clear" w:color="auto" w:fill="auto"/>
        </w:rPr>
        <w:t>具体标准值见表1</w:t>
      </w:r>
      <w:r>
        <w:rPr>
          <w:rFonts w:hint="eastAsia"/>
          <w:color w:val="auto"/>
          <w:highlight w:val="none"/>
          <w:shd w:val="clear" w:color="auto" w:fill="auto"/>
        </w:rPr>
        <w:t>.3-4。</w:t>
      </w:r>
    </w:p>
    <w:p>
      <w:pPr>
        <w:spacing w:line="240" w:lineRule="auto"/>
        <w:ind w:firstLine="0" w:firstLineChars="0"/>
        <w:jc w:val="center"/>
        <w:rPr>
          <w:color w:val="auto"/>
          <w:shd w:val="clear" w:color="auto" w:fill="auto"/>
        </w:rPr>
      </w:pPr>
      <w:r>
        <w:rPr>
          <w:rFonts w:eastAsia="黑体"/>
          <w:color w:val="auto"/>
          <w:kern w:val="24"/>
          <w:shd w:val="clear" w:color="auto" w:fill="auto"/>
        </w:rPr>
        <w:t>表1</w:t>
      </w:r>
      <w:r>
        <w:rPr>
          <w:rFonts w:hint="eastAsia" w:eastAsia="黑体"/>
          <w:color w:val="auto"/>
          <w:kern w:val="24"/>
          <w:shd w:val="clear" w:color="auto" w:fill="auto"/>
        </w:rPr>
        <w:t xml:space="preserve">.3-4 </w:t>
      </w:r>
      <w:r>
        <w:rPr>
          <w:rFonts w:eastAsia="黑体"/>
          <w:color w:val="auto"/>
          <w:kern w:val="24"/>
          <w:shd w:val="clear" w:color="auto" w:fill="auto"/>
        </w:rPr>
        <w:t>声环境质量标准</w:t>
      </w:r>
      <w:r>
        <w:rPr>
          <w:color w:val="auto"/>
          <w:shd w:val="clear" w:color="auto" w:fill="auto"/>
        </w:rPr>
        <w:t xml:space="preserve"> </w:t>
      </w:r>
      <w:r>
        <w:rPr>
          <w:rFonts w:hint="eastAsia"/>
          <w:color w:val="auto"/>
          <w:shd w:val="clear" w:color="auto" w:fill="auto"/>
        </w:rPr>
        <w:t xml:space="preserve"> </w:t>
      </w:r>
      <w:r>
        <w:rPr>
          <w:rFonts w:eastAsia="黑体"/>
          <w:color w:val="auto"/>
          <w:kern w:val="24"/>
          <w:szCs w:val="21"/>
          <w:shd w:val="clear" w:color="auto" w:fill="auto"/>
        </w:rPr>
        <w:t>单位：dB（A）</w:t>
      </w:r>
    </w:p>
    <w:tbl>
      <w:tblPr>
        <w:tblStyle w:val="26"/>
        <w:tblW w:w="8946"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3770"/>
        <w:gridCol w:w="2588"/>
        <w:gridCol w:w="258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3770" w:type="dxa"/>
            <w:vMerge w:val="restart"/>
            <w:tcBorders>
              <w:tl2br w:val="nil"/>
              <w:tr2bl w:val="nil"/>
            </w:tcBorders>
            <w:vAlign w:val="center"/>
          </w:tcPr>
          <w:p>
            <w:pPr>
              <w:pStyle w:val="44"/>
              <w:rPr>
                <w:color w:val="auto"/>
                <w:shd w:val="clear" w:color="auto" w:fill="auto"/>
              </w:rPr>
            </w:pPr>
            <w:r>
              <w:rPr>
                <w:rFonts w:hint="eastAsia"/>
                <w:color w:val="auto"/>
                <w:shd w:val="clear" w:color="auto" w:fill="auto"/>
              </w:rPr>
              <w:t>标准类别</w:t>
            </w:r>
          </w:p>
        </w:tc>
        <w:tc>
          <w:tcPr>
            <w:tcW w:w="5176" w:type="dxa"/>
            <w:gridSpan w:val="2"/>
            <w:tcBorders>
              <w:tl2br w:val="nil"/>
              <w:tr2bl w:val="nil"/>
            </w:tcBorders>
            <w:vAlign w:val="center"/>
          </w:tcPr>
          <w:p>
            <w:pPr>
              <w:pStyle w:val="44"/>
              <w:rPr>
                <w:color w:val="auto"/>
                <w:shd w:val="clear" w:color="auto" w:fill="auto"/>
              </w:rPr>
            </w:pPr>
            <w:r>
              <w:rPr>
                <w:rFonts w:hint="eastAsia"/>
                <w:color w:val="auto"/>
                <w:shd w:val="clear" w:color="auto" w:fill="auto"/>
              </w:rPr>
              <w:t>标准值</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3770" w:type="dxa"/>
            <w:vMerge w:val="continue"/>
            <w:tcBorders>
              <w:tl2br w:val="nil"/>
              <w:tr2bl w:val="nil"/>
            </w:tcBorders>
            <w:vAlign w:val="center"/>
          </w:tcPr>
          <w:p>
            <w:pPr>
              <w:pStyle w:val="44"/>
              <w:rPr>
                <w:color w:val="auto"/>
                <w:shd w:val="clear" w:color="auto" w:fill="auto"/>
              </w:rPr>
            </w:pPr>
          </w:p>
        </w:tc>
        <w:tc>
          <w:tcPr>
            <w:tcW w:w="2588" w:type="dxa"/>
            <w:tcBorders>
              <w:tl2br w:val="nil"/>
              <w:tr2bl w:val="nil"/>
            </w:tcBorders>
            <w:vAlign w:val="center"/>
          </w:tcPr>
          <w:p>
            <w:pPr>
              <w:pStyle w:val="44"/>
              <w:rPr>
                <w:color w:val="auto"/>
                <w:shd w:val="clear" w:color="auto" w:fill="auto"/>
              </w:rPr>
            </w:pPr>
            <w:r>
              <w:rPr>
                <w:rFonts w:hint="eastAsia"/>
                <w:color w:val="auto"/>
                <w:shd w:val="clear" w:color="auto" w:fill="auto"/>
              </w:rPr>
              <w:t>昼间</w:t>
            </w:r>
          </w:p>
        </w:tc>
        <w:tc>
          <w:tcPr>
            <w:tcW w:w="2588" w:type="dxa"/>
            <w:tcBorders>
              <w:tl2br w:val="nil"/>
              <w:tr2bl w:val="nil"/>
            </w:tcBorders>
            <w:vAlign w:val="center"/>
          </w:tcPr>
          <w:p>
            <w:pPr>
              <w:pStyle w:val="44"/>
              <w:rPr>
                <w:color w:val="auto"/>
                <w:shd w:val="clear" w:color="auto" w:fill="auto"/>
              </w:rPr>
            </w:pPr>
            <w:r>
              <w:rPr>
                <w:rFonts w:hint="eastAsia"/>
                <w:color w:val="auto"/>
                <w:shd w:val="clear" w:color="auto" w:fill="auto"/>
              </w:rPr>
              <w:t>夜间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3770" w:type="dxa"/>
            <w:tcBorders>
              <w:tl2br w:val="nil"/>
              <w:tr2bl w:val="nil"/>
            </w:tcBorders>
            <w:vAlign w:val="center"/>
          </w:tcPr>
          <w:p>
            <w:pPr>
              <w:pStyle w:val="44"/>
              <w:rPr>
                <w:color w:val="auto"/>
                <w:shd w:val="clear" w:color="auto" w:fill="auto"/>
              </w:rPr>
            </w:pPr>
            <w:r>
              <w:rPr>
                <w:rFonts w:hint="eastAsia"/>
                <w:color w:val="auto"/>
                <w:shd w:val="clear" w:color="auto" w:fill="auto"/>
              </w:rPr>
              <w:t>GB3096-2008中</w:t>
            </w:r>
            <w:r>
              <w:rPr>
                <w:rFonts w:hint="eastAsia"/>
                <w:color w:val="auto"/>
                <w:shd w:val="clear" w:color="auto" w:fill="auto"/>
                <w:lang w:val="en-US" w:eastAsia="zh-CN"/>
              </w:rPr>
              <w:t>2</w:t>
            </w:r>
            <w:r>
              <w:rPr>
                <w:rFonts w:hint="eastAsia"/>
                <w:color w:val="auto"/>
                <w:shd w:val="clear" w:color="auto" w:fill="auto"/>
              </w:rPr>
              <w:t>类标准</w:t>
            </w:r>
          </w:p>
        </w:tc>
        <w:tc>
          <w:tcPr>
            <w:tcW w:w="2588" w:type="dxa"/>
            <w:tcBorders>
              <w:tl2br w:val="nil"/>
              <w:tr2bl w:val="nil"/>
            </w:tcBorders>
            <w:vAlign w:val="center"/>
          </w:tcPr>
          <w:p>
            <w:pPr>
              <w:pStyle w:val="44"/>
              <w:rPr>
                <w:rFonts w:hint="eastAsia" w:eastAsia="宋体"/>
                <w:color w:val="auto"/>
                <w:shd w:val="clear" w:color="auto" w:fill="auto"/>
                <w:lang w:eastAsia="zh-CN"/>
              </w:rPr>
            </w:pPr>
            <w:r>
              <w:rPr>
                <w:rFonts w:hint="eastAsia"/>
                <w:color w:val="auto"/>
                <w:shd w:val="clear" w:color="auto" w:fill="auto"/>
              </w:rPr>
              <w:t>6</w:t>
            </w:r>
            <w:r>
              <w:rPr>
                <w:rFonts w:hint="eastAsia"/>
                <w:color w:val="auto"/>
                <w:shd w:val="clear" w:color="auto" w:fill="auto"/>
                <w:lang w:val="en-US" w:eastAsia="zh-CN"/>
              </w:rPr>
              <w:t>0</w:t>
            </w:r>
          </w:p>
        </w:tc>
        <w:tc>
          <w:tcPr>
            <w:tcW w:w="2588" w:type="dxa"/>
            <w:tcBorders>
              <w:tl2br w:val="nil"/>
              <w:tr2bl w:val="nil"/>
            </w:tcBorders>
            <w:vAlign w:val="center"/>
          </w:tcPr>
          <w:p>
            <w:pPr>
              <w:pStyle w:val="44"/>
              <w:rPr>
                <w:rFonts w:hint="eastAsia" w:eastAsia="宋体"/>
                <w:color w:val="auto"/>
                <w:shd w:val="clear" w:color="auto" w:fill="auto"/>
                <w:lang w:eastAsia="zh-CN"/>
              </w:rPr>
            </w:pPr>
            <w:r>
              <w:rPr>
                <w:rFonts w:hint="eastAsia"/>
                <w:color w:val="auto"/>
                <w:shd w:val="clear" w:color="auto" w:fill="auto"/>
              </w:rPr>
              <w:t>5</w:t>
            </w:r>
            <w:r>
              <w:rPr>
                <w:rFonts w:hint="eastAsia"/>
                <w:color w:val="auto"/>
                <w:shd w:val="clear" w:color="auto" w:fill="auto"/>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3770" w:type="dxa"/>
            <w:tcBorders>
              <w:tl2br w:val="nil"/>
              <w:tr2bl w:val="nil"/>
            </w:tcBorders>
            <w:vAlign w:val="center"/>
          </w:tcPr>
          <w:p>
            <w:pPr>
              <w:pStyle w:val="44"/>
              <w:ind w:firstLine="0" w:firstLineChars="0"/>
              <w:rPr>
                <w:rFonts w:hint="eastAsia"/>
                <w:color w:val="auto"/>
                <w:shd w:val="clear" w:color="auto" w:fill="auto"/>
              </w:rPr>
            </w:pPr>
            <w:r>
              <w:rPr>
                <w:rFonts w:hint="eastAsia"/>
                <w:color w:val="auto"/>
                <w:shd w:val="clear" w:color="auto" w:fill="auto"/>
              </w:rPr>
              <w:t>GB3096-2008中4a类标准</w:t>
            </w:r>
          </w:p>
        </w:tc>
        <w:tc>
          <w:tcPr>
            <w:tcW w:w="2588" w:type="dxa"/>
            <w:tcBorders>
              <w:tl2br w:val="nil"/>
              <w:tr2bl w:val="nil"/>
            </w:tcBorders>
            <w:vAlign w:val="center"/>
          </w:tcPr>
          <w:p>
            <w:pPr>
              <w:pStyle w:val="44"/>
              <w:ind w:firstLine="0" w:firstLineChars="0"/>
              <w:rPr>
                <w:rFonts w:hint="eastAsia"/>
                <w:color w:val="auto"/>
                <w:shd w:val="clear" w:color="auto" w:fill="auto"/>
              </w:rPr>
            </w:pPr>
            <w:r>
              <w:rPr>
                <w:rFonts w:hint="eastAsia"/>
                <w:color w:val="auto"/>
                <w:shd w:val="clear" w:color="auto" w:fill="auto"/>
              </w:rPr>
              <w:t>70</w:t>
            </w:r>
          </w:p>
        </w:tc>
        <w:tc>
          <w:tcPr>
            <w:tcW w:w="2588" w:type="dxa"/>
            <w:tcBorders>
              <w:tl2br w:val="nil"/>
              <w:tr2bl w:val="nil"/>
            </w:tcBorders>
            <w:vAlign w:val="center"/>
          </w:tcPr>
          <w:p>
            <w:pPr>
              <w:pStyle w:val="44"/>
              <w:ind w:firstLine="0" w:firstLineChars="0"/>
              <w:rPr>
                <w:rFonts w:hint="eastAsia"/>
                <w:color w:val="auto"/>
                <w:shd w:val="clear" w:color="auto" w:fill="auto"/>
              </w:rPr>
            </w:pPr>
            <w:r>
              <w:rPr>
                <w:rFonts w:hint="eastAsia"/>
                <w:color w:val="auto"/>
                <w:shd w:val="clear" w:color="auto" w:fill="auto"/>
              </w:rPr>
              <w:t>55</w:t>
            </w:r>
          </w:p>
        </w:tc>
      </w:tr>
    </w:tbl>
    <w:p>
      <w:pPr>
        <w:keepNext w:val="0"/>
        <w:keepLines w:val="0"/>
        <w:pageBreakBefore w:val="0"/>
        <w:widowControl w:val="0"/>
        <w:kinsoku/>
        <w:wordWrap/>
        <w:overflowPunct/>
        <w:topLinePunct w:val="0"/>
        <w:autoSpaceDE/>
        <w:autoSpaceDN/>
        <w:bidi w:val="0"/>
        <w:adjustRightInd/>
        <w:snapToGrid/>
        <w:spacing w:before="157" w:beforeLines="50"/>
        <w:ind w:firstLine="480"/>
        <w:textAlignment w:val="auto"/>
        <w:outlineLvl w:val="9"/>
        <w:rPr>
          <w:rFonts w:hint="eastAsia"/>
          <w:color w:val="auto"/>
          <w:shd w:val="clear" w:color="auto" w:fill="auto"/>
        </w:rPr>
      </w:pPr>
      <w:bookmarkStart w:id="52" w:name="_Toc24441"/>
    </w:p>
    <w:p>
      <w:pPr>
        <w:keepNext w:val="0"/>
        <w:keepLines w:val="0"/>
        <w:pageBreakBefore w:val="0"/>
        <w:widowControl w:val="0"/>
        <w:kinsoku/>
        <w:wordWrap/>
        <w:overflowPunct/>
        <w:topLinePunct w:val="0"/>
        <w:autoSpaceDE/>
        <w:autoSpaceDN/>
        <w:bidi w:val="0"/>
        <w:adjustRightInd/>
        <w:snapToGrid/>
        <w:spacing w:before="157" w:beforeLines="50"/>
        <w:ind w:firstLine="480"/>
        <w:textAlignment w:val="auto"/>
        <w:outlineLvl w:val="9"/>
        <w:rPr>
          <w:color w:val="auto"/>
          <w:shd w:val="clear" w:color="auto" w:fill="auto"/>
        </w:rPr>
      </w:pPr>
      <w:r>
        <w:rPr>
          <w:rFonts w:hint="eastAsia"/>
          <w:color w:val="auto"/>
          <w:shd w:val="clear" w:color="auto" w:fill="auto"/>
        </w:rPr>
        <w:t>4、</w:t>
      </w:r>
      <w:r>
        <w:rPr>
          <w:rFonts w:hint="eastAsia"/>
          <w:color w:val="auto"/>
          <w:shd w:val="clear" w:color="auto" w:fill="auto"/>
          <w:lang w:eastAsia="zh-CN"/>
        </w:rPr>
        <w:t>土壤、</w:t>
      </w:r>
      <w:r>
        <w:rPr>
          <w:rFonts w:hint="eastAsia"/>
          <w:color w:val="auto"/>
          <w:shd w:val="clear" w:color="auto" w:fill="auto"/>
        </w:rPr>
        <w:t>底泥标准</w:t>
      </w:r>
    </w:p>
    <w:p>
      <w:pPr>
        <w:ind w:firstLine="480"/>
        <w:rPr>
          <w:color w:val="auto"/>
          <w:shd w:val="clear" w:color="auto" w:fill="auto"/>
        </w:rPr>
      </w:pPr>
      <w:r>
        <w:rPr>
          <w:rFonts w:hint="eastAsia" w:cs="Times New Roman"/>
          <w:color w:val="auto"/>
          <w:shd w:val="clear" w:color="auto" w:fill="auto"/>
        </w:rPr>
        <w:t>项目</w:t>
      </w:r>
      <w:r>
        <w:rPr>
          <w:rFonts w:hint="eastAsia" w:cs="Times New Roman"/>
          <w:color w:val="auto"/>
          <w:shd w:val="clear" w:color="auto" w:fill="auto"/>
          <w:lang w:eastAsia="zh-CN"/>
        </w:rPr>
        <w:t>抛泥区土壤、疏浚底泥</w:t>
      </w:r>
      <w:r>
        <w:rPr>
          <w:rFonts w:hint="eastAsia" w:cs="Times New Roman"/>
          <w:color w:val="auto"/>
          <w:shd w:val="clear" w:color="auto" w:fill="auto"/>
        </w:rPr>
        <w:t>环境执行《土壤环境质量 建设用地土壤污染风险管控标准（试行）》(GB36600-2018)中第二类用地管控标准。</w:t>
      </w:r>
      <w:r>
        <w:rPr>
          <w:color w:val="auto"/>
          <w:shd w:val="clear" w:color="auto" w:fill="auto"/>
        </w:rPr>
        <w:t>具体标准详见表1.</w:t>
      </w:r>
      <w:r>
        <w:rPr>
          <w:rFonts w:hint="eastAsia"/>
          <w:color w:val="auto"/>
          <w:shd w:val="clear" w:color="auto" w:fill="auto"/>
        </w:rPr>
        <w:t>3</w:t>
      </w:r>
      <w:r>
        <w:rPr>
          <w:color w:val="auto"/>
          <w:shd w:val="clear" w:color="auto" w:fill="auto"/>
        </w:rPr>
        <w:t>-</w:t>
      </w:r>
      <w:r>
        <w:rPr>
          <w:rFonts w:hint="eastAsia"/>
          <w:color w:val="auto"/>
          <w:shd w:val="clear" w:color="auto" w:fill="auto"/>
        </w:rPr>
        <w:t>5</w:t>
      </w:r>
      <w:r>
        <w:rPr>
          <w:color w:val="auto"/>
          <w:shd w:val="clear" w:color="auto" w:fill="auto"/>
        </w:rPr>
        <w:t>。</w:t>
      </w:r>
    </w:p>
    <w:p>
      <w:pPr>
        <w:spacing w:line="240" w:lineRule="auto"/>
        <w:ind w:firstLine="0" w:firstLineChars="0"/>
        <w:jc w:val="center"/>
        <w:rPr>
          <w:rFonts w:eastAsia="黑体"/>
          <w:color w:val="auto"/>
          <w:kern w:val="24"/>
          <w:highlight w:val="none"/>
          <w:shd w:val="clear" w:color="auto" w:fill="auto"/>
        </w:rPr>
      </w:pPr>
      <w:r>
        <w:rPr>
          <w:rFonts w:eastAsia="黑体"/>
          <w:color w:val="auto"/>
          <w:kern w:val="24"/>
          <w:highlight w:val="none"/>
          <w:shd w:val="clear" w:color="auto" w:fill="auto"/>
        </w:rPr>
        <w:t>表1</w:t>
      </w:r>
      <w:r>
        <w:rPr>
          <w:rFonts w:hint="eastAsia" w:eastAsia="黑体"/>
          <w:color w:val="auto"/>
          <w:kern w:val="24"/>
          <w:highlight w:val="none"/>
          <w:shd w:val="clear" w:color="auto" w:fill="auto"/>
        </w:rPr>
        <w:t>.3-5</w:t>
      </w:r>
      <w:r>
        <w:rPr>
          <w:rFonts w:hint="eastAsia" w:eastAsia="黑体"/>
          <w:color w:val="auto"/>
          <w:kern w:val="24"/>
          <w:highlight w:val="none"/>
          <w:shd w:val="clear" w:color="auto" w:fill="auto"/>
          <w:lang w:val="en-US" w:eastAsia="zh-CN"/>
        </w:rPr>
        <w:t xml:space="preserve"> </w:t>
      </w:r>
      <w:r>
        <w:rPr>
          <w:rFonts w:hint="eastAsia" w:eastAsia="黑体"/>
          <w:color w:val="auto"/>
          <w:kern w:val="24"/>
          <w:highlight w:val="none"/>
          <w:shd w:val="clear" w:color="auto" w:fill="auto"/>
          <w:lang w:eastAsia="zh-CN"/>
        </w:rPr>
        <w:t>建设用地</w:t>
      </w:r>
      <w:r>
        <w:rPr>
          <w:rFonts w:eastAsia="黑体"/>
          <w:color w:val="auto"/>
          <w:kern w:val="24"/>
          <w:highlight w:val="none"/>
          <w:shd w:val="clear" w:color="auto" w:fill="auto"/>
        </w:rPr>
        <w:t>土壤污染风险</w:t>
      </w:r>
      <w:r>
        <w:rPr>
          <w:rFonts w:hint="eastAsia" w:eastAsia="黑体"/>
          <w:color w:val="auto"/>
          <w:kern w:val="24"/>
          <w:highlight w:val="none"/>
          <w:shd w:val="clear" w:color="auto" w:fill="auto"/>
          <w:lang w:eastAsia="zh-CN"/>
        </w:rPr>
        <w:t>筛选值和管制值</w:t>
      </w:r>
      <w:r>
        <w:rPr>
          <w:rFonts w:eastAsia="黑体"/>
          <w:color w:val="auto"/>
          <w:kern w:val="24"/>
          <w:highlight w:val="none"/>
          <w:shd w:val="clear" w:color="auto" w:fill="auto"/>
        </w:rPr>
        <w:t xml:space="preserve"> 单位</w:t>
      </w:r>
      <w:r>
        <w:rPr>
          <w:color w:val="auto"/>
          <w:highlight w:val="none"/>
          <w:shd w:val="clear" w:color="auto" w:fill="auto"/>
        </w:rPr>
        <w:t>：</w:t>
      </w:r>
      <w:r>
        <w:rPr>
          <w:rFonts w:hint="eastAsia" w:eastAsia="黑体"/>
          <w:color w:val="auto"/>
          <w:kern w:val="24"/>
          <w:highlight w:val="none"/>
          <w:shd w:val="clear" w:color="auto" w:fill="auto"/>
          <w:lang w:eastAsia="zh-CN"/>
        </w:rPr>
        <w:t>m</w:t>
      </w:r>
      <w:r>
        <w:rPr>
          <w:rFonts w:eastAsia="黑体"/>
          <w:color w:val="auto"/>
          <w:kern w:val="24"/>
          <w:highlight w:val="none"/>
          <w:shd w:val="clear" w:color="auto" w:fill="auto"/>
        </w:rPr>
        <w:t>g/kg</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74"/>
        <w:gridCol w:w="1891"/>
        <w:gridCol w:w="1382"/>
        <w:gridCol w:w="1325"/>
        <w:gridCol w:w="1138"/>
        <w:gridCol w:w="1139"/>
        <w:gridCol w:w="11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vMerge w:val="restar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序号</w:t>
            </w:r>
          </w:p>
        </w:tc>
        <w:tc>
          <w:tcPr>
            <w:tcW w:w="1076" w:type="pct"/>
            <w:vMerge w:val="restar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污染物项目</w:t>
            </w:r>
          </w:p>
        </w:tc>
        <w:tc>
          <w:tcPr>
            <w:tcW w:w="786" w:type="pct"/>
            <w:vMerge w:val="restar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CAS编号</w:t>
            </w:r>
          </w:p>
        </w:tc>
        <w:tc>
          <w:tcPr>
            <w:tcW w:w="1402" w:type="pct"/>
            <w:gridSpan w:val="2"/>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筛选值</w:t>
            </w:r>
          </w:p>
        </w:tc>
        <w:tc>
          <w:tcPr>
            <w:tcW w:w="1293" w:type="pct"/>
            <w:gridSpan w:val="2"/>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管制值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440" w:type="pct"/>
            <w:vMerge w:val="continue"/>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p>
        </w:tc>
        <w:tc>
          <w:tcPr>
            <w:tcW w:w="1076" w:type="pct"/>
            <w:vMerge w:val="continue"/>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p>
        </w:tc>
        <w:tc>
          <w:tcPr>
            <w:tcW w:w="786" w:type="pct"/>
            <w:vMerge w:val="continue"/>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第一类用地</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第二类用地</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第一类用地</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第二类用地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00" w:type="pct"/>
            <w:gridSpan w:val="7"/>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重金属和无机物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砷</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7440-38-2</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20①</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60①</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镉</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7440-43-9</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20</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65</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47</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铬（六价）</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18540-29-9</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3.0</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5.7</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4</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铜</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7440-50-8</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2000</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18000</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8000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铅</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7439-92-1</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400</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800</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800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6</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汞</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7439-97-6</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8</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38</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33</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镍</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7440-02-0</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150</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900</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600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00" w:type="pct"/>
            <w:gridSpan w:val="7"/>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8</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四氯化碳</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56-23-5</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0.9</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2.8</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9</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9</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氯仿</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67-66-3</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0.3</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0.9</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10</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氯甲烷</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74-87-3</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37</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21</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11</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1,1-二氯乙烷</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75-34-3</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9</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1,2-二氯乙烷</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107-06-2</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0.52</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6</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13</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1,1-二氯乙烯</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75-35-4</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66</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40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14</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顺-1,2-二氯乙烯</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156-59-2</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66</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596</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200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15</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反-1,2-二氯乙烯</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156-60-5</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10</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54</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31</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16</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二氯甲烷</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75-09-2</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94</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616</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300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17</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1,2-二氯丙烷</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78-87-5</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18</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1,1,1,2-四氯乙烷</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630-20-6</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2.6</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10</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26</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19</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1,1,2,2-四氯乙烷</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79-34-5</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1.6</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6.8</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14</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20</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四氯乙烯</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127-18-4</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11</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53</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34</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21</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1,1,1,-三氯乙烷</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71-55-6</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701</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840</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840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22</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1,1,2-三氯乙烷</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79-00-5</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0.6</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2.8</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23</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三氯乙烯</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79-01-6</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0.7</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2.8</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24</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1,2,3-三氯丙烷</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96-18-4</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0.05</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0.5</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0.5</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25</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氯乙烯</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75-01-4</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0.12</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0.43</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26</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苯</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71-43-2</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4</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27</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氯苯</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108-90-7</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68</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270</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200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28</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1,2-二氯苯</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95-50-1</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560</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560</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560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29</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1,4二氯苯</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106-46-7</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5.6</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20</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56</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30</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乙苯</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100-41-4</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7.2</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28</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72</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31</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苯乙烯</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100-42-5</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1290</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1290</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1290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32</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甲苯</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108-88-3</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1200</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1200</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1200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33</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间二甲苯+对二甲苯</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108-38-3,106-42-3</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163</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570</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500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34</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邻二甲苯</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95-47-6</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222</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640</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640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00" w:type="pct"/>
            <w:gridSpan w:val="7"/>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半挥发性有机物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35</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硝基苯</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98-95-3</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34</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76</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190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36</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苯胺</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63-53-3</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92</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260</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211</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37</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2-氯酚</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95-57-8</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250</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2256</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500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38</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苯并【a】蒽</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56-55-3</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5.5</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15</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55</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39</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苯并【a】芘</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50-32-8</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0.55</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1.5</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5.5</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40</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苯并【b】荧蒽</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205-99-2</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5.5</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15</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55</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41</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苯并【k】荧蒽</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207-08-9</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55</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151</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550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42</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䓛</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218-01-9</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490</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1293</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4900</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12900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43</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二苯并【a,h】蒽</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53-70-3</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0.55</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1.5</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5.5</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44</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茚并【1,2,3-cd】芘</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193-39-5</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5.5</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15</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55</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0"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45</w:t>
            </w:r>
          </w:p>
        </w:tc>
        <w:tc>
          <w:tcPr>
            <w:tcW w:w="107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萘</w:t>
            </w:r>
          </w:p>
        </w:tc>
        <w:tc>
          <w:tcPr>
            <w:tcW w:w="786"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91-20-3</w:t>
            </w:r>
          </w:p>
        </w:tc>
        <w:tc>
          <w:tcPr>
            <w:tcW w:w="75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25</w:t>
            </w:r>
          </w:p>
        </w:tc>
        <w:tc>
          <w:tcPr>
            <w:tcW w:w="647"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70</w:t>
            </w:r>
          </w:p>
        </w:tc>
        <w:tc>
          <w:tcPr>
            <w:tcW w:w="648"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255</w:t>
            </w:r>
          </w:p>
        </w:tc>
        <w:tc>
          <w:tcPr>
            <w:tcW w:w="644" w:type="pct"/>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00" w:type="pct"/>
            <w:gridSpan w:val="7"/>
            <w:tcBorders>
              <w:tl2br w:val="nil"/>
              <w:tr2bl w:val="nil"/>
            </w:tcBorders>
            <w:vAlign w:val="center"/>
          </w:tcPr>
          <w:p>
            <w:pPr>
              <w:pStyle w:val="49"/>
              <w:keepNext w:val="0"/>
              <w:keepLines w:val="0"/>
              <w:suppressLineNumbers w:val="0"/>
              <w:autoSpaceDE w:val="0"/>
              <w:autoSpaceDN w:val="0"/>
              <w:snapToGrid/>
              <w:spacing w:before="44" w:beforeAutospacing="0" w:after="0" w:afterAutospacing="0" w:line="240" w:lineRule="auto"/>
              <w:ind w:left="0" w:right="0" w:firstLine="0" w:firstLineChars="0"/>
              <w:jc w:val="center"/>
              <w:rPr>
                <w:rFonts w:hint="default" w:ascii="Times New Roman" w:hAnsi="Times New Roman" w:eastAsia="宋体" w:cs="Times New Roman"/>
                <w:color w:val="auto"/>
                <w:spacing w:val="0"/>
                <w:kern w:val="2"/>
                <w:sz w:val="21"/>
                <w:szCs w:val="21"/>
                <w:lang w:eastAsia="zh-CN"/>
              </w:rPr>
            </w:pPr>
            <w:r>
              <w:rPr>
                <w:rFonts w:hint="default" w:ascii="Times New Roman" w:hAnsi="Times New Roman" w:eastAsia="宋体" w:cs="Times New Roman"/>
                <w:color w:val="auto"/>
                <w:spacing w:val="0"/>
                <w:kern w:val="2"/>
                <w:sz w:val="21"/>
                <w:szCs w:val="21"/>
                <w:lang w:eastAsia="zh-CN"/>
              </w:rPr>
              <w:t>注：①具体地块土壤中污染物检测含量超过筛选值，但等于或者低于土壤环境背景值（见3.6）水平的，不纳入污染地块管理。土壤环境背景值可参见附录A。</w:t>
            </w:r>
          </w:p>
        </w:tc>
      </w:tr>
    </w:tbl>
    <w:p>
      <w:pPr>
        <w:bidi w:val="0"/>
      </w:pPr>
    </w:p>
    <w:p>
      <w:pPr>
        <w:pStyle w:val="6"/>
        <w:keepNext/>
        <w:keepLines/>
        <w:pageBreakBefore w:val="0"/>
        <w:widowControl w:val="0"/>
        <w:kinsoku/>
        <w:wordWrap/>
        <w:overflowPunct/>
        <w:topLinePunct w:val="0"/>
        <w:autoSpaceDE/>
        <w:autoSpaceDN/>
        <w:bidi w:val="0"/>
        <w:adjustRightInd/>
        <w:snapToGrid/>
        <w:spacing w:before="157" w:beforeLines="50"/>
        <w:textAlignment w:val="auto"/>
        <w:outlineLvl w:val="3"/>
        <w:rPr>
          <w:color w:val="auto"/>
          <w:shd w:val="clear" w:color="auto" w:fill="auto"/>
        </w:rPr>
      </w:pPr>
      <w:r>
        <w:rPr>
          <w:rFonts w:hint="eastAsia"/>
          <w:color w:val="auto"/>
          <w:shd w:val="clear" w:color="auto" w:fill="auto"/>
        </w:rPr>
        <w:t xml:space="preserve">1.3.2.2 </w:t>
      </w:r>
      <w:r>
        <w:rPr>
          <w:color w:val="auto"/>
          <w:shd w:val="clear" w:color="auto" w:fill="auto"/>
        </w:rPr>
        <w:t>污染物排放标准</w:t>
      </w:r>
      <w:bookmarkEnd w:id="52"/>
    </w:p>
    <w:p>
      <w:pPr>
        <w:ind w:firstLine="480"/>
        <w:rPr>
          <w:color w:val="auto"/>
          <w:shd w:val="clear" w:color="auto" w:fill="auto"/>
          <w:lang w:val="zh-CN"/>
        </w:rPr>
      </w:pPr>
      <w:r>
        <w:rPr>
          <w:rFonts w:hint="eastAsia"/>
          <w:color w:val="auto"/>
          <w:shd w:val="clear" w:color="auto" w:fill="auto"/>
        </w:rPr>
        <w:t>1、</w:t>
      </w:r>
      <w:r>
        <w:rPr>
          <w:color w:val="auto"/>
          <w:shd w:val="clear" w:color="auto" w:fill="auto"/>
          <w:lang w:val="zh-CN"/>
        </w:rPr>
        <w:t>大气污染物综合排放标准</w:t>
      </w:r>
    </w:p>
    <w:p>
      <w:pPr>
        <w:ind w:firstLine="480"/>
        <w:rPr>
          <w:color w:val="auto"/>
          <w:shd w:val="clear" w:color="auto" w:fill="auto"/>
          <w:lang w:val="zh-CN"/>
        </w:rPr>
      </w:pPr>
      <w:r>
        <w:rPr>
          <w:color w:val="auto"/>
          <w:shd w:val="clear" w:color="auto" w:fill="auto"/>
          <w:lang w:val="zh-CN"/>
        </w:rPr>
        <w:t>拟建项目大气污染物主要来自</w:t>
      </w:r>
      <w:r>
        <w:rPr>
          <w:rFonts w:hint="eastAsia"/>
          <w:color w:val="auto"/>
          <w:shd w:val="clear" w:color="auto" w:fill="auto"/>
        </w:rPr>
        <w:t>散货</w:t>
      </w:r>
      <w:r>
        <w:rPr>
          <w:rFonts w:hint="eastAsia"/>
          <w:color w:val="auto"/>
          <w:shd w:val="clear" w:color="auto" w:fill="auto"/>
          <w:lang w:eastAsia="zh-CN"/>
        </w:rPr>
        <w:t>装卸</w:t>
      </w:r>
      <w:r>
        <w:rPr>
          <w:rFonts w:hint="eastAsia"/>
          <w:color w:val="auto"/>
          <w:shd w:val="clear" w:color="auto" w:fill="auto"/>
        </w:rPr>
        <w:t>粉尘</w:t>
      </w:r>
      <w:r>
        <w:rPr>
          <w:rFonts w:hint="eastAsia"/>
          <w:color w:val="auto"/>
          <w:shd w:val="clear" w:color="auto" w:fill="auto"/>
          <w:lang w:eastAsia="zh-CN"/>
        </w:rPr>
        <w:t>及道路扬尘</w:t>
      </w:r>
      <w:r>
        <w:rPr>
          <w:rFonts w:hint="eastAsia"/>
          <w:color w:val="auto"/>
          <w:shd w:val="clear" w:color="auto" w:fill="auto"/>
        </w:rPr>
        <w:t>、</w:t>
      </w:r>
      <w:r>
        <w:rPr>
          <w:color w:val="auto"/>
          <w:shd w:val="clear" w:color="auto" w:fill="auto"/>
          <w:lang w:val="zh-CN"/>
        </w:rPr>
        <w:t>码头</w:t>
      </w:r>
      <w:r>
        <w:rPr>
          <w:rFonts w:hint="eastAsia"/>
          <w:color w:val="auto"/>
          <w:shd w:val="clear" w:color="auto" w:fill="auto"/>
          <w:lang w:val="zh-CN"/>
        </w:rPr>
        <w:t>车辆及</w:t>
      </w:r>
      <w:r>
        <w:rPr>
          <w:color w:val="auto"/>
          <w:shd w:val="clear" w:color="auto" w:fill="auto"/>
          <w:lang w:val="zh-CN"/>
        </w:rPr>
        <w:t>船舶产生的SO</w:t>
      </w:r>
      <w:r>
        <w:rPr>
          <w:color w:val="auto"/>
          <w:shd w:val="clear" w:color="auto" w:fill="auto"/>
          <w:vertAlign w:val="subscript"/>
          <w:lang w:val="zh-CN"/>
        </w:rPr>
        <w:t>2</w:t>
      </w:r>
      <w:r>
        <w:rPr>
          <w:color w:val="auto"/>
          <w:shd w:val="clear" w:color="auto" w:fill="auto"/>
          <w:lang w:val="zh-CN"/>
        </w:rPr>
        <w:t>、NOx等</w:t>
      </w:r>
      <w:r>
        <w:rPr>
          <w:rFonts w:hint="eastAsia"/>
          <w:color w:val="auto"/>
          <w:shd w:val="clear" w:color="auto" w:fill="auto"/>
          <w:lang w:val="zh-CN"/>
        </w:rPr>
        <w:t>，</w:t>
      </w:r>
      <w:r>
        <w:rPr>
          <w:color w:val="auto"/>
          <w:shd w:val="clear" w:color="auto" w:fill="auto"/>
          <w:lang w:val="zh-CN"/>
        </w:rPr>
        <w:t>执行《大气污染物综合排放标准》（GB16297-1996）</w:t>
      </w:r>
      <w:r>
        <w:rPr>
          <w:rFonts w:hAnsi="宋体"/>
          <w:color w:val="auto"/>
          <w:shd w:val="clear" w:color="auto" w:fill="auto"/>
        </w:rPr>
        <w:t>中无组织排放监控浓度限值，</w:t>
      </w:r>
      <w:r>
        <w:rPr>
          <w:color w:val="auto"/>
          <w:shd w:val="clear" w:color="auto" w:fill="auto"/>
          <w:lang w:val="zh-CN"/>
        </w:rPr>
        <w:t>具体值见表1.</w:t>
      </w:r>
      <w:r>
        <w:rPr>
          <w:rFonts w:hint="eastAsia"/>
          <w:color w:val="auto"/>
          <w:shd w:val="clear" w:color="auto" w:fill="auto"/>
        </w:rPr>
        <w:t>3</w:t>
      </w:r>
      <w:r>
        <w:rPr>
          <w:color w:val="auto"/>
          <w:shd w:val="clear" w:color="auto" w:fill="auto"/>
          <w:lang w:val="zh-CN"/>
        </w:rPr>
        <w:t>-</w:t>
      </w:r>
      <w:r>
        <w:rPr>
          <w:rFonts w:hint="eastAsia"/>
          <w:color w:val="auto"/>
          <w:shd w:val="clear" w:color="auto" w:fill="auto"/>
        </w:rPr>
        <w:t>6</w:t>
      </w:r>
      <w:r>
        <w:rPr>
          <w:color w:val="auto"/>
          <w:shd w:val="clear" w:color="auto" w:fill="auto"/>
          <w:lang w:val="zh-CN"/>
        </w:rPr>
        <w:t>。</w:t>
      </w:r>
    </w:p>
    <w:p>
      <w:pPr>
        <w:pStyle w:val="43"/>
        <w:rPr>
          <w:color w:val="auto"/>
          <w:shd w:val="clear" w:color="auto" w:fill="auto"/>
        </w:rPr>
      </w:pPr>
      <w:r>
        <w:rPr>
          <w:color w:val="auto"/>
          <w:shd w:val="clear" w:color="auto" w:fill="auto"/>
        </w:rPr>
        <w:t>表1.</w:t>
      </w:r>
      <w:r>
        <w:rPr>
          <w:rFonts w:hint="eastAsia"/>
          <w:color w:val="auto"/>
          <w:shd w:val="clear" w:color="auto" w:fill="auto"/>
        </w:rPr>
        <w:t>3</w:t>
      </w:r>
      <w:r>
        <w:rPr>
          <w:color w:val="auto"/>
          <w:shd w:val="clear" w:color="auto" w:fill="auto"/>
        </w:rPr>
        <w:t>-</w:t>
      </w:r>
      <w:r>
        <w:rPr>
          <w:rFonts w:hint="eastAsia"/>
          <w:color w:val="auto"/>
          <w:shd w:val="clear" w:color="auto" w:fill="auto"/>
        </w:rPr>
        <w:t xml:space="preserve">6  </w:t>
      </w:r>
      <w:r>
        <w:rPr>
          <w:color w:val="auto"/>
          <w:shd w:val="clear" w:color="auto" w:fill="auto"/>
        </w:rPr>
        <w:t>大气污染物综合排放标准部分限值</w:t>
      </w:r>
    </w:p>
    <w:tbl>
      <w:tblPr>
        <w:tblStyle w:val="27"/>
        <w:tblW w:w="8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4"/>
        <w:gridCol w:w="2025"/>
        <w:gridCol w:w="2459"/>
        <w:gridCol w:w="24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4" w:type="dxa"/>
            <w:vMerge w:val="restart"/>
            <w:vAlign w:val="center"/>
          </w:tcPr>
          <w:p>
            <w:pPr>
              <w:pStyle w:val="44"/>
              <w:rPr>
                <w:color w:val="auto"/>
                <w:shd w:val="clear" w:color="auto" w:fill="auto"/>
              </w:rPr>
            </w:pPr>
            <w:r>
              <w:rPr>
                <w:rFonts w:hint="eastAsia"/>
                <w:color w:val="auto"/>
                <w:shd w:val="clear" w:color="auto" w:fill="auto"/>
              </w:rPr>
              <w:t>污染物名称</w:t>
            </w:r>
          </w:p>
        </w:tc>
        <w:tc>
          <w:tcPr>
            <w:tcW w:w="2025" w:type="dxa"/>
            <w:vMerge w:val="restart"/>
            <w:vAlign w:val="center"/>
          </w:tcPr>
          <w:p>
            <w:pPr>
              <w:pStyle w:val="44"/>
              <w:rPr>
                <w:color w:val="auto"/>
                <w:shd w:val="clear" w:color="auto" w:fill="auto"/>
              </w:rPr>
            </w:pPr>
            <w:r>
              <w:rPr>
                <w:rFonts w:hint="eastAsia"/>
                <w:color w:val="auto"/>
                <w:shd w:val="clear" w:color="auto" w:fill="auto"/>
              </w:rPr>
              <w:t>最高允许排放浓度（</w:t>
            </w:r>
            <w:r>
              <w:rPr>
                <w:rFonts w:hint="eastAsia"/>
                <w:color w:val="auto"/>
                <w:shd w:val="clear" w:color="auto" w:fill="auto"/>
                <w:lang w:eastAsia="zh-CN"/>
              </w:rPr>
              <w:t>m</w:t>
            </w:r>
            <w:r>
              <w:rPr>
                <w:rFonts w:hint="eastAsia"/>
                <w:color w:val="auto"/>
                <w:shd w:val="clear" w:color="auto" w:fill="auto"/>
              </w:rPr>
              <w:t>g/</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w:t>
            </w:r>
          </w:p>
        </w:tc>
        <w:tc>
          <w:tcPr>
            <w:tcW w:w="4897" w:type="dxa"/>
            <w:gridSpan w:val="2"/>
            <w:vAlign w:val="center"/>
          </w:tcPr>
          <w:p>
            <w:pPr>
              <w:pStyle w:val="44"/>
              <w:rPr>
                <w:rFonts w:hint="default" w:eastAsia="宋体"/>
                <w:color w:val="auto"/>
                <w:shd w:val="clear" w:color="auto" w:fill="auto"/>
                <w:lang w:val="en-US" w:eastAsia="zh-CN"/>
              </w:rPr>
            </w:pPr>
            <w:r>
              <w:rPr>
                <w:color w:val="auto"/>
                <w:shd w:val="clear" w:color="auto" w:fill="auto"/>
              </w:rPr>
              <w:t>无组织排放监控</w:t>
            </w:r>
            <w:r>
              <w:rPr>
                <w:rFonts w:hint="eastAsia"/>
                <w:color w:val="auto"/>
                <w:shd w:val="clear" w:color="auto" w:fill="auto"/>
                <w:lang w:val="en-US" w:eastAsia="zh-CN"/>
              </w:rPr>
              <w:t>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4" w:type="dxa"/>
            <w:vMerge w:val="continue"/>
            <w:vAlign w:val="center"/>
          </w:tcPr>
          <w:p>
            <w:pPr>
              <w:pStyle w:val="44"/>
              <w:rPr>
                <w:color w:val="auto"/>
                <w:shd w:val="clear" w:color="auto" w:fill="auto"/>
              </w:rPr>
            </w:pPr>
          </w:p>
        </w:tc>
        <w:tc>
          <w:tcPr>
            <w:tcW w:w="2025" w:type="dxa"/>
            <w:vMerge w:val="continue"/>
            <w:vAlign w:val="center"/>
          </w:tcPr>
          <w:p>
            <w:pPr>
              <w:pStyle w:val="44"/>
              <w:rPr>
                <w:color w:val="auto"/>
                <w:shd w:val="clear" w:color="auto" w:fill="auto"/>
              </w:rPr>
            </w:pPr>
          </w:p>
        </w:tc>
        <w:tc>
          <w:tcPr>
            <w:tcW w:w="2459" w:type="dxa"/>
            <w:vAlign w:val="center"/>
          </w:tcPr>
          <w:p>
            <w:pPr>
              <w:pStyle w:val="44"/>
              <w:rPr>
                <w:color w:val="auto"/>
                <w:shd w:val="clear" w:color="auto" w:fill="auto"/>
              </w:rPr>
            </w:pPr>
            <w:r>
              <w:rPr>
                <w:rFonts w:hint="eastAsia"/>
                <w:color w:val="auto"/>
                <w:shd w:val="clear" w:color="auto" w:fill="auto"/>
              </w:rPr>
              <w:t>监测点</w:t>
            </w:r>
          </w:p>
        </w:tc>
        <w:tc>
          <w:tcPr>
            <w:tcW w:w="2438" w:type="dxa"/>
            <w:vAlign w:val="center"/>
          </w:tcPr>
          <w:p>
            <w:pPr>
              <w:pStyle w:val="44"/>
              <w:rPr>
                <w:color w:val="auto"/>
                <w:shd w:val="clear" w:color="auto" w:fill="auto"/>
              </w:rPr>
            </w:pPr>
            <w:r>
              <w:rPr>
                <w:rFonts w:hint="eastAsia"/>
                <w:color w:val="auto"/>
                <w:shd w:val="clear" w:color="auto" w:fill="auto"/>
              </w:rPr>
              <w:t>浓度</w:t>
            </w:r>
            <w:r>
              <w:rPr>
                <w:color w:val="auto"/>
                <w:shd w:val="clear" w:color="auto" w:fill="auto"/>
              </w:rPr>
              <w:t>（</w:t>
            </w:r>
            <w:r>
              <w:rPr>
                <w:rFonts w:hint="eastAsia"/>
                <w:color w:val="auto"/>
                <w:shd w:val="clear" w:color="auto" w:fill="auto"/>
                <w:lang w:eastAsia="zh-CN"/>
              </w:rPr>
              <w:t>m</w:t>
            </w:r>
            <w:r>
              <w:rPr>
                <w:color w:val="auto"/>
                <w:shd w:val="clear" w:color="auto" w:fill="auto"/>
              </w:rPr>
              <w:t>g/</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4" w:type="dxa"/>
            <w:vAlign w:val="center"/>
          </w:tcPr>
          <w:p>
            <w:pPr>
              <w:pStyle w:val="44"/>
              <w:rPr>
                <w:color w:val="auto"/>
                <w:shd w:val="clear" w:color="auto" w:fill="auto"/>
              </w:rPr>
            </w:pPr>
            <w:r>
              <w:rPr>
                <w:rFonts w:hint="eastAsia"/>
                <w:color w:val="auto"/>
                <w:shd w:val="clear" w:color="auto" w:fill="auto"/>
              </w:rPr>
              <w:t>颗粒物</w:t>
            </w:r>
          </w:p>
        </w:tc>
        <w:tc>
          <w:tcPr>
            <w:tcW w:w="2025" w:type="dxa"/>
            <w:vAlign w:val="center"/>
          </w:tcPr>
          <w:p>
            <w:pPr>
              <w:pStyle w:val="44"/>
              <w:rPr>
                <w:color w:val="auto"/>
                <w:shd w:val="clear" w:color="auto" w:fill="auto"/>
              </w:rPr>
            </w:pPr>
            <w:r>
              <w:rPr>
                <w:rFonts w:hint="eastAsia"/>
                <w:color w:val="auto"/>
                <w:shd w:val="clear" w:color="auto" w:fill="auto"/>
              </w:rPr>
              <w:t>120</w:t>
            </w:r>
          </w:p>
        </w:tc>
        <w:tc>
          <w:tcPr>
            <w:tcW w:w="2459" w:type="dxa"/>
            <w:vAlign w:val="center"/>
          </w:tcPr>
          <w:p>
            <w:pPr>
              <w:pStyle w:val="44"/>
              <w:rPr>
                <w:color w:val="auto"/>
                <w:shd w:val="clear" w:color="auto" w:fill="auto"/>
              </w:rPr>
            </w:pPr>
            <w:r>
              <w:rPr>
                <w:color w:val="auto"/>
                <w:shd w:val="clear" w:color="auto" w:fill="auto"/>
              </w:rPr>
              <w:t>周界外浓度最高点</w:t>
            </w:r>
          </w:p>
        </w:tc>
        <w:tc>
          <w:tcPr>
            <w:tcW w:w="2438" w:type="dxa"/>
            <w:vAlign w:val="center"/>
          </w:tcPr>
          <w:p>
            <w:pPr>
              <w:pStyle w:val="44"/>
              <w:rPr>
                <w:color w:val="auto"/>
                <w:shd w:val="clear" w:color="auto" w:fill="auto"/>
              </w:rPr>
            </w:pPr>
            <w:r>
              <w:rPr>
                <w:rFonts w:hint="eastAsia"/>
                <w:color w:val="auto"/>
                <w:shd w:val="clear" w:color="auto" w:fil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4" w:type="dxa"/>
            <w:vAlign w:val="center"/>
          </w:tcPr>
          <w:p>
            <w:pPr>
              <w:pStyle w:val="44"/>
              <w:rPr>
                <w:color w:val="auto"/>
                <w:shd w:val="clear" w:color="auto" w:fill="auto"/>
              </w:rPr>
            </w:pPr>
            <w:r>
              <w:rPr>
                <w:rFonts w:hint="eastAsia"/>
                <w:color w:val="auto"/>
                <w:shd w:val="clear" w:color="auto" w:fill="auto"/>
              </w:rPr>
              <w:t>SO</w:t>
            </w:r>
            <w:r>
              <w:rPr>
                <w:rFonts w:hint="eastAsia"/>
                <w:color w:val="auto"/>
                <w:shd w:val="clear" w:color="auto" w:fill="auto"/>
                <w:vertAlign w:val="subscript"/>
              </w:rPr>
              <w:t>2</w:t>
            </w:r>
          </w:p>
        </w:tc>
        <w:tc>
          <w:tcPr>
            <w:tcW w:w="2025" w:type="dxa"/>
            <w:vAlign w:val="center"/>
          </w:tcPr>
          <w:p>
            <w:pPr>
              <w:pStyle w:val="44"/>
              <w:rPr>
                <w:color w:val="auto"/>
                <w:shd w:val="clear" w:color="auto" w:fill="auto"/>
              </w:rPr>
            </w:pPr>
            <w:r>
              <w:rPr>
                <w:rFonts w:hint="eastAsia"/>
                <w:color w:val="auto"/>
                <w:shd w:val="clear" w:color="auto" w:fill="auto"/>
              </w:rPr>
              <w:t>550</w:t>
            </w:r>
          </w:p>
        </w:tc>
        <w:tc>
          <w:tcPr>
            <w:tcW w:w="2459" w:type="dxa"/>
            <w:vAlign w:val="center"/>
          </w:tcPr>
          <w:p>
            <w:pPr>
              <w:pStyle w:val="44"/>
              <w:rPr>
                <w:color w:val="auto"/>
                <w:shd w:val="clear" w:color="auto" w:fill="auto"/>
              </w:rPr>
            </w:pPr>
            <w:r>
              <w:rPr>
                <w:color w:val="auto"/>
                <w:shd w:val="clear" w:color="auto" w:fill="auto"/>
              </w:rPr>
              <w:t>周界外浓度最高点</w:t>
            </w:r>
          </w:p>
        </w:tc>
        <w:tc>
          <w:tcPr>
            <w:tcW w:w="2438" w:type="dxa"/>
            <w:vAlign w:val="center"/>
          </w:tcPr>
          <w:p>
            <w:pPr>
              <w:pStyle w:val="44"/>
              <w:rPr>
                <w:color w:val="auto"/>
                <w:shd w:val="clear" w:color="auto" w:fill="auto"/>
              </w:rPr>
            </w:pPr>
            <w:r>
              <w:rPr>
                <w:rFonts w:hint="eastAsia"/>
                <w:color w:val="auto"/>
                <w:shd w:val="clear" w:color="auto" w:fill="auto"/>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4" w:type="dxa"/>
            <w:vAlign w:val="center"/>
          </w:tcPr>
          <w:p>
            <w:pPr>
              <w:pStyle w:val="44"/>
              <w:rPr>
                <w:color w:val="auto"/>
                <w:shd w:val="clear" w:color="auto" w:fill="auto"/>
              </w:rPr>
            </w:pPr>
            <w:r>
              <w:rPr>
                <w:rFonts w:hint="eastAsia"/>
                <w:color w:val="auto"/>
                <w:shd w:val="clear" w:color="auto" w:fill="auto"/>
              </w:rPr>
              <w:t>NOx</w:t>
            </w:r>
          </w:p>
        </w:tc>
        <w:tc>
          <w:tcPr>
            <w:tcW w:w="2025" w:type="dxa"/>
            <w:vAlign w:val="center"/>
          </w:tcPr>
          <w:p>
            <w:pPr>
              <w:pStyle w:val="44"/>
              <w:rPr>
                <w:color w:val="auto"/>
                <w:shd w:val="clear" w:color="auto" w:fill="auto"/>
              </w:rPr>
            </w:pPr>
            <w:r>
              <w:rPr>
                <w:rFonts w:hint="eastAsia"/>
                <w:color w:val="auto"/>
                <w:shd w:val="clear" w:color="auto" w:fill="auto"/>
              </w:rPr>
              <w:t>240</w:t>
            </w:r>
          </w:p>
        </w:tc>
        <w:tc>
          <w:tcPr>
            <w:tcW w:w="2459" w:type="dxa"/>
            <w:vAlign w:val="center"/>
          </w:tcPr>
          <w:p>
            <w:pPr>
              <w:pStyle w:val="44"/>
              <w:rPr>
                <w:color w:val="auto"/>
                <w:shd w:val="clear" w:color="auto" w:fill="auto"/>
              </w:rPr>
            </w:pPr>
            <w:r>
              <w:rPr>
                <w:color w:val="auto"/>
                <w:shd w:val="clear" w:color="auto" w:fill="auto"/>
              </w:rPr>
              <w:t>周界外浓度最高点</w:t>
            </w:r>
          </w:p>
        </w:tc>
        <w:tc>
          <w:tcPr>
            <w:tcW w:w="2438" w:type="dxa"/>
            <w:vAlign w:val="center"/>
          </w:tcPr>
          <w:p>
            <w:pPr>
              <w:pStyle w:val="44"/>
              <w:rPr>
                <w:color w:val="auto"/>
                <w:shd w:val="clear" w:color="auto" w:fill="auto"/>
              </w:rPr>
            </w:pPr>
            <w:r>
              <w:rPr>
                <w:rFonts w:hint="eastAsia"/>
                <w:color w:val="auto"/>
                <w:shd w:val="clear" w:color="auto" w:fill="auto"/>
              </w:rPr>
              <w:t>0.12</w:t>
            </w:r>
          </w:p>
        </w:tc>
      </w:tr>
    </w:tbl>
    <w:p>
      <w:pPr>
        <w:numPr>
          <w:ilvl w:val="0"/>
          <w:numId w:val="3"/>
        </w:numPr>
        <w:ind w:firstLine="480"/>
        <w:rPr>
          <w:color w:val="auto"/>
          <w:highlight w:val="none"/>
          <w:shd w:val="clear" w:color="auto" w:fill="auto"/>
        </w:rPr>
      </w:pPr>
      <w:r>
        <w:rPr>
          <w:color w:val="auto"/>
          <w:highlight w:val="none"/>
          <w:shd w:val="clear" w:color="auto" w:fill="auto"/>
        </w:rPr>
        <w:t>废水排放标准</w:t>
      </w:r>
    </w:p>
    <w:p>
      <w:pPr>
        <w:bidi w:val="0"/>
        <w:rPr>
          <w:rFonts w:hint="eastAsia"/>
          <w:color w:val="auto"/>
          <w:shd w:val="clear" w:color="auto" w:fill="auto"/>
          <w:lang w:eastAsia="zh-CN"/>
        </w:rPr>
      </w:pPr>
      <w:r>
        <w:rPr>
          <w:rFonts w:hint="eastAsia"/>
          <w:color w:val="auto"/>
          <w:shd w:val="clear" w:color="auto" w:fill="auto"/>
        </w:rPr>
        <w:t>船舶生活污水及油污水由船舶生活污水收集罐车及船舶油污水收集罐车分别收集，定期外运至有资质的接收处理单位。港区生活污水由移动厕所收集储存，定期由清掏车外运至相关接收处理单位。车辆冲洗废水经隔油池、沉淀池处理后，排入回用水池，回用于港区洒水抑尘。码头面冲洗水及港区初期雨水采用排水明沟收集，排入沉淀池经沉淀处理后，全部回用于港区洒水抑尘等，不外排。散货仓库地面冲洗废水排入沉淀池沉淀后回用于洒水抑尘，办公楼工作人员产生的生活污水经化粪池收集处理后，定期外运至相关接收处理单位。</w:t>
      </w:r>
    </w:p>
    <w:p>
      <w:pPr>
        <w:bidi w:val="0"/>
        <w:rPr>
          <w:rFonts w:hint="default"/>
          <w:color w:val="auto"/>
          <w:shd w:val="clear" w:color="auto" w:fill="auto"/>
        </w:rPr>
      </w:pPr>
      <w:r>
        <w:rPr>
          <w:rFonts w:hint="eastAsia"/>
          <w:color w:val="auto"/>
          <w:shd w:val="clear" w:color="auto" w:fill="auto"/>
          <w:lang w:eastAsia="zh-CN"/>
        </w:rPr>
        <w:t>本项目</w:t>
      </w:r>
      <w:r>
        <w:rPr>
          <w:rFonts w:hint="eastAsia"/>
          <w:color w:val="auto"/>
          <w:shd w:val="clear" w:color="auto" w:fill="auto"/>
          <w:lang w:val="en-US" w:eastAsia="zh-CN"/>
        </w:rPr>
        <w:t>实行零排放</w:t>
      </w:r>
      <w:r>
        <w:rPr>
          <w:rFonts w:hint="eastAsia"/>
          <w:color w:val="auto"/>
          <w:shd w:val="clear" w:color="auto" w:fill="auto"/>
          <w:lang w:eastAsia="zh-CN"/>
        </w:rPr>
        <w:t>。</w:t>
      </w:r>
    </w:p>
    <w:p>
      <w:pPr>
        <w:ind w:left="0" w:leftChars="0" w:firstLine="480" w:firstLineChars="200"/>
        <w:rPr>
          <w:color w:val="auto"/>
          <w:shd w:val="clear" w:color="auto" w:fill="auto"/>
        </w:rPr>
      </w:pPr>
      <w:r>
        <w:rPr>
          <w:rFonts w:hint="eastAsia"/>
          <w:color w:val="auto"/>
          <w:shd w:val="clear" w:color="auto" w:fill="auto"/>
        </w:rPr>
        <w:t>3、</w:t>
      </w:r>
      <w:r>
        <w:rPr>
          <w:color w:val="auto"/>
          <w:shd w:val="clear" w:color="auto" w:fill="auto"/>
        </w:rPr>
        <w:t>噪声排放标准</w:t>
      </w:r>
    </w:p>
    <w:p>
      <w:pPr>
        <w:ind w:firstLine="480"/>
        <w:rPr>
          <w:color w:val="auto"/>
          <w:shd w:val="clear" w:color="auto" w:fill="auto"/>
        </w:rPr>
      </w:pPr>
      <w:r>
        <w:rPr>
          <w:color w:val="auto"/>
          <w:shd w:val="clear" w:color="auto" w:fill="auto"/>
        </w:rPr>
        <w:t>施工期噪声执行《建筑施工场界环境噪声排放标准》（GB12523-2011），具体值见表1.</w:t>
      </w:r>
      <w:r>
        <w:rPr>
          <w:rFonts w:hint="eastAsia"/>
          <w:color w:val="auto"/>
          <w:shd w:val="clear" w:color="auto" w:fill="auto"/>
        </w:rPr>
        <w:t>3</w:t>
      </w:r>
      <w:r>
        <w:rPr>
          <w:color w:val="auto"/>
          <w:shd w:val="clear" w:color="auto" w:fill="auto"/>
        </w:rPr>
        <w:t>-</w:t>
      </w:r>
      <w:r>
        <w:rPr>
          <w:rFonts w:hint="eastAsia"/>
          <w:color w:val="auto"/>
          <w:shd w:val="clear" w:color="auto" w:fill="auto"/>
          <w:lang w:val="en-US" w:eastAsia="zh-CN"/>
        </w:rPr>
        <w:t>7</w:t>
      </w:r>
      <w:r>
        <w:rPr>
          <w:color w:val="auto"/>
          <w:shd w:val="clear" w:color="auto" w:fill="auto"/>
        </w:rPr>
        <w:t>。</w:t>
      </w:r>
    </w:p>
    <w:p>
      <w:pPr>
        <w:pStyle w:val="43"/>
        <w:rPr>
          <w:color w:val="auto"/>
          <w:shd w:val="clear" w:color="auto" w:fill="auto"/>
        </w:rPr>
      </w:pPr>
      <w:r>
        <w:rPr>
          <w:color w:val="auto"/>
          <w:shd w:val="clear" w:color="auto" w:fill="auto"/>
        </w:rPr>
        <w:t>表1.</w:t>
      </w:r>
      <w:r>
        <w:rPr>
          <w:rFonts w:hint="eastAsia"/>
          <w:color w:val="auto"/>
          <w:shd w:val="clear" w:color="auto" w:fill="auto"/>
        </w:rPr>
        <w:t>3</w:t>
      </w:r>
      <w:r>
        <w:rPr>
          <w:color w:val="auto"/>
          <w:shd w:val="clear" w:color="auto" w:fill="auto"/>
        </w:rPr>
        <w:t>-</w:t>
      </w:r>
      <w:r>
        <w:rPr>
          <w:rFonts w:hint="eastAsia"/>
          <w:color w:val="auto"/>
          <w:shd w:val="clear" w:color="auto" w:fill="auto"/>
          <w:lang w:val="en-US" w:eastAsia="zh-CN"/>
        </w:rPr>
        <w:t xml:space="preserve">7 </w:t>
      </w:r>
      <w:r>
        <w:rPr>
          <w:color w:val="auto"/>
          <w:shd w:val="clear" w:color="auto" w:fill="auto"/>
        </w:rPr>
        <w:t xml:space="preserve">《建筑施工场界环境噪声排放排放标准》 </w:t>
      </w:r>
      <w:r>
        <w:rPr>
          <w:rFonts w:hint="eastAsia"/>
          <w:color w:val="auto"/>
          <w:shd w:val="clear" w:color="auto" w:fill="auto"/>
        </w:rPr>
        <w:t xml:space="preserve"> </w:t>
      </w:r>
      <w:r>
        <w:rPr>
          <w:color w:val="auto"/>
          <w:shd w:val="clear" w:color="auto" w:fill="auto"/>
        </w:rPr>
        <w:t>单位：dB(A)</w:t>
      </w:r>
    </w:p>
    <w:tbl>
      <w:tblPr>
        <w:tblStyle w:val="27"/>
        <w:tblW w:w="8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04"/>
        <w:gridCol w:w="44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04" w:type="dxa"/>
            <w:vAlign w:val="center"/>
          </w:tcPr>
          <w:p>
            <w:pPr>
              <w:pStyle w:val="44"/>
              <w:rPr>
                <w:color w:val="auto"/>
                <w:shd w:val="clear" w:color="auto" w:fill="auto"/>
              </w:rPr>
            </w:pPr>
            <w:r>
              <w:rPr>
                <w:rFonts w:hint="eastAsia"/>
                <w:color w:val="auto"/>
                <w:shd w:val="clear" w:color="auto" w:fill="auto"/>
              </w:rPr>
              <w:t>昼间</w:t>
            </w:r>
          </w:p>
        </w:tc>
        <w:tc>
          <w:tcPr>
            <w:tcW w:w="4442" w:type="dxa"/>
            <w:vAlign w:val="center"/>
          </w:tcPr>
          <w:p>
            <w:pPr>
              <w:pStyle w:val="44"/>
              <w:rPr>
                <w:color w:val="auto"/>
                <w:shd w:val="clear" w:color="auto" w:fill="auto"/>
              </w:rPr>
            </w:pPr>
            <w:r>
              <w:rPr>
                <w:rFonts w:hint="eastAsia"/>
                <w:color w:val="auto"/>
                <w:shd w:val="clear" w:color="auto" w:fill="auto"/>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04" w:type="dxa"/>
            <w:vAlign w:val="center"/>
          </w:tcPr>
          <w:p>
            <w:pPr>
              <w:pStyle w:val="44"/>
              <w:rPr>
                <w:color w:val="auto"/>
                <w:shd w:val="clear" w:color="auto" w:fill="auto"/>
              </w:rPr>
            </w:pPr>
            <w:r>
              <w:rPr>
                <w:rFonts w:hint="eastAsia"/>
                <w:color w:val="auto"/>
                <w:shd w:val="clear" w:color="auto" w:fill="auto"/>
              </w:rPr>
              <w:t>70</w:t>
            </w:r>
          </w:p>
        </w:tc>
        <w:tc>
          <w:tcPr>
            <w:tcW w:w="4442" w:type="dxa"/>
            <w:vAlign w:val="center"/>
          </w:tcPr>
          <w:p>
            <w:pPr>
              <w:pStyle w:val="44"/>
              <w:rPr>
                <w:color w:val="auto"/>
                <w:shd w:val="clear" w:color="auto" w:fill="auto"/>
              </w:rPr>
            </w:pPr>
            <w:r>
              <w:rPr>
                <w:rFonts w:hint="eastAsia"/>
                <w:color w:val="auto"/>
                <w:shd w:val="clear" w:color="auto" w:fill="auto"/>
              </w:rPr>
              <w:t>55</w:t>
            </w:r>
          </w:p>
        </w:tc>
      </w:tr>
    </w:tbl>
    <w:p>
      <w:pPr>
        <w:ind w:firstLine="480"/>
        <w:rPr>
          <w:color w:val="auto"/>
          <w:shd w:val="clear" w:color="auto" w:fill="auto"/>
        </w:rPr>
      </w:pPr>
      <w:r>
        <w:rPr>
          <w:rFonts w:hint="eastAsia"/>
          <w:color w:val="auto"/>
          <w:shd w:val="clear" w:color="auto" w:fill="auto"/>
        </w:rPr>
        <w:t>运营期南厂界噪声排放标准执行《工业企业厂界环境噪声排放标准》（</w:t>
      </w:r>
      <w:r>
        <w:rPr>
          <w:color w:val="auto"/>
          <w:shd w:val="clear" w:color="auto" w:fill="auto"/>
        </w:rPr>
        <w:t>GB12348-2008</w:t>
      </w:r>
      <w:r>
        <w:rPr>
          <w:rFonts w:hint="eastAsia"/>
          <w:color w:val="auto"/>
          <w:shd w:val="clear" w:color="auto" w:fill="auto"/>
        </w:rPr>
        <w:t>）</w:t>
      </w:r>
      <w:r>
        <w:rPr>
          <w:color w:val="auto"/>
          <w:shd w:val="clear" w:color="auto" w:fill="auto"/>
        </w:rPr>
        <w:t>4</w:t>
      </w:r>
      <w:r>
        <w:rPr>
          <w:rFonts w:hint="eastAsia"/>
          <w:color w:val="auto"/>
          <w:shd w:val="clear" w:color="auto" w:fill="auto"/>
        </w:rPr>
        <w:t>类标准，其余厂界执行</w:t>
      </w:r>
      <w:r>
        <w:rPr>
          <w:rFonts w:hint="eastAsia"/>
          <w:color w:val="auto"/>
          <w:shd w:val="clear" w:color="auto" w:fill="auto"/>
          <w:lang w:val="en-US" w:eastAsia="zh-CN"/>
        </w:rPr>
        <w:t>2</w:t>
      </w:r>
      <w:r>
        <w:rPr>
          <w:rFonts w:hint="eastAsia"/>
          <w:color w:val="auto"/>
          <w:shd w:val="clear" w:color="auto" w:fill="auto"/>
        </w:rPr>
        <w:t>类标准，具体见表</w:t>
      </w:r>
      <w:r>
        <w:rPr>
          <w:color w:val="auto"/>
          <w:shd w:val="clear" w:color="auto" w:fill="auto"/>
        </w:rPr>
        <w:t>1.</w:t>
      </w:r>
      <w:r>
        <w:rPr>
          <w:rFonts w:hint="eastAsia"/>
          <w:color w:val="auto"/>
          <w:shd w:val="clear" w:color="auto" w:fill="auto"/>
        </w:rPr>
        <w:t>3</w:t>
      </w:r>
      <w:r>
        <w:rPr>
          <w:color w:val="auto"/>
          <w:shd w:val="clear" w:color="auto" w:fill="auto"/>
        </w:rPr>
        <w:t>-</w:t>
      </w:r>
      <w:r>
        <w:rPr>
          <w:rFonts w:hint="eastAsia"/>
          <w:color w:val="auto"/>
          <w:shd w:val="clear" w:color="auto" w:fill="auto"/>
          <w:lang w:val="en-US" w:eastAsia="zh-CN"/>
        </w:rPr>
        <w:t>8</w:t>
      </w:r>
      <w:r>
        <w:rPr>
          <w:rFonts w:hint="eastAsia"/>
          <w:color w:val="auto"/>
          <w:shd w:val="clear" w:color="auto" w:fill="auto"/>
        </w:rPr>
        <w:t>。</w:t>
      </w:r>
    </w:p>
    <w:p>
      <w:pPr>
        <w:pStyle w:val="43"/>
        <w:rPr>
          <w:color w:val="auto"/>
          <w:shd w:val="clear" w:color="auto" w:fill="auto"/>
        </w:rPr>
      </w:pPr>
      <w:r>
        <w:rPr>
          <w:rFonts w:hint="eastAsia"/>
          <w:color w:val="auto"/>
          <w:shd w:val="clear" w:color="auto" w:fill="auto"/>
        </w:rPr>
        <w:t>表</w:t>
      </w:r>
      <w:r>
        <w:rPr>
          <w:color w:val="auto"/>
          <w:shd w:val="clear" w:color="auto" w:fill="auto"/>
        </w:rPr>
        <w:t>1.</w:t>
      </w:r>
      <w:r>
        <w:rPr>
          <w:rFonts w:hint="eastAsia"/>
          <w:color w:val="auto"/>
          <w:shd w:val="clear" w:color="auto" w:fill="auto"/>
        </w:rPr>
        <w:t>3</w:t>
      </w:r>
      <w:r>
        <w:rPr>
          <w:color w:val="auto"/>
          <w:shd w:val="clear" w:color="auto" w:fill="auto"/>
        </w:rPr>
        <w:t>-</w:t>
      </w:r>
      <w:r>
        <w:rPr>
          <w:rFonts w:hint="eastAsia"/>
          <w:color w:val="auto"/>
          <w:shd w:val="clear" w:color="auto" w:fill="auto"/>
          <w:lang w:val="en-US" w:eastAsia="zh-CN"/>
        </w:rPr>
        <w:t>8</w:t>
      </w:r>
      <w:r>
        <w:rPr>
          <w:rFonts w:hint="eastAsia"/>
          <w:color w:val="auto"/>
          <w:shd w:val="clear" w:color="auto" w:fill="auto"/>
        </w:rPr>
        <w:t xml:space="preserve"> 《工业企业厂界噪声标准》 </w:t>
      </w:r>
      <w:r>
        <w:rPr>
          <w:color w:val="auto"/>
          <w:shd w:val="clear" w:color="auto" w:fill="auto"/>
        </w:rPr>
        <w:t xml:space="preserve"> </w:t>
      </w:r>
      <w:r>
        <w:rPr>
          <w:rFonts w:hint="eastAsia"/>
          <w:color w:val="auto"/>
          <w:shd w:val="clear" w:color="auto" w:fill="auto"/>
        </w:rPr>
        <w:t>单位：</w:t>
      </w:r>
      <w:r>
        <w:rPr>
          <w:color w:val="auto"/>
          <w:shd w:val="clear" w:color="auto" w:fill="auto"/>
        </w:rPr>
        <w:t>dB(A)</w:t>
      </w:r>
    </w:p>
    <w:tbl>
      <w:tblPr>
        <w:tblStyle w:val="26"/>
        <w:tblW w:w="8932" w:type="dxa"/>
        <w:jc w:val="center"/>
        <w:tblLayout w:type="fixed"/>
        <w:tblCellMar>
          <w:top w:w="0" w:type="dxa"/>
          <w:left w:w="0" w:type="dxa"/>
          <w:bottom w:w="0" w:type="dxa"/>
          <w:right w:w="0" w:type="dxa"/>
        </w:tblCellMar>
      </w:tblPr>
      <w:tblGrid>
        <w:gridCol w:w="2977"/>
        <w:gridCol w:w="2977"/>
        <w:gridCol w:w="2978"/>
      </w:tblGrid>
      <w:tr>
        <w:tblPrEx>
          <w:tblCellMar>
            <w:top w:w="0" w:type="dxa"/>
            <w:left w:w="0" w:type="dxa"/>
            <w:bottom w:w="0" w:type="dxa"/>
            <w:right w:w="0" w:type="dxa"/>
          </w:tblCellMar>
        </w:tblPrEx>
        <w:trPr>
          <w:trHeight w:val="340" w:hRule="exact"/>
          <w:jc w:val="center"/>
        </w:trPr>
        <w:tc>
          <w:tcPr>
            <w:tcW w:w="2977" w:type="dxa"/>
            <w:vMerge w:val="restart"/>
            <w:tcBorders>
              <w:top w:val="single" w:color="000000" w:sz="4" w:space="0"/>
              <w:left w:val="single" w:color="000000" w:sz="4" w:space="0"/>
              <w:right w:val="single" w:color="000000" w:sz="4" w:space="0"/>
            </w:tcBorders>
            <w:vAlign w:val="center"/>
          </w:tcPr>
          <w:p>
            <w:pPr>
              <w:pStyle w:val="44"/>
              <w:rPr>
                <w:color w:val="auto"/>
                <w:shd w:val="clear" w:color="auto" w:fill="auto"/>
              </w:rPr>
            </w:pPr>
            <w:r>
              <w:rPr>
                <w:rFonts w:hint="eastAsia"/>
                <w:color w:val="auto"/>
                <w:shd w:val="clear" w:color="auto" w:fill="auto"/>
              </w:rPr>
              <w:t>评价标准</w:t>
            </w:r>
          </w:p>
        </w:tc>
        <w:tc>
          <w:tcPr>
            <w:tcW w:w="5955" w:type="dxa"/>
            <w:gridSpan w:val="2"/>
            <w:tcBorders>
              <w:top w:val="single" w:color="000000" w:sz="4" w:space="0"/>
              <w:left w:val="single" w:color="000000" w:sz="4" w:space="0"/>
              <w:bottom w:val="single" w:color="000000" w:sz="4" w:space="0"/>
              <w:right w:val="single" w:color="000000" w:sz="4" w:space="0"/>
            </w:tcBorders>
            <w:vAlign w:val="center"/>
          </w:tcPr>
          <w:p>
            <w:pPr>
              <w:pStyle w:val="44"/>
              <w:rPr>
                <w:color w:val="auto"/>
                <w:shd w:val="clear" w:color="auto" w:fill="auto"/>
              </w:rPr>
            </w:pPr>
            <w:r>
              <w:rPr>
                <w:rFonts w:hint="eastAsia"/>
                <w:color w:val="auto"/>
                <w:shd w:val="clear" w:color="auto" w:fill="auto"/>
              </w:rPr>
              <w:t>等效声级 Leq</w:t>
            </w:r>
          </w:p>
        </w:tc>
      </w:tr>
      <w:tr>
        <w:tblPrEx>
          <w:tblCellMar>
            <w:top w:w="0" w:type="dxa"/>
            <w:left w:w="0" w:type="dxa"/>
            <w:bottom w:w="0" w:type="dxa"/>
            <w:right w:w="0" w:type="dxa"/>
          </w:tblCellMar>
        </w:tblPrEx>
        <w:trPr>
          <w:trHeight w:val="340" w:hRule="exact"/>
          <w:jc w:val="center"/>
        </w:trPr>
        <w:tc>
          <w:tcPr>
            <w:tcW w:w="2977" w:type="dxa"/>
            <w:vMerge w:val="continue"/>
            <w:tcBorders>
              <w:left w:val="single" w:color="000000" w:sz="4" w:space="0"/>
              <w:bottom w:val="single" w:color="000000" w:sz="4" w:space="0"/>
              <w:right w:val="single" w:color="000000" w:sz="4" w:space="0"/>
            </w:tcBorders>
            <w:vAlign w:val="center"/>
          </w:tcPr>
          <w:p>
            <w:pPr>
              <w:pStyle w:val="44"/>
              <w:rPr>
                <w:color w:val="auto"/>
                <w:shd w:val="clear" w:color="auto" w:fill="auto"/>
              </w:rPr>
            </w:pPr>
          </w:p>
        </w:tc>
        <w:tc>
          <w:tcPr>
            <w:tcW w:w="2977" w:type="dxa"/>
            <w:tcBorders>
              <w:top w:val="single" w:color="000000" w:sz="4" w:space="0"/>
              <w:left w:val="single" w:color="000000" w:sz="4" w:space="0"/>
              <w:bottom w:val="single" w:color="000000" w:sz="4" w:space="0"/>
              <w:right w:val="single" w:color="000000" w:sz="4" w:space="0"/>
            </w:tcBorders>
            <w:vAlign w:val="center"/>
          </w:tcPr>
          <w:p>
            <w:pPr>
              <w:pStyle w:val="44"/>
              <w:rPr>
                <w:color w:val="auto"/>
                <w:shd w:val="clear" w:color="auto" w:fill="auto"/>
              </w:rPr>
            </w:pPr>
            <w:r>
              <w:rPr>
                <w:rFonts w:hint="eastAsia"/>
                <w:color w:val="auto"/>
                <w:shd w:val="clear" w:color="auto" w:fill="auto"/>
              </w:rPr>
              <w:t>昼间</w:t>
            </w:r>
          </w:p>
        </w:tc>
        <w:tc>
          <w:tcPr>
            <w:tcW w:w="2978" w:type="dxa"/>
            <w:tcBorders>
              <w:top w:val="single" w:color="000000" w:sz="4" w:space="0"/>
              <w:left w:val="single" w:color="000000" w:sz="4" w:space="0"/>
              <w:bottom w:val="single" w:color="000000" w:sz="4" w:space="0"/>
              <w:right w:val="single" w:color="000000" w:sz="4" w:space="0"/>
            </w:tcBorders>
            <w:vAlign w:val="center"/>
          </w:tcPr>
          <w:p>
            <w:pPr>
              <w:pStyle w:val="44"/>
              <w:rPr>
                <w:color w:val="auto"/>
                <w:shd w:val="clear" w:color="auto" w:fill="auto"/>
              </w:rPr>
            </w:pPr>
            <w:r>
              <w:rPr>
                <w:rFonts w:hint="eastAsia"/>
                <w:color w:val="auto"/>
                <w:shd w:val="clear" w:color="auto" w:fill="auto"/>
              </w:rPr>
              <w:t>夜间</w:t>
            </w:r>
          </w:p>
        </w:tc>
      </w:tr>
      <w:tr>
        <w:tblPrEx>
          <w:tblCellMar>
            <w:top w:w="0" w:type="dxa"/>
            <w:left w:w="0" w:type="dxa"/>
            <w:bottom w:w="0" w:type="dxa"/>
            <w:right w:w="0" w:type="dxa"/>
          </w:tblCellMar>
        </w:tblPrEx>
        <w:trPr>
          <w:trHeight w:val="340" w:hRule="exact"/>
          <w:jc w:val="center"/>
        </w:trPr>
        <w:tc>
          <w:tcPr>
            <w:tcW w:w="2977" w:type="dxa"/>
            <w:tcBorders>
              <w:top w:val="single" w:color="000000" w:sz="4" w:space="0"/>
              <w:left w:val="single" w:color="000000" w:sz="4" w:space="0"/>
              <w:bottom w:val="single" w:color="000000" w:sz="4" w:space="0"/>
              <w:right w:val="single" w:color="000000" w:sz="4" w:space="0"/>
            </w:tcBorders>
            <w:vAlign w:val="center"/>
          </w:tcPr>
          <w:p>
            <w:pPr>
              <w:pStyle w:val="44"/>
              <w:rPr>
                <w:color w:val="auto"/>
                <w:shd w:val="clear" w:color="auto" w:fill="auto"/>
              </w:rPr>
            </w:pPr>
            <w:r>
              <w:rPr>
                <w:color w:val="auto"/>
                <w:shd w:val="clear" w:color="auto" w:fill="auto"/>
              </w:rPr>
              <w:t>GB12348-2008</w:t>
            </w:r>
            <w:r>
              <w:rPr>
                <w:rFonts w:hint="eastAsia"/>
                <w:color w:val="auto"/>
                <w:shd w:val="clear" w:color="auto" w:fill="auto"/>
                <w:lang w:val="en-US" w:eastAsia="zh-CN"/>
              </w:rPr>
              <w:t xml:space="preserve"> 2</w:t>
            </w:r>
            <w:r>
              <w:rPr>
                <w:rFonts w:hint="eastAsia"/>
                <w:color w:val="auto"/>
                <w:shd w:val="clear" w:color="auto" w:fill="auto"/>
              </w:rPr>
              <w:t>类</w:t>
            </w:r>
          </w:p>
        </w:tc>
        <w:tc>
          <w:tcPr>
            <w:tcW w:w="2977" w:type="dxa"/>
            <w:tcBorders>
              <w:top w:val="single" w:color="000000" w:sz="4" w:space="0"/>
              <w:left w:val="single" w:color="000000" w:sz="4" w:space="0"/>
              <w:bottom w:val="single" w:color="000000" w:sz="4" w:space="0"/>
              <w:right w:val="single" w:color="000000" w:sz="4" w:space="0"/>
            </w:tcBorders>
            <w:vAlign w:val="center"/>
          </w:tcPr>
          <w:p>
            <w:pPr>
              <w:pStyle w:val="44"/>
              <w:rPr>
                <w:rFonts w:hint="default" w:eastAsia="宋体"/>
                <w:color w:val="auto"/>
                <w:shd w:val="clear" w:color="auto" w:fill="auto"/>
                <w:lang w:val="en-US" w:eastAsia="zh-CN"/>
              </w:rPr>
            </w:pPr>
            <w:r>
              <w:rPr>
                <w:rFonts w:hint="eastAsia"/>
                <w:color w:val="auto"/>
                <w:shd w:val="clear" w:color="auto" w:fill="auto"/>
                <w:lang w:val="en-US" w:eastAsia="zh-CN"/>
              </w:rPr>
              <w:t>60</w:t>
            </w:r>
          </w:p>
        </w:tc>
        <w:tc>
          <w:tcPr>
            <w:tcW w:w="2978" w:type="dxa"/>
            <w:tcBorders>
              <w:top w:val="single" w:color="000000" w:sz="4" w:space="0"/>
              <w:left w:val="single" w:color="000000" w:sz="4" w:space="0"/>
              <w:bottom w:val="single" w:color="000000" w:sz="4" w:space="0"/>
              <w:right w:val="single" w:color="000000" w:sz="4" w:space="0"/>
            </w:tcBorders>
            <w:vAlign w:val="center"/>
          </w:tcPr>
          <w:p>
            <w:pPr>
              <w:pStyle w:val="44"/>
              <w:rPr>
                <w:rFonts w:hint="default" w:eastAsia="宋体"/>
                <w:color w:val="auto"/>
                <w:shd w:val="clear" w:color="auto" w:fill="auto"/>
                <w:lang w:val="en-US" w:eastAsia="zh-CN"/>
              </w:rPr>
            </w:pPr>
            <w:r>
              <w:rPr>
                <w:rFonts w:hint="eastAsia"/>
                <w:color w:val="auto"/>
                <w:shd w:val="clear" w:color="auto" w:fill="auto"/>
                <w:lang w:val="en-US" w:eastAsia="zh-CN"/>
              </w:rPr>
              <w:t>50</w:t>
            </w:r>
          </w:p>
        </w:tc>
      </w:tr>
      <w:tr>
        <w:tblPrEx>
          <w:tblCellMar>
            <w:top w:w="0" w:type="dxa"/>
            <w:left w:w="0" w:type="dxa"/>
            <w:bottom w:w="0" w:type="dxa"/>
            <w:right w:w="0" w:type="dxa"/>
          </w:tblCellMar>
        </w:tblPrEx>
        <w:trPr>
          <w:trHeight w:val="340" w:hRule="exact"/>
          <w:jc w:val="center"/>
        </w:trPr>
        <w:tc>
          <w:tcPr>
            <w:tcW w:w="2977" w:type="dxa"/>
            <w:tcBorders>
              <w:top w:val="single" w:color="000000" w:sz="4" w:space="0"/>
              <w:left w:val="single" w:color="000000" w:sz="4" w:space="0"/>
              <w:bottom w:val="single" w:color="000000" w:sz="4" w:space="0"/>
              <w:right w:val="single" w:color="000000" w:sz="4" w:space="0"/>
            </w:tcBorders>
            <w:vAlign w:val="center"/>
          </w:tcPr>
          <w:p>
            <w:pPr>
              <w:pStyle w:val="44"/>
              <w:ind w:firstLine="0" w:firstLineChars="0"/>
              <w:rPr>
                <w:color w:val="auto"/>
                <w:shd w:val="clear" w:color="auto" w:fill="auto"/>
              </w:rPr>
            </w:pPr>
            <w:r>
              <w:rPr>
                <w:color w:val="auto"/>
                <w:shd w:val="clear" w:color="auto" w:fill="auto"/>
              </w:rPr>
              <w:t>GB12348-2008</w:t>
            </w:r>
            <w:r>
              <w:rPr>
                <w:rFonts w:hint="eastAsia"/>
                <w:color w:val="auto"/>
                <w:shd w:val="clear" w:color="auto" w:fill="auto"/>
                <w:lang w:val="en-US" w:eastAsia="zh-CN"/>
              </w:rPr>
              <w:t xml:space="preserve"> </w:t>
            </w:r>
            <w:r>
              <w:rPr>
                <w:rFonts w:hint="eastAsia"/>
                <w:color w:val="auto"/>
                <w:shd w:val="clear" w:color="auto" w:fill="auto"/>
              </w:rPr>
              <w:t>4类</w:t>
            </w:r>
          </w:p>
        </w:tc>
        <w:tc>
          <w:tcPr>
            <w:tcW w:w="2977" w:type="dxa"/>
            <w:tcBorders>
              <w:top w:val="single" w:color="000000" w:sz="4" w:space="0"/>
              <w:left w:val="single" w:color="000000" w:sz="4" w:space="0"/>
              <w:bottom w:val="single" w:color="000000" w:sz="4" w:space="0"/>
              <w:right w:val="single" w:color="000000" w:sz="4" w:space="0"/>
            </w:tcBorders>
            <w:vAlign w:val="center"/>
          </w:tcPr>
          <w:p>
            <w:pPr>
              <w:pStyle w:val="44"/>
              <w:ind w:firstLine="0" w:firstLineChars="0"/>
              <w:rPr>
                <w:rFonts w:hint="eastAsia"/>
                <w:color w:val="auto"/>
                <w:shd w:val="clear" w:color="auto" w:fill="auto"/>
              </w:rPr>
            </w:pPr>
            <w:r>
              <w:rPr>
                <w:rFonts w:hint="eastAsia"/>
                <w:color w:val="auto"/>
                <w:shd w:val="clear" w:color="auto" w:fill="auto"/>
              </w:rPr>
              <w:t>70</w:t>
            </w:r>
          </w:p>
        </w:tc>
        <w:tc>
          <w:tcPr>
            <w:tcW w:w="2978" w:type="dxa"/>
            <w:tcBorders>
              <w:top w:val="single" w:color="000000" w:sz="4" w:space="0"/>
              <w:left w:val="single" w:color="000000" w:sz="4" w:space="0"/>
              <w:bottom w:val="single" w:color="000000" w:sz="4" w:space="0"/>
              <w:right w:val="single" w:color="000000" w:sz="4" w:space="0"/>
            </w:tcBorders>
            <w:vAlign w:val="center"/>
          </w:tcPr>
          <w:p>
            <w:pPr>
              <w:pStyle w:val="44"/>
              <w:ind w:firstLine="0" w:firstLineChars="0"/>
              <w:rPr>
                <w:rFonts w:hint="eastAsia"/>
                <w:color w:val="auto"/>
                <w:shd w:val="clear" w:color="auto" w:fill="auto"/>
              </w:rPr>
            </w:pPr>
            <w:r>
              <w:rPr>
                <w:rFonts w:hint="eastAsia"/>
                <w:color w:val="auto"/>
                <w:shd w:val="clear" w:color="auto" w:fill="auto"/>
              </w:rPr>
              <w:t>55</w:t>
            </w:r>
          </w:p>
        </w:tc>
      </w:tr>
    </w:tbl>
    <w:p>
      <w:pPr>
        <w:ind w:firstLine="480"/>
        <w:rPr>
          <w:color w:val="auto"/>
          <w:shd w:val="clear" w:color="auto" w:fill="auto"/>
        </w:rPr>
      </w:pPr>
      <w:r>
        <w:rPr>
          <w:rFonts w:hint="eastAsia"/>
          <w:color w:val="auto"/>
          <w:shd w:val="clear" w:color="auto" w:fill="auto"/>
        </w:rPr>
        <w:t>4、固废排放标准</w:t>
      </w:r>
    </w:p>
    <w:p>
      <w:pPr>
        <w:ind w:firstLine="480"/>
        <w:rPr>
          <w:color w:val="auto"/>
          <w:shd w:val="clear" w:color="auto" w:fill="auto"/>
        </w:rPr>
      </w:pPr>
      <w:r>
        <w:rPr>
          <w:color w:val="auto"/>
          <w:shd w:val="clear" w:color="auto" w:fill="auto"/>
        </w:rPr>
        <w:t>一般固废执行《一般工业固体废物贮存、处置场污染控制标准》（GB18599-2001）及其修改单（2013）中有关规定。危险废物</w:t>
      </w:r>
      <w:r>
        <w:rPr>
          <w:rFonts w:hint="eastAsia"/>
          <w:color w:val="auto"/>
          <w:shd w:val="clear" w:color="auto" w:fill="auto"/>
          <w:lang w:eastAsia="zh-CN"/>
        </w:rPr>
        <w:t>暂存</w:t>
      </w:r>
      <w:r>
        <w:rPr>
          <w:color w:val="auto"/>
          <w:shd w:val="clear" w:color="auto" w:fill="auto"/>
        </w:rPr>
        <w:t>执行《危险废物贮存污染控制标准》（GB18597-2001）及其修改单（2013）中有关规定。</w:t>
      </w:r>
    </w:p>
    <w:p>
      <w:pPr>
        <w:pStyle w:val="4"/>
        <w:spacing w:before="120" w:after="120"/>
        <w:rPr>
          <w:color w:val="auto"/>
          <w:highlight w:val="none"/>
          <w:shd w:val="clear" w:color="auto" w:fill="auto"/>
        </w:rPr>
      </w:pPr>
      <w:bookmarkStart w:id="53" w:name="_Toc25894"/>
      <w:bookmarkStart w:id="54" w:name="_Toc2023_WPSOffice_Level2"/>
      <w:bookmarkStart w:id="55" w:name="_Toc32151_WPSOffice_Level2"/>
      <w:r>
        <w:rPr>
          <w:rFonts w:hint="eastAsia"/>
          <w:color w:val="auto"/>
          <w:highlight w:val="none"/>
          <w:shd w:val="clear" w:color="auto" w:fill="auto"/>
        </w:rPr>
        <w:t>1.4 评价等级和评价重点</w:t>
      </w:r>
      <w:bookmarkEnd w:id="53"/>
      <w:bookmarkEnd w:id="54"/>
      <w:bookmarkEnd w:id="55"/>
    </w:p>
    <w:p>
      <w:pPr>
        <w:pStyle w:val="5"/>
        <w:rPr>
          <w:color w:val="auto"/>
          <w:shd w:val="clear" w:color="auto" w:fill="auto"/>
        </w:rPr>
      </w:pPr>
      <w:bookmarkStart w:id="56" w:name="_Toc98568558"/>
      <w:bookmarkStart w:id="57" w:name="_Toc122850111"/>
      <w:bookmarkStart w:id="58" w:name="_Toc111283837"/>
      <w:bookmarkStart w:id="59" w:name="_Toc102627642"/>
      <w:bookmarkStart w:id="60" w:name="_Toc111305438"/>
      <w:bookmarkStart w:id="61" w:name="_Toc101611229"/>
      <w:bookmarkStart w:id="62" w:name="_Toc114477344"/>
      <w:bookmarkStart w:id="63" w:name="_Toc100396823"/>
      <w:bookmarkStart w:id="64" w:name="_Toc123093160"/>
      <w:bookmarkStart w:id="65" w:name="_Toc178391631"/>
      <w:bookmarkStart w:id="66" w:name="_Toc111284216"/>
      <w:bookmarkStart w:id="67" w:name="_Toc108536567"/>
      <w:bookmarkStart w:id="68" w:name="_Toc102629413"/>
      <w:bookmarkStart w:id="69" w:name="_Toc105984857"/>
      <w:bookmarkStart w:id="70" w:name="_Toc123104338"/>
      <w:bookmarkStart w:id="71" w:name="_Toc123103687"/>
      <w:bookmarkStart w:id="72" w:name="_Toc114474155"/>
      <w:r>
        <w:rPr>
          <w:rFonts w:hint="eastAsia"/>
          <w:color w:val="auto"/>
          <w:shd w:val="clear" w:color="auto" w:fill="auto"/>
        </w:rPr>
        <w:t>1</w:t>
      </w:r>
      <w:r>
        <w:rPr>
          <w:color w:val="auto"/>
          <w:shd w:val="clear" w:color="auto" w:fill="auto"/>
        </w:rPr>
        <w:t>.</w:t>
      </w:r>
      <w:r>
        <w:rPr>
          <w:rFonts w:hint="eastAsia"/>
          <w:color w:val="auto"/>
          <w:shd w:val="clear" w:color="auto" w:fill="auto"/>
        </w:rPr>
        <w:t>4</w:t>
      </w:r>
      <w:r>
        <w:rPr>
          <w:color w:val="auto"/>
          <w:shd w:val="clear" w:color="auto" w:fill="auto"/>
        </w:rPr>
        <w:t>.1</w:t>
      </w:r>
      <w:r>
        <w:rPr>
          <w:rFonts w:hint="eastAsia"/>
          <w:color w:val="auto"/>
          <w:shd w:val="clear" w:color="auto" w:fill="auto"/>
        </w:rPr>
        <w:t xml:space="preserve"> </w:t>
      </w:r>
      <w:r>
        <w:rPr>
          <w:color w:val="auto"/>
          <w:shd w:val="clear" w:color="auto" w:fill="auto"/>
        </w:rPr>
        <w:t>评价等级</w:t>
      </w:r>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p>
    <w:p>
      <w:pPr>
        <w:tabs>
          <w:tab w:val="left" w:pos="1008"/>
        </w:tabs>
        <w:spacing w:line="440" w:lineRule="exact"/>
        <w:ind w:firstLine="480"/>
        <w:rPr>
          <w:color w:val="auto"/>
          <w:shd w:val="clear" w:color="auto" w:fill="auto"/>
        </w:rPr>
      </w:pPr>
      <w:r>
        <w:rPr>
          <w:color w:val="auto"/>
          <w:shd w:val="clear" w:color="auto" w:fill="auto"/>
        </w:rPr>
        <w:t>本项目各环境要素的评价等级确定如表1.</w:t>
      </w:r>
      <w:r>
        <w:rPr>
          <w:rFonts w:hint="eastAsia"/>
          <w:color w:val="auto"/>
          <w:shd w:val="clear" w:color="auto" w:fill="auto"/>
        </w:rPr>
        <w:t>4</w:t>
      </w:r>
      <w:r>
        <w:rPr>
          <w:color w:val="auto"/>
          <w:shd w:val="clear" w:color="auto" w:fill="auto"/>
        </w:rPr>
        <w:t>-1。</w:t>
      </w:r>
    </w:p>
    <w:p>
      <w:pPr>
        <w:tabs>
          <w:tab w:val="left" w:pos="900"/>
        </w:tabs>
        <w:spacing w:line="440" w:lineRule="exact"/>
        <w:ind w:firstLine="480"/>
        <w:jc w:val="center"/>
        <w:rPr>
          <w:rFonts w:eastAsia="黑体"/>
          <w:color w:val="auto"/>
          <w:highlight w:val="none"/>
          <w:shd w:val="clear" w:color="auto" w:fill="auto"/>
        </w:rPr>
      </w:pPr>
      <w:r>
        <w:rPr>
          <w:rFonts w:hint="eastAsia" w:eastAsia="黑体"/>
          <w:color w:val="auto"/>
          <w:highlight w:val="none"/>
          <w:shd w:val="clear" w:color="auto" w:fill="auto"/>
        </w:rPr>
        <w:t>表1.4-1 本项目评价等级</w:t>
      </w:r>
    </w:p>
    <w:tbl>
      <w:tblPr>
        <w:tblStyle w:val="26"/>
        <w:tblW w:w="8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2"/>
        <w:gridCol w:w="6659"/>
        <w:gridCol w:w="11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1152" w:type="dxa"/>
            <w:tcBorders>
              <w:left w:val="single" w:color="auto" w:sz="4" w:space="0"/>
            </w:tcBorders>
            <w:vAlign w:val="center"/>
          </w:tcPr>
          <w:p>
            <w:pPr>
              <w:pStyle w:val="44"/>
              <w:keepNext w:val="0"/>
              <w:keepLines w:val="0"/>
              <w:pageBreakBefore w:val="0"/>
              <w:widowControl w:val="0"/>
              <w:kinsoku/>
              <w:wordWrap/>
              <w:overflowPunct/>
              <w:topLinePunct w:val="0"/>
              <w:autoSpaceDE/>
              <w:autoSpaceDN/>
              <w:bidi w:val="0"/>
              <w:spacing w:line="264" w:lineRule="auto"/>
              <w:textAlignment w:val="auto"/>
              <w:rPr>
                <w:color w:val="auto"/>
                <w:shd w:val="clear" w:color="auto" w:fill="auto"/>
              </w:rPr>
            </w:pPr>
            <w:r>
              <w:rPr>
                <w:rFonts w:hint="eastAsia"/>
                <w:color w:val="auto"/>
                <w:shd w:val="clear" w:color="auto" w:fill="auto"/>
              </w:rPr>
              <w:t>环境要素</w:t>
            </w:r>
          </w:p>
        </w:tc>
        <w:tc>
          <w:tcPr>
            <w:tcW w:w="6659" w:type="dxa"/>
            <w:vAlign w:val="center"/>
          </w:tcPr>
          <w:p>
            <w:pPr>
              <w:pStyle w:val="44"/>
              <w:keepNext w:val="0"/>
              <w:keepLines w:val="0"/>
              <w:pageBreakBefore w:val="0"/>
              <w:widowControl w:val="0"/>
              <w:kinsoku/>
              <w:wordWrap/>
              <w:overflowPunct/>
              <w:topLinePunct w:val="0"/>
              <w:autoSpaceDE/>
              <w:autoSpaceDN/>
              <w:bidi w:val="0"/>
              <w:spacing w:line="264" w:lineRule="auto"/>
              <w:textAlignment w:val="auto"/>
              <w:rPr>
                <w:color w:val="auto"/>
                <w:shd w:val="clear" w:color="auto" w:fill="auto"/>
              </w:rPr>
            </w:pPr>
            <w:r>
              <w:rPr>
                <w:rFonts w:hint="eastAsia"/>
                <w:color w:val="auto"/>
                <w:shd w:val="clear" w:color="auto" w:fill="auto"/>
              </w:rPr>
              <w:t>环评等级划分依据</w:t>
            </w:r>
          </w:p>
        </w:tc>
        <w:tc>
          <w:tcPr>
            <w:tcW w:w="1135" w:type="dxa"/>
            <w:tcBorders>
              <w:right w:val="single" w:color="auto" w:sz="4" w:space="0"/>
            </w:tcBorders>
            <w:vAlign w:val="center"/>
          </w:tcPr>
          <w:p>
            <w:pPr>
              <w:pStyle w:val="44"/>
              <w:keepNext w:val="0"/>
              <w:keepLines w:val="0"/>
              <w:pageBreakBefore w:val="0"/>
              <w:widowControl w:val="0"/>
              <w:kinsoku/>
              <w:wordWrap/>
              <w:overflowPunct/>
              <w:topLinePunct w:val="0"/>
              <w:autoSpaceDE/>
              <w:autoSpaceDN/>
              <w:bidi w:val="0"/>
              <w:spacing w:line="264" w:lineRule="auto"/>
              <w:textAlignment w:val="auto"/>
              <w:rPr>
                <w:color w:val="auto"/>
                <w:shd w:val="clear" w:color="auto" w:fill="auto"/>
              </w:rPr>
            </w:pPr>
            <w:r>
              <w:rPr>
                <w:rFonts w:hint="eastAsia"/>
                <w:color w:val="auto"/>
                <w:shd w:val="clear" w:color="auto" w:fill="auto"/>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52" w:type="dxa"/>
            <w:tcBorders>
              <w:left w:val="single" w:color="auto" w:sz="4" w:space="0"/>
            </w:tcBorders>
            <w:vAlign w:val="center"/>
          </w:tcPr>
          <w:p>
            <w:pPr>
              <w:pStyle w:val="44"/>
              <w:keepNext w:val="0"/>
              <w:keepLines w:val="0"/>
              <w:pageBreakBefore w:val="0"/>
              <w:widowControl w:val="0"/>
              <w:kinsoku/>
              <w:wordWrap/>
              <w:overflowPunct/>
              <w:topLinePunct w:val="0"/>
              <w:autoSpaceDE/>
              <w:autoSpaceDN/>
              <w:bidi w:val="0"/>
              <w:spacing w:line="264" w:lineRule="auto"/>
              <w:textAlignment w:val="auto"/>
              <w:rPr>
                <w:color w:val="auto"/>
                <w:shd w:val="clear" w:color="auto" w:fill="auto"/>
              </w:rPr>
            </w:pPr>
            <w:r>
              <w:rPr>
                <w:rFonts w:hint="eastAsia"/>
                <w:color w:val="auto"/>
                <w:shd w:val="clear" w:color="auto" w:fill="auto"/>
              </w:rPr>
              <w:t>地表水环境</w:t>
            </w:r>
          </w:p>
        </w:tc>
        <w:tc>
          <w:tcPr>
            <w:tcW w:w="6659" w:type="dxa"/>
            <w:vAlign w:val="center"/>
          </w:tcPr>
          <w:p>
            <w:pPr>
              <w:keepNext w:val="0"/>
              <w:keepLines w:val="0"/>
              <w:pageBreakBefore w:val="0"/>
              <w:widowControl w:val="0"/>
              <w:kinsoku/>
              <w:wordWrap/>
              <w:overflowPunct/>
              <w:topLinePunct w:val="0"/>
              <w:autoSpaceDE/>
              <w:autoSpaceDN/>
              <w:bidi w:val="0"/>
              <w:spacing w:line="264" w:lineRule="auto"/>
              <w:ind w:left="0" w:leftChars="0" w:firstLine="0" w:firstLineChars="0"/>
              <w:textAlignment w:val="auto"/>
              <w:rPr>
                <w:rFonts w:hint="default" w:ascii="Times New Roman" w:hAnsi="Times New Roman" w:eastAsia="宋体" w:cs="Times New Roman"/>
                <w:color w:val="auto"/>
                <w:kern w:val="2"/>
                <w:sz w:val="21"/>
                <w:szCs w:val="21"/>
                <w:shd w:val="clear" w:color="auto" w:fill="auto"/>
                <w:lang w:val="en-US" w:eastAsia="zh-CN" w:bidi="ar-SA"/>
              </w:rPr>
            </w:pPr>
            <w:r>
              <w:rPr>
                <w:rFonts w:hint="eastAsia" w:cs="Times New Roman"/>
                <w:color w:val="auto"/>
                <w:kern w:val="2"/>
                <w:sz w:val="21"/>
                <w:szCs w:val="21"/>
                <w:shd w:val="clear" w:color="auto" w:fill="auto"/>
                <w:lang w:val="en-US" w:eastAsia="zh-CN" w:bidi="ar-SA"/>
              </w:rPr>
              <w:t>建设项目为水污染影响型，港区污水主要是生活污水、车辆冲洗废水和码头面冲洗废水。生活污水排放量约1.49m³/d</w:t>
            </w:r>
            <w:r>
              <w:rPr>
                <w:rFonts w:hint="eastAsia" w:cs="Times New Roman"/>
                <w:color w:val="auto"/>
                <w:kern w:val="2"/>
                <w:sz w:val="21"/>
                <w:szCs w:val="21"/>
                <w:shd w:val="clear" w:color="auto" w:fill="auto"/>
                <w:lang w:val="en-US" w:eastAsia="zh-CN" w:bidi="ar-SA"/>
              </w:rPr>
              <w:t>，由移动厕所收集储存，定期由清掏车外运至相关接收处理单；</w:t>
            </w:r>
            <w:r>
              <w:rPr>
                <w:rFonts w:hint="eastAsia" w:ascii="Times New Roman" w:hAnsi="Times New Roman" w:eastAsia="宋体" w:cs="Times New Roman"/>
                <w:color w:val="auto"/>
                <w:sz w:val="21"/>
                <w:szCs w:val="21"/>
                <w:highlight w:val="none"/>
                <w:shd w:val="clear" w:color="auto" w:fill="auto"/>
              </w:rPr>
              <w:t>流动机械冲洗废水经隔油沉淀处理后</w:t>
            </w:r>
            <w:r>
              <w:rPr>
                <w:rFonts w:hint="eastAsia" w:ascii="Times New Roman" w:hAnsi="Times New Roman" w:eastAsia="宋体" w:cs="Times New Roman"/>
                <w:color w:val="auto"/>
                <w:sz w:val="21"/>
                <w:szCs w:val="21"/>
                <w:highlight w:val="none"/>
                <w:shd w:val="clear" w:color="auto" w:fill="auto"/>
                <w:lang w:val="en-US" w:eastAsia="zh-CN"/>
              </w:rPr>
              <w:t>，回用于港区抑尘、冲洗，不外排；</w:t>
            </w:r>
            <w:r>
              <w:rPr>
                <w:rFonts w:hint="eastAsia" w:eastAsia="宋体" w:cs="Times New Roman"/>
                <w:color w:val="auto"/>
                <w:sz w:val="21"/>
                <w:szCs w:val="21"/>
                <w:highlight w:val="none"/>
                <w:shd w:val="clear" w:color="auto" w:fill="auto"/>
              </w:rPr>
              <w:t>码头面冲洗水、初期雨水经沉淀池沉淀后回用于港区洒水抑尘。</w:t>
            </w:r>
            <w:r>
              <w:rPr>
                <w:rFonts w:hint="eastAsia" w:cs="Times New Roman"/>
                <w:color w:val="auto"/>
                <w:kern w:val="2"/>
                <w:sz w:val="21"/>
                <w:szCs w:val="21"/>
                <w:shd w:val="clear" w:color="auto" w:fill="auto"/>
                <w:lang w:val="en-US" w:eastAsia="zh-CN" w:bidi="ar-SA"/>
              </w:rPr>
              <w:t>根据HJ 2.3-2018的规定，本项目</w:t>
            </w:r>
            <w:r>
              <w:rPr>
                <w:rFonts w:hint="eastAsia" w:ascii="Times New Roman" w:hAnsi="Times New Roman" w:eastAsia="宋体" w:cs="Times New Roman"/>
                <w:color w:val="auto"/>
                <w:kern w:val="2"/>
                <w:sz w:val="21"/>
                <w:szCs w:val="21"/>
                <w:shd w:val="clear" w:color="auto" w:fill="auto"/>
                <w:lang w:val="en-US" w:eastAsia="zh-CN" w:bidi="ar-SA"/>
              </w:rPr>
              <w:t>评价等级定为</w:t>
            </w:r>
            <w:r>
              <w:rPr>
                <w:rFonts w:hint="eastAsia" w:cs="Times New Roman"/>
                <w:color w:val="auto"/>
                <w:kern w:val="2"/>
                <w:sz w:val="21"/>
                <w:szCs w:val="21"/>
                <w:shd w:val="clear" w:color="auto" w:fill="auto"/>
                <w:lang w:val="en-US" w:eastAsia="zh-CN" w:bidi="ar-SA"/>
              </w:rPr>
              <w:t>三</w:t>
            </w:r>
            <w:r>
              <w:rPr>
                <w:rFonts w:hint="eastAsia" w:ascii="Times New Roman" w:hAnsi="Times New Roman" w:eastAsia="宋体" w:cs="Times New Roman"/>
                <w:color w:val="auto"/>
                <w:kern w:val="2"/>
                <w:sz w:val="21"/>
                <w:szCs w:val="21"/>
                <w:shd w:val="clear" w:color="auto" w:fill="auto"/>
                <w:lang w:val="en-US" w:eastAsia="zh-CN" w:bidi="ar-SA"/>
              </w:rPr>
              <w:t>级</w:t>
            </w:r>
            <w:r>
              <w:rPr>
                <w:rFonts w:hint="eastAsia" w:cs="Times New Roman"/>
                <w:color w:val="auto"/>
                <w:kern w:val="2"/>
                <w:sz w:val="21"/>
                <w:szCs w:val="21"/>
                <w:shd w:val="clear" w:color="auto" w:fill="auto"/>
                <w:lang w:val="en-US" w:eastAsia="zh-CN" w:bidi="ar-SA"/>
              </w:rPr>
              <w:t>B</w:t>
            </w:r>
            <w:r>
              <w:rPr>
                <w:rFonts w:hint="eastAsia" w:ascii="Times New Roman" w:hAnsi="Times New Roman" w:eastAsia="宋体" w:cs="Times New Roman"/>
                <w:color w:val="auto"/>
                <w:kern w:val="2"/>
                <w:sz w:val="21"/>
                <w:szCs w:val="21"/>
                <w:shd w:val="clear" w:color="auto" w:fill="auto"/>
                <w:lang w:val="en-US" w:eastAsia="zh-CN" w:bidi="ar-SA"/>
              </w:rPr>
              <w:t>。</w:t>
            </w:r>
          </w:p>
        </w:tc>
        <w:tc>
          <w:tcPr>
            <w:tcW w:w="1135" w:type="dxa"/>
            <w:tcBorders>
              <w:right w:val="single" w:color="auto" w:sz="4" w:space="0"/>
            </w:tcBorders>
            <w:vAlign w:val="center"/>
          </w:tcPr>
          <w:p>
            <w:pPr>
              <w:keepNext w:val="0"/>
              <w:keepLines w:val="0"/>
              <w:pageBreakBefore w:val="0"/>
              <w:widowControl w:val="0"/>
              <w:kinsoku/>
              <w:wordWrap/>
              <w:overflowPunct/>
              <w:topLinePunct w:val="0"/>
              <w:autoSpaceDE/>
              <w:autoSpaceDN/>
              <w:bidi w:val="0"/>
              <w:spacing w:beforeLines="0" w:afterLines="0" w:line="264" w:lineRule="auto"/>
              <w:ind w:left="0" w:leftChars="0" w:firstLine="0" w:firstLineChars="0"/>
              <w:jc w:val="center"/>
              <w:textAlignment w:val="auto"/>
              <w:rPr>
                <w:rFonts w:hint="default" w:ascii="Times New Roman" w:hAnsi="Times New Roman" w:eastAsia="宋体" w:cs="Times New Roman"/>
                <w:color w:val="auto"/>
                <w:kern w:val="2"/>
                <w:sz w:val="21"/>
                <w:szCs w:val="21"/>
                <w:shd w:val="clear" w:color="auto" w:fill="auto"/>
                <w:lang w:val="en-US" w:eastAsia="zh-CN" w:bidi="ar-SA"/>
              </w:rPr>
            </w:pPr>
            <w:r>
              <w:rPr>
                <w:rFonts w:hint="eastAsia" w:cs="Times New Roman"/>
                <w:color w:val="auto"/>
                <w:kern w:val="2"/>
                <w:sz w:val="21"/>
                <w:szCs w:val="21"/>
                <w:shd w:val="clear" w:color="auto" w:fill="auto"/>
                <w:lang w:val="en-US" w:eastAsia="zh-CN" w:bidi="ar-SA"/>
              </w:rPr>
              <w:t>三</w:t>
            </w:r>
            <w:r>
              <w:rPr>
                <w:rFonts w:hint="eastAsia" w:ascii="Times New Roman" w:hAnsi="Times New Roman" w:eastAsia="宋体" w:cs="Times New Roman"/>
                <w:color w:val="auto"/>
                <w:kern w:val="2"/>
                <w:sz w:val="21"/>
                <w:szCs w:val="21"/>
                <w:shd w:val="clear" w:color="auto" w:fill="auto"/>
                <w:lang w:val="en-US" w:eastAsia="zh-CN" w:bidi="ar-SA"/>
              </w:rPr>
              <w:t>级</w:t>
            </w:r>
            <w:r>
              <w:rPr>
                <w:rFonts w:hint="eastAsia" w:cs="Times New Roman"/>
                <w:color w:val="auto"/>
                <w:kern w:val="2"/>
                <w:sz w:val="21"/>
                <w:szCs w:val="21"/>
                <w:shd w:val="clear" w:color="auto" w:fill="auto"/>
                <w:lang w:val="en-US" w:eastAsia="zh-CN" w:bidi="ar-SA"/>
              </w:rPr>
              <w:t>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1" w:hRule="atLeast"/>
          <w:jc w:val="center"/>
        </w:trPr>
        <w:tc>
          <w:tcPr>
            <w:tcW w:w="1152" w:type="dxa"/>
            <w:tcBorders>
              <w:left w:val="single" w:color="auto" w:sz="4" w:space="0"/>
            </w:tcBorders>
            <w:vAlign w:val="center"/>
          </w:tcPr>
          <w:p>
            <w:pPr>
              <w:pStyle w:val="44"/>
              <w:keepNext w:val="0"/>
              <w:keepLines w:val="0"/>
              <w:pageBreakBefore w:val="0"/>
              <w:widowControl w:val="0"/>
              <w:kinsoku/>
              <w:wordWrap/>
              <w:overflowPunct/>
              <w:topLinePunct w:val="0"/>
              <w:autoSpaceDE/>
              <w:autoSpaceDN/>
              <w:bidi w:val="0"/>
              <w:spacing w:line="264" w:lineRule="auto"/>
              <w:textAlignment w:val="auto"/>
              <w:rPr>
                <w:color w:val="auto"/>
                <w:shd w:val="clear" w:color="auto" w:fill="auto"/>
              </w:rPr>
            </w:pPr>
            <w:r>
              <w:rPr>
                <w:rFonts w:hint="eastAsia"/>
                <w:color w:val="auto"/>
                <w:shd w:val="clear" w:color="auto" w:fill="auto"/>
              </w:rPr>
              <w:t>大气环境</w:t>
            </w:r>
          </w:p>
        </w:tc>
        <w:tc>
          <w:tcPr>
            <w:tcW w:w="6659" w:type="dxa"/>
            <w:vAlign w:val="center"/>
          </w:tcPr>
          <w:p>
            <w:pPr>
              <w:pStyle w:val="44"/>
              <w:keepNext w:val="0"/>
              <w:keepLines w:val="0"/>
              <w:pageBreakBefore w:val="0"/>
              <w:widowControl w:val="0"/>
              <w:kinsoku/>
              <w:wordWrap/>
              <w:overflowPunct/>
              <w:topLinePunct w:val="0"/>
              <w:autoSpaceDE/>
              <w:autoSpaceDN/>
              <w:bidi w:val="0"/>
              <w:spacing w:line="264" w:lineRule="auto"/>
              <w:ind w:firstLine="0" w:firstLineChars="0"/>
              <w:jc w:val="left"/>
              <w:textAlignment w:val="auto"/>
              <w:rPr>
                <w:rFonts w:hint="eastAsia" w:eastAsia="宋体"/>
                <w:color w:val="auto"/>
                <w:shd w:val="clear" w:color="auto" w:fill="auto"/>
                <w:lang w:eastAsia="zh-CN"/>
              </w:rPr>
            </w:pPr>
            <w:r>
              <w:rPr>
                <w:rFonts w:hint="eastAsia"/>
                <w:color w:val="auto"/>
                <w:shd w:val="clear" w:color="auto" w:fill="auto"/>
              </w:rPr>
              <w:t>工程处于平原地区，地形相对简单。大气污染源主要为到港船舶排放的废气、汽车尾气</w:t>
            </w:r>
            <w:r>
              <w:rPr>
                <w:rFonts w:hint="eastAsia"/>
                <w:color w:val="auto"/>
                <w:shd w:val="clear" w:color="auto" w:fill="auto"/>
                <w:lang w:eastAsia="zh-CN"/>
              </w:rPr>
              <w:t>、</w:t>
            </w:r>
            <w:r>
              <w:rPr>
                <w:rFonts w:hint="eastAsia"/>
                <w:color w:val="auto"/>
                <w:shd w:val="clear" w:color="auto" w:fill="auto"/>
              </w:rPr>
              <w:t>散货</w:t>
            </w:r>
            <w:r>
              <w:rPr>
                <w:rFonts w:hint="eastAsia"/>
                <w:color w:val="auto"/>
                <w:shd w:val="clear" w:color="auto" w:fill="auto"/>
                <w:lang w:val="en-US" w:eastAsia="zh-CN"/>
              </w:rPr>
              <w:t>装卸</w:t>
            </w:r>
            <w:r>
              <w:rPr>
                <w:rFonts w:hint="eastAsia"/>
                <w:color w:val="auto"/>
                <w:shd w:val="clear" w:color="auto" w:fill="auto"/>
              </w:rPr>
              <w:t>扬尘</w:t>
            </w:r>
            <w:r>
              <w:rPr>
                <w:rFonts w:hint="eastAsia"/>
                <w:color w:val="auto"/>
                <w:shd w:val="clear" w:color="auto" w:fill="auto"/>
                <w:lang w:eastAsia="zh-CN"/>
              </w:rPr>
              <w:t>及道路扬尘</w:t>
            </w:r>
            <w:r>
              <w:rPr>
                <w:rFonts w:hint="eastAsia"/>
                <w:color w:val="auto"/>
                <w:shd w:val="clear" w:color="auto" w:fill="auto"/>
              </w:rPr>
              <w:t>，属于无组织排放。根据HJ2.2-20</w:t>
            </w:r>
            <w:r>
              <w:rPr>
                <w:rFonts w:hint="eastAsia"/>
                <w:color w:val="auto"/>
                <w:shd w:val="clear" w:color="auto" w:fill="auto"/>
                <w:lang w:val="en-US" w:eastAsia="zh-CN"/>
              </w:rPr>
              <w:t>1</w:t>
            </w:r>
            <w:r>
              <w:rPr>
                <w:rFonts w:hint="eastAsia"/>
                <w:color w:val="auto"/>
                <w:shd w:val="clear" w:color="auto" w:fill="auto"/>
              </w:rPr>
              <w:t>8中的规定，在初步工程分析的基础上，本项目</w:t>
            </w:r>
            <w:r>
              <w:rPr>
                <w:rFonts w:hint="eastAsia"/>
                <w:color w:val="auto"/>
                <w:shd w:val="clear" w:color="auto" w:fill="auto"/>
                <w:lang w:eastAsia="zh-CN"/>
              </w:rPr>
              <w:t>评价因子</w:t>
            </w:r>
            <w:r>
              <w:rPr>
                <w:rFonts w:hint="eastAsia"/>
                <w:color w:val="auto"/>
                <w:shd w:val="clear" w:color="auto" w:fill="auto"/>
              </w:rPr>
              <w:t>选择主要污染物</w:t>
            </w:r>
            <w:r>
              <w:rPr>
                <w:rFonts w:hint="eastAsia"/>
                <w:color w:val="auto"/>
                <w:shd w:val="clear" w:color="auto" w:fill="auto"/>
                <w:lang w:val="en-US" w:eastAsia="zh-CN"/>
              </w:rPr>
              <w:t>粉尘（以TSP计）</w:t>
            </w:r>
            <w:r>
              <w:rPr>
                <w:rFonts w:hint="eastAsia"/>
                <w:color w:val="auto"/>
                <w:shd w:val="clear" w:color="auto" w:fill="auto"/>
              </w:rPr>
              <w:t>，根据估算模式预测结果，</w:t>
            </w:r>
            <w:r>
              <w:rPr>
                <w:rFonts w:hint="eastAsia"/>
                <w:color w:val="auto"/>
                <w:shd w:val="clear" w:color="auto" w:fill="auto"/>
                <w:lang w:val="en-US" w:eastAsia="zh-CN"/>
              </w:rPr>
              <w:t>TSP</w:t>
            </w:r>
            <w:r>
              <w:rPr>
                <w:rFonts w:hint="eastAsia"/>
                <w:color w:val="auto"/>
                <w:shd w:val="clear" w:color="auto" w:fill="auto"/>
              </w:rPr>
              <w:t>等标排放量</w:t>
            </w:r>
            <w:r>
              <w:rPr>
                <w:rFonts w:hint="eastAsia"/>
                <w:color w:val="auto"/>
                <w:shd w:val="clear" w:color="auto" w:fill="auto"/>
                <w:lang w:val="en-US" w:eastAsia="zh-CN"/>
              </w:rPr>
              <w:t>1%</w:t>
            </w:r>
            <w:r>
              <w:rPr>
                <w:rFonts w:hint="eastAsia"/>
                <w:color w:val="auto"/>
                <w:shd w:val="clear" w:color="auto" w:fill="auto"/>
              </w:rPr>
              <w:t>&lt;</w:t>
            </w:r>
            <w:r>
              <w:rPr>
                <w:rFonts w:hint="eastAsia"/>
                <w:color w:val="auto"/>
                <w:shd w:val="clear" w:color="auto" w:fill="auto"/>
                <w:lang w:eastAsia="zh-CN"/>
              </w:rPr>
              <w:t>PM</w:t>
            </w:r>
            <w:r>
              <w:rPr>
                <w:rFonts w:hint="eastAsia"/>
                <w:color w:val="auto"/>
                <w:shd w:val="clear" w:color="auto" w:fill="auto"/>
              </w:rPr>
              <w:t>ax＝</w:t>
            </w:r>
            <w:r>
              <w:rPr>
                <w:rFonts w:hint="eastAsia"/>
                <w:color w:val="auto"/>
                <w:shd w:val="clear" w:color="auto" w:fill="auto"/>
                <w:lang w:val="en-US" w:eastAsia="zh-CN"/>
              </w:rPr>
              <w:t>8.10</w:t>
            </w:r>
            <w:r>
              <w:rPr>
                <w:rFonts w:hint="eastAsia"/>
                <w:color w:val="auto"/>
                <w:shd w:val="clear" w:color="auto" w:fill="auto"/>
              </w:rPr>
              <w:t>%&lt;10%，评价等级确定为</w:t>
            </w:r>
            <w:r>
              <w:rPr>
                <w:rFonts w:hint="eastAsia"/>
                <w:color w:val="auto"/>
                <w:shd w:val="clear" w:color="auto" w:fill="auto"/>
                <w:lang w:eastAsia="zh-CN"/>
              </w:rPr>
              <w:t>二</w:t>
            </w:r>
            <w:r>
              <w:rPr>
                <w:rFonts w:hint="eastAsia"/>
                <w:color w:val="auto"/>
                <w:shd w:val="clear" w:color="auto" w:fill="auto"/>
              </w:rPr>
              <w:t>级。</w:t>
            </w:r>
          </w:p>
        </w:tc>
        <w:tc>
          <w:tcPr>
            <w:tcW w:w="1135" w:type="dxa"/>
            <w:tcBorders>
              <w:right w:val="single" w:color="auto" w:sz="4" w:space="0"/>
            </w:tcBorders>
            <w:vAlign w:val="center"/>
          </w:tcPr>
          <w:p>
            <w:pPr>
              <w:pStyle w:val="44"/>
              <w:keepNext w:val="0"/>
              <w:keepLines w:val="0"/>
              <w:pageBreakBefore w:val="0"/>
              <w:widowControl w:val="0"/>
              <w:kinsoku/>
              <w:wordWrap/>
              <w:overflowPunct/>
              <w:topLinePunct w:val="0"/>
              <w:autoSpaceDE/>
              <w:autoSpaceDN/>
              <w:bidi w:val="0"/>
              <w:spacing w:line="264" w:lineRule="auto"/>
              <w:ind w:firstLine="0" w:firstLineChars="0"/>
              <w:textAlignment w:val="auto"/>
              <w:rPr>
                <w:color w:val="auto"/>
                <w:shd w:val="clear" w:color="auto" w:fill="auto"/>
              </w:rPr>
            </w:pPr>
            <w:r>
              <w:rPr>
                <w:rFonts w:hint="eastAsia"/>
                <w:color w:val="auto"/>
                <w:shd w:val="clear" w:color="auto" w:fill="auto"/>
                <w:lang w:eastAsia="zh-CN"/>
              </w:rPr>
              <w:t>二</w:t>
            </w:r>
            <w:r>
              <w:rPr>
                <w:rFonts w:hint="eastAsia"/>
                <w:color w:val="auto"/>
                <w:shd w:val="clear" w:color="auto" w:fill="auto"/>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152" w:type="dxa"/>
            <w:tcBorders>
              <w:left w:val="single" w:color="auto" w:sz="4" w:space="0"/>
            </w:tcBorders>
            <w:vAlign w:val="center"/>
          </w:tcPr>
          <w:p>
            <w:pPr>
              <w:pStyle w:val="44"/>
              <w:keepNext w:val="0"/>
              <w:keepLines w:val="0"/>
              <w:pageBreakBefore w:val="0"/>
              <w:widowControl w:val="0"/>
              <w:kinsoku/>
              <w:wordWrap/>
              <w:overflowPunct/>
              <w:topLinePunct w:val="0"/>
              <w:autoSpaceDE/>
              <w:autoSpaceDN/>
              <w:bidi w:val="0"/>
              <w:spacing w:line="264" w:lineRule="auto"/>
              <w:textAlignment w:val="auto"/>
              <w:rPr>
                <w:rFonts w:hint="eastAsia"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eastAsia="宋体" w:cs="Times New Roman"/>
                <w:color w:val="auto"/>
                <w:kern w:val="2"/>
                <w:sz w:val="21"/>
                <w:szCs w:val="21"/>
                <w:shd w:val="clear" w:color="auto" w:fill="auto"/>
                <w:lang w:val="en-US" w:eastAsia="zh-CN" w:bidi="ar-SA"/>
              </w:rPr>
              <w:t>声环境</w:t>
            </w:r>
          </w:p>
        </w:tc>
        <w:tc>
          <w:tcPr>
            <w:tcW w:w="6659" w:type="dxa"/>
            <w:vAlign w:val="center"/>
          </w:tcPr>
          <w:p>
            <w:pPr>
              <w:keepNext w:val="0"/>
              <w:keepLines w:val="0"/>
              <w:pageBreakBefore w:val="0"/>
              <w:widowControl w:val="0"/>
              <w:kinsoku/>
              <w:wordWrap/>
              <w:overflowPunct/>
              <w:topLinePunct w:val="0"/>
              <w:autoSpaceDE/>
              <w:autoSpaceDN/>
              <w:bidi w:val="0"/>
              <w:spacing w:beforeLines="0" w:afterLines="0" w:line="264" w:lineRule="auto"/>
              <w:ind w:left="0" w:leftChars="0" w:firstLine="0" w:firstLineChars="0"/>
              <w:jc w:val="left"/>
              <w:textAlignment w:val="auto"/>
              <w:rPr>
                <w:rFonts w:hint="eastAsia"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eastAsia="宋体" w:cs="Times New Roman"/>
                <w:color w:val="auto"/>
                <w:kern w:val="2"/>
                <w:sz w:val="21"/>
                <w:szCs w:val="21"/>
                <w:shd w:val="clear" w:color="auto" w:fill="auto"/>
                <w:lang w:val="en-US" w:eastAsia="zh-CN" w:bidi="ar-SA"/>
              </w:rPr>
              <w:t>建设项目所处的声环境功能区为GB3096规定的</w:t>
            </w:r>
            <w:r>
              <w:rPr>
                <w:rFonts w:hint="eastAsia" w:cs="Times New Roman"/>
                <w:color w:val="auto"/>
                <w:kern w:val="2"/>
                <w:sz w:val="21"/>
                <w:szCs w:val="21"/>
                <w:shd w:val="clear" w:color="auto" w:fill="auto"/>
                <w:lang w:val="en-US" w:eastAsia="zh-CN" w:bidi="ar-SA"/>
              </w:rPr>
              <w:t>2</w:t>
            </w:r>
            <w:r>
              <w:rPr>
                <w:rFonts w:hint="eastAsia" w:ascii="Times New Roman" w:hAnsi="Times New Roman" w:eastAsia="宋体" w:cs="Times New Roman"/>
                <w:color w:val="auto"/>
                <w:kern w:val="2"/>
                <w:sz w:val="21"/>
                <w:szCs w:val="21"/>
                <w:shd w:val="clear" w:color="auto" w:fill="auto"/>
                <w:lang w:val="en-US" w:eastAsia="zh-CN" w:bidi="ar-SA"/>
              </w:rPr>
              <w:t>类地区，</w:t>
            </w:r>
            <w:r>
              <w:rPr>
                <w:rFonts w:hint="default" w:ascii="Times New Roman" w:hAnsi="Times New Roman" w:eastAsia="宋体" w:cs="Times New Roman"/>
                <w:color w:val="auto"/>
                <w:kern w:val="2"/>
                <w:sz w:val="21"/>
                <w:szCs w:val="21"/>
                <w:shd w:val="clear" w:color="auto" w:fill="auto"/>
                <w:lang w:val="en-US" w:eastAsia="zh-CN" w:bidi="ar-SA"/>
              </w:rPr>
              <w:t>项目建成前后，评价范围内的敏感目标的噪声级增高量</w:t>
            </w:r>
            <w:r>
              <w:rPr>
                <w:rFonts w:hint="default" w:ascii="Times New Roman" w:hAnsi="Times New Roman" w:eastAsia="宋体" w:cs="Times New Roman"/>
                <w:color w:val="auto"/>
                <w:kern w:val="2"/>
                <w:sz w:val="21"/>
                <w:szCs w:val="21"/>
                <w:highlight w:val="none"/>
                <w:shd w:val="clear" w:color="auto" w:fill="auto"/>
                <w:lang w:val="en-US" w:eastAsia="zh-CN" w:bidi="ar-SA"/>
              </w:rPr>
              <w:t>小于3dB(A)</w:t>
            </w:r>
            <w:r>
              <w:rPr>
                <w:rFonts w:hint="default" w:ascii="Times New Roman" w:hAnsi="Times New Roman" w:eastAsia="宋体" w:cs="Times New Roman"/>
                <w:color w:val="auto"/>
                <w:kern w:val="2"/>
                <w:sz w:val="21"/>
                <w:szCs w:val="21"/>
                <w:shd w:val="clear" w:color="auto" w:fill="auto"/>
                <w:lang w:val="en-US" w:eastAsia="zh-CN" w:bidi="ar-SA"/>
              </w:rPr>
              <w:t>。</w:t>
            </w:r>
            <w:r>
              <w:rPr>
                <w:rFonts w:hint="eastAsia" w:ascii="Times New Roman" w:hAnsi="Times New Roman" w:eastAsia="宋体" w:cs="Times New Roman"/>
                <w:color w:val="auto"/>
                <w:kern w:val="2"/>
                <w:sz w:val="21"/>
                <w:szCs w:val="21"/>
                <w:shd w:val="clear" w:color="auto" w:fill="auto"/>
                <w:lang w:val="en-US" w:eastAsia="zh-CN" w:bidi="ar-SA"/>
              </w:rPr>
              <w:t>按照HJ/T2.4-2009的规定，本项目评价等级定为</w:t>
            </w:r>
            <w:r>
              <w:rPr>
                <w:rFonts w:hint="eastAsia" w:cs="Times New Roman"/>
                <w:color w:val="auto"/>
                <w:kern w:val="2"/>
                <w:sz w:val="21"/>
                <w:szCs w:val="21"/>
                <w:shd w:val="clear" w:color="auto" w:fill="auto"/>
                <w:lang w:val="en-US" w:eastAsia="zh-CN" w:bidi="ar-SA"/>
              </w:rPr>
              <w:t>三</w:t>
            </w:r>
            <w:r>
              <w:rPr>
                <w:rFonts w:hint="eastAsia" w:ascii="Times New Roman" w:hAnsi="Times New Roman" w:eastAsia="宋体" w:cs="Times New Roman"/>
                <w:color w:val="auto"/>
                <w:kern w:val="2"/>
                <w:sz w:val="21"/>
                <w:szCs w:val="21"/>
                <w:shd w:val="clear" w:color="auto" w:fill="auto"/>
                <w:lang w:val="en-US" w:eastAsia="zh-CN" w:bidi="ar-SA"/>
              </w:rPr>
              <w:t>级。</w:t>
            </w:r>
          </w:p>
        </w:tc>
        <w:tc>
          <w:tcPr>
            <w:tcW w:w="1135" w:type="dxa"/>
            <w:tcBorders>
              <w:right w:val="single" w:color="auto" w:sz="4" w:space="0"/>
            </w:tcBorders>
            <w:vAlign w:val="center"/>
          </w:tcPr>
          <w:p>
            <w:pPr>
              <w:pStyle w:val="44"/>
              <w:keepNext w:val="0"/>
              <w:keepLines w:val="0"/>
              <w:pageBreakBefore w:val="0"/>
              <w:widowControl w:val="0"/>
              <w:kinsoku/>
              <w:wordWrap/>
              <w:overflowPunct/>
              <w:topLinePunct w:val="0"/>
              <w:autoSpaceDE/>
              <w:autoSpaceDN/>
              <w:bidi w:val="0"/>
              <w:spacing w:line="264" w:lineRule="auto"/>
              <w:textAlignment w:val="auto"/>
              <w:rPr>
                <w:color w:val="auto"/>
                <w:shd w:val="clear" w:color="auto" w:fill="auto"/>
              </w:rPr>
            </w:pPr>
            <w:r>
              <w:rPr>
                <w:rFonts w:hint="eastAsia"/>
                <w:color w:val="auto"/>
                <w:shd w:val="clear" w:color="auto" w:fill="auto"/>
                <w:lang w:eastAsia="zh-CN"/>
              </w:rPr>
              <w:t>三</w:t>
            </w:r>
            <w:r>
              <w:rPr>
                <w:rFonts w:hint="eastAsia"/>
                <w:color w:val="auto"/>
                <w:shd w:val="clear" w:color="auto" w:fill="auto"/>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1152" w:type="dxa"/>
            <w:tcBorders>
              <w:left w:val="single" w:color="auto" w:sz="4" w:space="0"/>
            </w:tcBorders>
            <w:vAlign w:val="center"/>
          </w:tcPr>
          <w:p>
            <w:pPr>
              <w:pStyle w:val="44"/>
              <w:keepNext w:val="0"/>
              <w:keepLines w:val="0"/>
              <w:pageBreakBefore w:val="0"/>
              <w:widowControl w:val="0"/>
              <w:kinsoku/>
              <w:wordWrap/>
              <w:overflowPunct/>
              <w:topLinePunct w:val="0"/>
              <w:autoSpaceDE/>
              <w:autoSpaceDN/>
              <w:bidi w:val="0"/>
              <w:spacing w:line="264" w:lineRule="auto"/>
              <w:textAlignment w:val="auto"/>
              <w:rPr>
                <w:color w:val="auto"/>
                <w:shd w:val="clear" w:color="auto" w:fill="auto"/>
              </w:rPr>
            </w:pPr>
            <w:r>
              <w:rPr>
                <w:rFonts w:hint="eastAsia"/>
                <w:color w:val="auto"/>
                <w:shd w:val="clear" w:color="auto" w:fill="auto"/>
              </w:rPr>
              <w:t>环境风险</w:t>
            </w:r>
          </w:p>
        </w:tc>
        <w:tc>
          <w:tcPr>
            <w:tcW w:w="6659" w:type="dxa"/>
            <w:vAlign w:val="center"/>
          </w:tcPr>
          <w:p>
            <w:pPr>
              <w:keepNext w:val="0"/>
              <w:keepLines w:val="0"/>
              <w:pageBreakBefore w:val="0"/>
              <w:widowControl w:val="0"/>
              <w:kinsoku/>
              <w:wordWrap/>
              <w:overflowPunct/>
              <w:topLinePunct w:val="0"/>
              <w:autoSpaceDE/>
              <w:autoSpaceDN/>
              <w:bidi w:val="0"/>
              <w:spacing w:beforeLines="0" w:afterLines="0" w:line="264" w:lineRule="auto"/>
              <w:ind w:left="0" w:leftChars="0" w:firstLine="0" w:firstLineChars="0"/>
              <w:jc w:val="left"/>
              <w:textAlignment w:val="auto"/>
              <w:rPr>
                <w:color w:val="auto"/>
                <w:shd w:val="clear" w:color="auto" w:fill="auto"/>
              </w:rPr>
            </w:pPr>
            <w:r>
              <w:rPr>
                <w:rFonts w:hint="eastAsia" w:ascii="Times New Roman" w:hAnsi="Times New Roman" w:eastAsia="宋体" w:cs="Times New Roman"/>
                <w:color w:val="auto"/>
                <w:kern w:val="2"/>
                <w:sz w:val="21"/>
                <w:szCs w:val="21"/>
                <w:shd w:val="clear" w:color="auto" w:fill="auto"/>
                <w:lang w:val="en-US" w:eastAsia="zh-CN" w:bidi="ar-SA"/>
              </w:rPr>
              <w:t>本项目代表船型为</w:t>
            </w:r>
            <w:r>
              <w:rPr>
                <w:rFonts w:hint="eastAsia" w:cs="Times New Roman"/>
                <w:color w:val="auto"/>
                <w:kern w:val="2"/>
                <w:sz w:val="21"/>
                <w:szCs w:val="21"/>
                <w:shd w:val="clear" w:color="auto" w:fill="auto"/>
                <w:lang w:val="en-US" w:eastAsia="zh-CN" w:bidi="ar-SA"/>
              </w:rPr>
              <w:t>10</w:t>
            </w:r>
            <w:r>
              <w:rPr>
                <w:rFonts w:hint="eastAsia" w:ascii="Times New Roman" w:hAnsi="Times New Roman" w:eastAsia="宋体" w:cs="Times New Roman"/>
                <w:color w:val="auto"/>
                <w:kern w:val="2"/>
                <w:sz w:val="21"/>
                <w:szCs w:val="21"/>
                <w:shd w:val="clear" w:color="auto" w:fill="auto"/>
                <w:lang w:val="en-US" w:eastAsia="zh-CN" w:bidi="ar-SA"/>
              </w:rPr>
              <w:t>00吨货船，根据船舶具体运行情况，船载储油量基本不超过10t。项目涉及危险物质为柴油，根据《建设项目环境风险评价技术导则》（GB169-2018）附录B的范畴，其临界量为2500t，因此计算Q值为0.004。因为Q&lt;1，该项目环境风险潜势为Ⅰ，可开展简单分析。</w:t>
            </w:r>
          </w:p>
        </w:tc>
        <w:tc>
          <w:tcPr>
            <w:tcW w:w="1135" w:type="dxa"/>
            <w:tcBorders>
              <w:right w:val="single" w:color="auto" w:sz="4" w:space="0"/>
            </w:tcBorders>
            <w:vAlign w:val="center"/>
          </w:tcPr>
          <w:p>
            <w:pPr>
              <w:pStyle w:val="44"/>
              <w:keepNext w:val="0"/>
              <w:keepLines w:val="0"/>
              <w:pageBreakBefore w:val="0"/>
              <w:widowControl w:val="0"/>
              <w:kinsoku/>
              <w:wordWrap/>
              <w:overflowPunct/>
              <w:topLinePunct w:val="0"/>
              <w:autoSpaceDE/>
              <w:autoSpaceDN/>
              <w:bidi w:val="0"/>
              <w:spacing w:line="264" w:lineRule="auto"/>
              <w:textAlignment w:val="auto"/>
              <w:rPr>
                <w:color w:val="auto"/>
                <w:shd w:val="clear" w:color="auto" w:fill="auto"/>
              </w:rPr>
            </w:pPr>
            <w:r>
              <w:rPr>
                <w:rFonts w:hint="eastAsia" w:ascii="Times New Roman" w:hAnsi="Times New Roman" w:eastAsia="宋体" w:cs="Times New Roman"/>
                <w:color w:val="auto"/>
                <w:kern w:val="2"/>
                <w:sz w:val="21"/>
                <w:szCs w:val="21"/>
                <w:shd w:val="clear" w:color="auto" w:fill="auto"/>
                <w:lang w:val="en-US" w:eastAsia="zh-CN" w:bidi="ar-SA"/>
              </w:rPr>
              <w:t>简单分析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152" w:type="dxa"/>
            <w:tcBorders>
              <w:left w:val="single" w:color="auto" w:sz="4" w:space="0"/>
            </w:tcBorders>
            <w:vAlign w:val="center"/>
          </w:tcPr>
          <w:p>
            <w:pPr>
              <w:pStyle w:val="44"/>
              <w:keepNext w:val="0"/>
              <w:keepLines w:val="0"/>
              <w:pageBreakBefore w:val="0"/>
              <w:widowControl w:val="0"/>
              <w:kinsoku/>
              <w:wordWrap/>
              <w:overflowPunct/>
              <w:topLinePunct w:val="0"/>
              <w:autoSpaceDE/>
              <w:autoSpaceDN/>
              <w:bidi w:val="0"/>
              <w:spacing w:line="264" w:lineRule="auto"/>
              <w:textAlignment w:val="auto"/>
              <w:rPr>
                <w:color w:val="auto"/>
                <w:shd w:val="clear" w:color="auto" w:fill="auto"/>
              </w:rPr>
            </w:pPr>
            <w:r>
              <w:rPr>
                <w:rFonts w:hint="eastAsia"/>
                <w:color w:val="auto"/>
                <w:shd w:val="clear" w:color="auto" w:fill="auto"/>
              </w:rPr>
              <w:t>生态环境</w:t>
            </w:r>
          </w:p>
        </w:tc>
        <w:tc>
          <w:tcPr>
            <w:tcW w:w="6659" w:type="dxa"/>
            <w:vAlign w:val="center"/>
          </w:tcPr>
          <w:p>
            <w:pPr>
              <w:keepNext w:val="0"/>
              <w:keepLines w:val="0"/>
              <w:pageBreakBefore w:val="0"/>
              <w:widowControl w:val="0"/>
              <w:kinsoku/>
              <w:wordWrap/>
              <w:overflowPunct/>
              <w:topLinePunct w:val="0"/>
              <w:autoSpaceDE/>
              <w:autoSpaceDN/>
              <w:bidi w:val="0"/>
              <w:spacing w:line="264" w:lineRule="auto"/>
              <w:ind w:firstLine="0" w:firstLineChars="0"/>
              <w:jc w:val="left"/>
              <w:textAlignment w:val="auto"/>
              <w:rPr>
                <w:color w:val="auto"/>
                <w:shd w:val="clear" w:color="auto" w:fill="auto"/>
              </w:rPr>
            </w:pPr>
            <w:r>
              <w:rPr>
                <w:rFonts w:hint="eastAsia"/>
                <w:color w:val="auto"/>
                <w:sz w:val="21"/>
                <w:szCs w:val="21"/>
                <w:shd w:val="clear" w:color="auto" w:fill="auto"/>
              </w:rPr>
              <w:t>根据本项目所在地区生态现状、植物种类分布、生物群落的分布和区域土地利用现状分析，本项目属于一般地区，同时项目占地面积小于2</w:t>
            </w:r>
            <w:r>
              <w:rPr>
                <w:rFonts w:hint="eastAsia"/>
                <w:color w:val="auto"/>
                <w:sz w:val="21"/>
                <w:szCs w:val="21"/>
                <w:shd w:val="clear" w:color="auto" w:fill="auto"/>
                <w:vertAlign w:val="baseline"/>
                <w:lang w:eastAsia="zh-CN"/>
              </w:rPr>
              <w:t>km</w:t>
            </w:r>
            <w:r>
              <w:rPr>
                <w:rFonts w:hint="eastAsia"/>
                <w:color w:val="auto"/>
                <w:sz w:val="21"/>
                <w:szCs w:val="21"/>
                <w:shd w:val="clear" w:color="auto" w:fill="auto"/>
                <w:vertAlign w:val="superscript"/>
                <w:lang w:eastAsia="zh-CN"/>
              </w:rPr>
              <w:t>2</w:t>
            </w:r>
            <w:r>
              <w:rPr>
                <w:rFonts w:hint="eastAsia"/>
                <w:color w:val="auto"/>
                <w:sz w:val="21"/>
                <w:szCs w:val="21"/>
                <w:shd w:val="clear" w:color="auto" w:fill="auto"/>
              </w:rPr>
              <w:t>。根据HJ19-2011的相关规定，本评价确定生态环境影响评价等级为三级。</w:t>
            </w:r>
          </w:p>
        </w:tc>
        <w:tc>
          <w:tcPr>
            <w:tcW w:w="1135" w:type="dxa"/>
            <w:tcBorders>
              <w:right w:val="single" w:color="auto" w:sz="4" w:space="0"/>
            </w:tcBorders>
            <w:vAlign w:val="center"/>
          </w:tcPr>
          <w:p>
            <w:pPr>
              <w:pStyle w:val="44"/>
              <w:keepNext w:val="0"/>
              <w:keepLines w:val="0"/>
              <w:pageBreakBefore w:val="0"/>
              <w:widowControl w:val="0"/>
              <w:kinsoku/>
              <w:wordWrap/>
              <w:overflowPunct/>
              <w:topLinePunct w:val="0"/>
              <w:autoSpaceDE/>
              <w:autoSpaceDN/>
              <w:bidi w:val="0"/>
              <w:spacing w:line="264" w:lineRule="auto"/>
              <w:textAlignment w:val="auto"/>
              <w:rPr>
                <w:color w:val="auto"/>
                <w:shd w:val="clear" w:color="auto" w:fill="auto"/>
              </w:rPr>
            </w:pPr>
            <w:r>
              <w:rPr>
                <w:rFonts w:hint="eastAsia"/>
                <w:color w:val="auto"/>
                <w:shd w:val="clear" w:color="auto" w:fill="auto"/>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152" w:type="dxa"/>
            <w:tcBorders>
              <w:left w:val="single" w:color="auto" w:sz="4" w:space="0"/>
            </w:tcBorders>
            <w:vAlign w:val="center"/>
          </w:tcPr>
          <w:p>
            <w:pPr>
              <w:pStyle w:val="44"/>
              <w:keepNext w:val="0"/>
              <w:keepLines w:val="0"/>
              <w:pageBreakBefore w:val="0"/>
              <w:widowControl w:val="0"/>
              <w:kinsoku/>
              <w:wordWrap/>
              <w:overflowPunct/>
              <w:topLinePunct w:val="0"/>
              <w:autoSpaceDE/>
              <w:autoSpaceDN/>
              <w:bidi w:val="0"/>
              <w:spacing w:line="264" w:lineRule="auto"/>
              <w:textAlignment w:val="auto"/>
              <w:rPr>
                <w:color w:val="auto"/>
                <w:shd w:val="clear" w:color="auto" w:fill="auto"/>
              </w:rPr>
            </w:pPr>
            <w:r>
              <w:rPr>
                <w:rFonts w:hint="eastAsia"/>
                <w:color w:val="auto"/>
                <w:shd w:val="clear" w:color="auto" w:fill="auto"/>
              </w:rPr>
              <w:t>地下水环境</w:t>
            </w:r>
          </w:p>
        </w:tc>
        <w:tc>
          <w:tcPr>
            <w:tcW w:w="6659" w:type="dxa"/>
            <w:vAlign w:val="center"/>
          </w:tcPr>
          <w:p>
            <w:pPr>
              <w:keepNext w:val="0"/>
              <w:keepLines w:val="0"/>
              <w:pageBreakBefore w:val="0"/>
              <w:widowControl w:val="0"/>
              <w:kinsoku/>
              <w:wordWrap/>
              <w:overflowPunct/>
              <w:topLinePunct w:val="0"/>
              <w:autoSpaceDE/>
              <w:autoSpaceDN/>
              <w:bidi w:val="0"/>
              <w:spacing w:line="264" w:lineRule="auto"/>
              <w:ind w:firstLine="0" w:firstLineChars="0"/>
              <w:textAlignment w:val="auto"/>
              <w:rPr>
                <w:color w:val="auto"/>
                <w:sz w:val="21"/>
                <w:szCs w:val="21"/>
                <w:shd w:val="clear" w:color="auto" w:fill="auto"/>
              </w:rPr>
            </w:pPr>
            <w:r>
              <w:rPr>
                <w:rFonts w:hint="eastAsia"/>
                <w:color w:val="auto"/>
                <w:sz w:val="21"/>
                <w:szCs w:val="21"/>
                <w:shd w:val="clear" w:color="auto" w:fill="auto"/>
              </w:rPr>
              <w:t>本项目建设内容为散货</w:t>
            </w:r>
            <w:r>
              <w:rPr>
                <w:rFonts w:hint="eastAsia"/>
                <w:color w:val="auto"/>
                <w:sz w:val="21"/>
                <w:szCs w:val="21"/>
                <w:shd w:val="clear" w:color="auto" w:fill="auto"/>
                <w:lang w:val="en-US" w:eastAsia="zh-CN"/>
              </w:rPr>
              <w:t>进口</w:t>
            </w:r>
            <w:r>
              <w:rPr>
                <w:rFonts w:hint="eastAsia"/>
                <w:color w:val="auto"/>
                <w:sz w:val="21"/>
                <w:szCs w:val="21"/>
                <w:shd w:val="clear" w:color="auto" w:fill="auto"/>
              </w:rPr>
              <w:t>（矿建材料）码头工程，根据《环境影响评价技术导则—地下水环境》（HJ610-2016）中的划分依据，属于S水运中“130滚干散货（含煤炭、矿石）、件杂、多用途、通用码头”，地下水环境影响评价项目类别是IV类，可不开展地下水环境影响评价。</w:t>
            </w:r>
          </w:p>
        </w:tc>
        <w:tc>
          <w:tcPr>
            <w:tcW w:w="1135" w:type="dxa"/>
            <w:tcBorders>
              <w:right w:val="single" w:color="auto" w:sz="4" w:space="0"/>
            </w:tcBorders>
            <w:vAlign w:val="center"/>
          </w:tcPr>
          <w:p>
            <w:pPr>
              <w:pStyle w:val="44"/>
              <w:keepNext w:val="0"/>
              <w:keepLines w:val="0"/>
              <w:pageBreakBefore w:val="0"/>
              <w:widowControl w:val="0"/>
              <w:kinsoku/>
              <w:wordWrap/>
              <w:overflowPunct/>
              <w:topLinePunct w:val="0"/>
              <w:autoSpaceDE/>
              <w:autoSpaceDN/>
              <w:bidi w:val="0"/>
              <w:spacing w:line="264" w:lineRule="auto"/>
              <w:textAlignment w:val="auto"/>
              <w:rPr>
                <w:color w:val="auto"/>
                <w:shd w:val="clear" w:color="auto" w:fill="auto"/>
              </w:rPr>
            </w:pPr>
            <w:r>
              <w:rPr>
                <w:rFonts w:hint="eastAsia"/>
                <w:color w:val="auto"/>
                <w:shd w:val="clear" w:color="auto" w:fill="auto"/>
              </w:rPr>
              <w:t>/</w:t>
            </w:r>
          </w:p>
        </w:tc>
      </w:tr>
    </w:tbl>
    <w:p>
      <w:pPr>
        <w:pStyle w:val="5"/>
        <w:rPr>
          <w:color w:val="auto"/>
          <w:shd w:val="clear" w:color="auto" w:fill="auto"/>
        </w:rPr>
      </w:pPr>
      <w:bookmarkStart w:id="73" w:name="_Toc18815"/>
      <w:bookmarkStart w:id="74" w:name="_Toc8809"/>
      <w:bookmarkStart w:id="75" w:name="_Toc212432150"/>
      <w:bookmarkStart w:id="76" w:name="_Toc328986573"/>
      <w:bookmarkStart w:id="77" w:name="_Toc27054"/>
      <w:bookmarkStart w:id="78" w:name="_Toc7272"/>
      <w:bookmarkStart w:id="79" w:name="_Toc27813"/>
      <w:bookmarkStart w:id="80" w:name="_Toc328967853"/>
      <w:bookmarkStart w:id="81" w:name="_Toc4636"/>
      <w:bookmarkStart w:id="82" w:name="_Toc27158"/>
      <w:bookmarkStart w:id="83" w:name="_Toc328911783"/>
      <w:r>
        <w:rPr>
          <w:rFonts w:hint="eastAsia"/>
          <w:color w:val="auto"/>
          <w:shd w:val="clear" w:color="auto" w:fill="auto"/>
        </w:rPr>
        <w:t>1</w:t>
      </w:r>
      <w:r>
        <w:rPr>
          <w:color w:val="auto"/>
          <w:shd w:val="clear" w:color="auto" w:fill="auto"/>
        </w:rPr>
        <w:t>.</w:t>
      </w:r>
      <w:r>
        <w:rPr>
          <w:rFonts w:hint="eastAsia"/>
          <w:color w:val="auto"/>
          <w:shd w:val="clear" w:color="auto" w:fill="auto"/>
        </w:rPr>
        <w:t>4.2 评价重点</w:t>
      </w:r>
      <w:bookmarkEnd w:id="73"/>
      <w:bookmarkEnd w:id="74"/>
      <w:bookmarkEnd w:id="75"/>
      <w:bookmarkEnd w:id="76"/>
      <w:bookmarkEnd w:id="77"/>
      <w:bookmarkEnd w:id="78"/>
      <w:bookmarkEnd w:id="79"/>
      <w:bookmarkEnd w:id="80"/>
      <w:bookmarkEnd w:id="81"/>
      <w:bookmarkEnd w:id="82"/>
      <w:bookmarkEnd w:id="83"/>
    </w:p>
    <w:p>
      <w:pPr>
        <w:ind w:firstLine="480"/>
        <w:rPr>
          <w:color w:val="auto"/>
          <w:shd w:val="clear" w:color="auto" w:fill="auto"/>
        </w:rPr>
      </w:pPr>
      <w:bookmarkStart w:id="84" w:name="_Toc20893_WPSOffice_Level2"/>
      <w:bookmarkStart w:id="85" w:name="_Toc26504_WPSOffice_Level2"/>
      <w:r>
        <w:rPr>
          <w:color w:val="auto"/>
          <w:shd w:val="clear" w:color="auto" w:fill="auto"/>
        </w:rPr>
        <w:t>根据建设项目特点环境特征和评价等要求，本次评价重点确定为：工程分析、</w:t>
      </w:r>
      <w:r>
        <w:rPr>
          <w:rFonts w:hint="eastAsia"/>
          <w:color w:val="auto"/>
          <w:shd w:val="clear" w:color="auto" w:fill="auto"/>
        </w:rPr>
        <w:t>水环境影响评价、大气环境影响评价、声环境影响评价、环境风险评价。</w:t>
      </w:r>
    </w:p>
    <w:p>
      <w:pPr>
        <w:pStyle w:val="4"/>
        <w:spacing w:before="120" w:after="120"/>
        <w:rPr>
          <w:color w:val="auto"/>
          <w:shd w:val="clear" w:color="auto" w:fill="auto"/>
        </w:rPr>
      </w:pPr>
      <w:bookmarkStart w:id="86" w:name="_Toc10253"/>
      <w:r>
        <w:rPr>
          <w:rFonts w:hint="eastAsia"/>
          <w:color w:val="auto"/>
          <w:shd w:val="clear" w:color="auto" w:fill="auto"/>
        </w:rPr>
        <w:t>1.5 评价范围及环境保护目标</w:t>
      </w:r>
      <w:bookmarkEnd w:id="84"/>
      <w:bookmarkEnd w:id="85"/>
      <w:bookmarkEnd w:id="86"/>
    </w:p>
    <w:p>
      <w:pPr>
        <w:pStyle w:val="5"/>
        <w:rPr>
          <w:color w:val="auto"/>
          <w:shd w:val="clear" w:color="auto" w:fill="auto"/>
        </w:rPr>
      </w:pPr>
      <w:bookmarkStart w:id="87" w:name="_Toc673"/>
      <w:r>
        <w:rPr>
          <w:rFonts w:hint="eastAsia"/>
          <w:color w:val="auto"/>
          <w:shd w:val="clear" w:color="auto" w:fill="auto"/>
        </w:rPr>
        <w:t>1.5</w:t>
      </w:r>
      <w:r>
        <w:rPr>
          <w:color w:val="auto"/>
          <w:shd w:val="clear" w:color="auto" w:fill="auto"/>
        </w:rPr>
        <w:t>.</w:t>
      </w:r>
      <w:r>
        <w:rPr>
          <w:rFonts w:hint="eastAsia"/>
          <w:color w:val="auto"/>
          <w:shd w:val="clear" w:color="auto" w:fill="auto"/>
        </w:rPr>
        <w:t xml:space="preserve">1 </w:t>
      </w:r>
      <w:r>
        <w:rPr>
          <w:color w:val="auto"/>
          <w:shd w:val="clear" w:color="auto" w:fill="auto"/>
        </w:rPr>
        <w:t>评价范围</w:t>
      </w:r>
      <w:bookmarkEnd w:id="87"/>
    </w:p>
    <w:p>
      <w:pPr>
        <w:pStyle w:val="43"/>
        <w:rPr>
          <w:color w:val="auto"/>
          <w:highlight w:val="none"/>
          <w:shd w:val="clear" w:color="auto" w:fill="auto"/>
        </w:rPr>
      </w:pPr>
      <w:r>
        <w:rPr>
          <w:color w:val="auto"/>
          <w:highlight w:val="none"/>
          <w:shd w:val="clear" w:color="auto" w:fill="auto"/>
        </w:rPr>
        <w:t>表1.</w:t>
      </w:r>
      <w:r>
        <w:rPr>
          <w:rFonts w:hint="eastAsia"/>
          <w:color w:val="auto"/>
          <w:highlight w:val="none"/>
          <w:shd w:val="clear" w:color="auto" w:fill="auto"/>
        </w:rPr>
        <w:t>5</w:t>
      </w:r>
      <w:r>
        <w:rPr>
          <w:color w:val="auto"/>
          <w:highlight w:val="none"/>
          <w:shd w:val="clear" w:color="auto" w:fill="auto"/>
        </w:rPr>
        <w:t>-</w:t>
      </w:r>
      <w:r>
        <w:rPr>
          <w:rFonts w:hint="eastAsia"/>
          <w:color w:val="auto"/>
          <w:highlight w:val="none"/>
          <w:shd w:val="clear" w:color="auto" w:fill="auto"/>
        </w:rPr>
        <w:t>1</w:t>
      </w:r>
      <w:r>
        <w:rPr>
          <w:color w:val="auto"/>
          <w:highlight w:val="none"/>
          <w:shd w:val="clear" w:color="auto" w:fill="auto"/>
        </w:rPr>
        <w:t xml:space="preserve">  本项目评价范围</w:t>
      </w:r>
    </w:p>
    <w:tbl>
      <w:tblPr>
        <w:tblStyle w:val="26"/>
        <w:tblW w:w="8946" w:type="dxa"/>
        <w:jc w:val="center"/>
        <w:tblLayout w:type="fixed"/>
        <w:tblCellMar>
          <w:top w:w="0" w:type="dxa"/>
          <w:left w:w="108" w:type="dxa"/>
          <w:bottom w:w="0" w:type="dxa"/>
          <w:right w:w="108" w:type="dxa"/>
        </w:tblCellMar>
      </w:tblPr>
      <w:tblGrid>
        <w:gridCol w:w="1879"/>
        <w:gridCol w:w="7067"/>
      </w:tblGrid>
      <w:tr>
        <w:tblPrEx>
          <w:tblCellMar>
            <w:top w:w="0" w:type="dxa"/>
            <w:left w:w="108" w:type="dxa"/>
            <w:bottom w:w="0" w:type="dxa"/>
            <w:right w:w="108" w:type="dxa"/>
          </w:tblCellMar>
        </w:tblPrEx>
        <w:trPr>
          <w:trHeight w:val="340" w:hRule="atLeast"/>
          <w:jc w:val="center"/>
        </w:trPr>
        <w:tc>
          <w:tcPr>
            <w:tcW w:w="1879" w:type="dxa"/>
            <w:tcBorders>
              <w:top w:val="single" w:color="auto" w:sz="4" w:space="0"/>
              <w:left w:val="single" w:color="auto" w:sz="4" w:space="0"/>
              <w:bottom w:val="single" w:color="auto" w:sz="4" w:space="0"/>
              <w:right w:val="single" w:color="auto" w:sz="4" w:space="0"/>
            </w:tcBorders>
            <w:vAlign w:val="center"/>
          </w:tcPr>
          <w:p>
            <w:pPr>
              <w:pStyle w:val="44"/>
              <w:rPr>
                <w:color w:val="auto"/>
                <w:highlight w:val="none"/>
                <w:shd w:val="clear" w:color="auto" w:fill="auto"/>
              </w:rPr>
            </w:pPr>
            <w:r>
              <w:rPr>
                <w:color w:val="auto"/>
                <w:highlight w:val="none"/>
                <w:shd w:val="clear" w:color="auto" w:fill="auto"/>
              </w:rPr>
              <w:t>环境要素</w:t>
            </w:r>
          </w:p>
        </w:tc>
        <w:tc>
          <w:tcPr>
            <w:tcW w:w="7067" w:type="dxa"/>
            <w:tcBorders>
              <w:top w:val="single" w:color="auto" w:sz="4" w:space="0"/>
              <w:left w:val="nil"/>
              <w:bottom w:val="single" w:color="auto" w:sz="4" w:space="0"/>
              <w:right w:val="single" w:color="auto" w:sz="4" w:space="0"/>
            </w:tcBorders>
            <w:vAlign w:val="center"/>
          </w:tcPr>
          <w:p>
            <w:pPr>
              <w:pStyle w:val="44"/>
              <w:rPr>
                <w:color w:val="auto"/>
                <w:highlight w:val="none"/>
                <w:shd w:val="clear" w:color="auto" w:fill="auto"/>
              </w:rPr>
            </w:pPr>
            <w:r>
              <w:rPr>
                <w:color w:val="auto"/>
                <w:highlight w:val="none"/>
                <w:shd w:val="clear" w:color="auto" w:fill="auto"/>
              </w:rPr>
              <w:t>评价范围</w:t>
            </w:r>
          </w:p>
        </w:tc>
      </w:tr>
      <w:tr>
        <w:tblPrEx>
          <w:tblCellMar>
            <w:top w:w="0" w:type="dxa"/>
            <w:left w:w="108" w:type="dxa"/>
            <w:bottom w:w="0" w:type="dxa"/>
            <w:right w:w="108" w:type="dxa"/>
          </w:tblCellMar>
        </w:tblPrEx>
        <w:trPr>
          <w:trHeight w:val="340" w:hRule="atLeast"/>
          <w:jc w:val="center"/>
        </w:trPr>
        <w:tc>
          <w:tcPr>
            <w:tcW w:w="1879" w:type="dxa"/>
            <w:tcBorders>
              <w:top w:val="single" w:color="auto" w:sz="4" w:space="0"/>
              <w:left w:val="single" w:color="auto" w:sz="4" w:space="0"/>
              <w:bottom w:val="single" w:color="auto" w:sz="4" w:space="0"/>
              <w:right w:val="single" w:color="auto" w:sz="4" w:space="0"/>
            </w:tcBorders>
            <w:vAlign w:val="center"/>
          </w:tcPr>
          <w:p>
            <w:pPr>
              <w:pStyle w:val="44"/>
              <w:rPr>
                <w:color w:val="auto"/>
                <w:highlight w:val="none"/>
                <w:shd w:val="clear" w:color="auto" w:fill="auto"/>
              </w:rPr>
            </w:pPr>
            <w:r>
              <w:rPr>
                <w:color w:val="auto"/>
                <w:highlight w:val="none"/>
                <w:shd w:val="clear" w:color="auto" w:fill="auto"/>
              </w:rPr>
              <w:t>水环境</w:t>
            </w:r>
          </w:p>
        </w:tc>
        <w:tc>
          <w:tcPr>
            <w:tcW w:w="7067" w:type="dxa"/>
            <w:tcBorders>
              <w:top w:val="single" w:color="auto" w:sz="4" w:space="0"/>
              <w:left w:val="nil"/>
              <w:bottom w:val="single" w:color="auto" w:sz="4" w:space="0"/>
              <w:right w:val="single" w:color="auto" w:sz="4" w:space="0"/>
            </w:tcBorders>
            <w:vAlign w:val="center"/>
          </w:tcPr>
          <w:p>
            <w:pPr>
              <w:pStyle w:val="44"/>
              <w:rPr>
                <w:rFonts w:hint="eastAsia" w:eastAsia="宋体"/>
                <w:color w:val="auto"/>
                <w:highlight w:val="none"/>
                <w:shd w:val="clear" w:color="auto" w:fill="auto"/>
                <w:lang w:eastAsia="zh-CN"/>
              </w:rPr>
            </w:pPr>
            <w:r>
              <w:rPr>
                <w:rFonts w:hint="eastAsia" w:cs="Times New Roman"/>
                <w:color w:val="auto"/>
                <w:sz w:val="21"/>
                <w:highlight w:val="none"/>
                <w:shd w:val="clear" w:color="auto" w:fill="auto"/>
                <w:lang w:val="en-US" w:eastAsia="zh-CN"/>
              </w:rPr>
              <w:t>拟建码头上游端线上游500m至下游端线下游2000m范围。</w:t>
            </w:r>
          </w:p>
        </w:tc>
      </w:tr>
      <w:tr>
        <w:tblPrEx>
          <w:tblCellMar>
            <w:top w:w="0" w:type="dxa"/>
            <w:left w:w="108" w:type="dxa"/>
            <w:bottom w:w="0" w:type="dxa"/>
            <w:right w:w="108" w:type="dxa"/>
          </w:tblCellMar>
        </w:tblPrEx>
        <w:trPr>
          <w:trHeight w:val="340" w:hRule="atLeast"/>
          <w:jc w:val="center"/>
        </w:trPr>
        <w:tc>
          <w:tcPr>
            <w:tcW w:w="1879" w:type="dxa"/>
            <w:tcBorders>
              <w:top w:val="single" w:color="auto" w:sz="4" w:space="0"/>
              <w:left w:val="single" w:color="auto" w:sz="4" w:space="0"/>
              <w:bottom w:val="single" w:color="auto" w:sz="4" w:space="0"/>
              <w:right w:val="single" w:color="auto" w:sz="4" w:space="0"/>
            </w:tcBorders>
            <w:vAlign w:val="center"/>
          </w:tcPr>
          <w:p>
            <w:pPr>
              <w:pStyle w:val="44"/>
              <w:rPr>
                <w:color w:val="auto"/>
                <w:highlight w:val="none"/>
                <w:shd w:val="clear" w:color="auto" w:fill="auto"/>
              </w:rPr>
            </w:pPr>
            <w:r>
              <w:rPr>
                <w:color w:val="auto"/>
                <w:highlight w:val="none"/>
                <w:shd w:val="clear" w:color="auto" w:fill="auto"/>
              </w:rPr>
              <w:t>生态</w:t>
            </w:r>
          </w:p>
        </w:tc>
        <w:tc>
          <w:tcPr>
            <w:tcW w:w="7067" w:type="dxa"/>
            <w:tcBorders>
              <w:top w:val="single" w:color="auto" w:sz="4" w:space="0"/>
              <w:left w:val="nil"/>
              <w:bottom w:val="single" w:color="auto" w:sz="4" w:space="0"/>
              <w:right w:val="single" w:color="auto" w:sz="4" w:space="0"/>
            </w:tcBorders>
            <w:vAlign w:val="center"/>
          </w:tcPr>
          <w:p>
            <w:pPr>
              <w:pStyle w:val="44"/>
              <w:rPr>
                <w:rFonts w:hint="eastAsia" w:cs="Times New Roman"/>
                <w:color w:val="auto"/>
                <w:sz w:val="21"/>
                <w:highlight w:val="none"/>
                <w:shd w:val="clear" w:color="auto" w:fill="auto"/>
                <w:lang w:val="en-US" w:eastAsia="zh-CN"/>
              </w:rPr>
            </w:pPr>
            <w:r>
              <w:rPr>
                <w:rFonts w:hint="eastAsia" w:cs="Times New Roman"/>
                <w:color w:val="auto"/>
                <w:sz w:val="21"/>
                <w:highlight w:val="none"/>
                <w:shd w:val="clear" w:color="auto" w:fill="auto"/>
                <w:lang w:val="en-US" w:eastAsia="zh-CN"/>
              </w:rPr>
              <w:t>陆域生态环境影响评价范围为项目占地区；水生生态评价范围与地表水环境评价范围一致。</w:t>
            </w:r>
          </w:p>
        </w:tc>
      </w:tr>
      <w:tr>
        <w:tblPrEx>
          <w:tblCellMar>
            <w:top w:w="0" w:type="dxa"/>
            <w:left w:w="108" w:type="dxa"/>
            <w:bottom w:w="0" w:type="dxa"/>
            <w:right w:w="108" w:type="dxa"/>
          </w:tblCellMar>
        </w:tblPrEx>
        <w:trPr>
          <w:trHeight w:val="340" w:hRule="atLeast"/>
          <w:jc w:val="center"/>
        </w:trPr>
        <w:tc>
          <w:tcPr>
            <w:tcW w:w="1879" w:type="dxa"/>
            <w:tcBorders>
              <w:top w:val="single" w:color="auto" w:sz="4" w:space="0"/>
              <w:left w:val="single" w:color="auto" w:sz="4" w:space="0"/>
              <w:bottom w:val="single" w:color="auto" w:sz="4" w:space="0"/>
              <w:right w:val="single" w:color="auto" w:sz="4" w:space="0"/>
            </w:tcBorders>
            <w:vAlign w:val="center"/>
          </w:tcPr>
          <w:p>
            <w:pPr>
              <w:pStyle w:val="44"/>
              <w:rPr>
                <w:color w:val="auto"/>
                <w:highlight w:val="none"/>
                <w:shd w:val="clear" w:color="auto" w:fill="auto"/>
              </w:rPr>
            </w:pPr>
            <w:r>
              <w:rPr>
                <w:color w:val="auto"/>
                <w:highlight w:val="none"/>
                <w:shd w:val="clear" w:color="auto" w:fill="auto"/>
              </w:rPr>
              <w:t>声环境</w:t>
            </w:r>
          </w:p>
        </w:tc>
        <w:tc>
          <w:tcPr>
            <w:tcW w:w="7067" w:type="dxa"/>
            <w:tcBorders>
              <w:top w:val="single" w:color="auto" w:sz="4" w:space="0"/>
              <w:left w:val="nil"/>
              <w:bottom w:val="single" w:color="auto" w:sz="4" w:space="0"/>
              <w:right w:val="single" w:color="auto" w:sz="4" w:space="0"/>
            </w:tcBorders>
            <w:vAlign w:val="center"/>
          </w:tcPr>
          <w:p>
            <w:pPr>
              <w:pStyle w:val="44"/>
              <w:rPr>
                <w:rFonts w:hint="eastAsia" w:cs="Times New Roman"/>
                <w:color w:val="auto"/>
                <w:sz w:val="21"/>
                <w:highlight w:val="none"/>
                <w:shd w:val="clear" w:color="auto" w:fill="auto"/>
                <w:lang w:val="en-US" w:eastAsia="zh-CN"/>
              </w:rPr>
            </w:pPr>
            <w:r>
              <w:rPr>
                <w:rFonts w:hint="eastAsia" w:cs="Times New Roman"/>
                <w:color w:val="auto"/>
                <w:sz w:val="21"/>
                <w:highlight w:val="none"/>
                <w:shd w:val="clear" w:color="auto" w:fill="auto"/>
                <w:lang w:val="en-US" w:eastAsia="zh-CN"/>
              </w:rPr>
              <w:t>项目码头及厂界外200m以内范围。</w:t>
            </w:r>
          </w:p>
        </w:tc>
      </w:tr>
      <w:tr>
        <w:tblPrEx>
          <w:tblCellMar>
            <w:top w:w="0" w:type="dxa"/>
            <w:left w:w="108" w:type="dxa"/>
            <w:bottom w:w="0" w:type="dxa"/>
            <w:right w:w="108" w:type="dxa"/>
          </w:tblCellMar>
        </w:tblPrEx>
        <w:trPr>
          <w:trHeight w:val="340" w:hRule="atLeast"/>
          <w:jc w:val="center"/>
        </w:trPr>
        <w:tc>
          <w:tcPr>
            <w:tcW w:w="1879" w:type="dxa"/>
            <w:tcBorders>
              <w:top w:val="single" w:color="auto" w:sz="4" w:space="0"/>
              <w:left w:val="single" w:color="auto" w:sz="4" w:space="0"/>
              <w:bottom w:val="single" w:color="auto" w:sz="4" w:space="0"/>
              <w:right w:val="single" w:color="auto" w:sz="4" w:space="0"/>
            </w:tcBorders>
            <w:vAlign w:val="center"/>
          </w:tcPr>
          <w:p>
            <w:pPr>
              <w:pStyle w:val="44"/>
              <w:rPr>
                <w:color w:val="auto"/>
                <w:highlight w:val="none"/>
                <w:shd w:val="clear" w:color="auto" w:fill="auto"/>
              </w:rPr>
            </w:pPr>
            <w:r>
              <w:rPr>
                <w:color w:val="auto"/>
                <w:highlight w:val="none"/>
                <w:shd w:val="clear" w:color="auto" w:fill="auto"/>
              </w:rPr>
              <w:t>大气环境</w:t>
            </w:r>
          </w:p>
        </w:tc>
        <w:tc>
          <w:tcPr>
            <w:tcW w:w="7067" w:type="dxa"/>
            <w:tcBorders>
              <w:top w:val="single" w:color="auto" w:sz="4" w:space="0"/>
              <w:left w:val="nil"/>
              <w:bottom w:val="single" w:color="auto" w:sz="4" w:space="0"/>
              <w:right w:val="single" w:color="auto" w:sz="4" w:space="0"/>
            </w:tcBorders>
            <w:vAlign w:val="center"/>
          </w:tcPr>
          <w:p>
            <w:pPr>
              <w:pStyle w:val="44"/>
              <w:rPr>
                <w:rFonts w:hint="eastAsia" w:eastAsia="宋体"/>
                <w:color w:val="auto"/>
                <w:highlight w:val="none"/>
                <w:shd w:val="clear" w:color="auto" w:fill="auto"/>
                <w:lang w:eastAsia="zh-CN"/>
              </w:rPr>
            </w:pPr>
            <w:r>
              <w:rPr>
                <w:rFonts w:hint="eastAsia"/>
                <w:color w:val="auto"/>
                <w:highlight w:val="none"/>
                <w:shd w:val="clear" w:color="auto" w:fill="auto"/>
                <w:lang w:eastAsia="zh-CN"/>
              </w:rPr>
              <w:t>以</w:t>
            </w:r>
            <w:r>
              <w:rPr>
                <w:rFonts w:hint="eastAsia"/>
                <w:color w:val="auto"/>
                <w:highlight w:val="none"/>
                <w:shd w:val="clear" w:color="auto" w:fill="auto"/>
              </w:rPr>
              <w:t>拟建码头为中心点</w:t>
            </w:r>
            <w:r>
              <w:rPr>
                <w:rFonts w:hint="eastAsia"/>
                <w:color w:val="auto"/>
                <w:highlight w:val="none"/>
                <w:shd w:val="clear" w:color="auto" w:fill="auto"/>
                <w:lang w:eastAsia="zh-CN"/>
              </w:rPr>
              <w:t>，</w:t>
            </w:r>
            <w:r>
              <w:rPr>
                <w:rFonts w:hint="eastAsia"/>
                <w:color w:val="auto"/>
                <w:highlight w:val="none"/>
                <w:shd w:val="clear" w:color="auto" w:fill="auto"/>
              </w:rPr>
              <w:t>评价范围边长取5</w:t>
            </w:r>
            <w:r>
              <w:rPr>
                <w:rFonts w:hint="eastAsia"/>
                <w:color w:val="auto"/>
                <w:highlight w:val="none"/>
                <w:shd w:val="clear" w:color="auto" w:fill="auto"/>
                <w:lang w:eastAsia="zh-CN"/>
              </w:rPr>
              <w:t>km。</w:t>
            </w:r>
          </w:p>
        </w:tc>
      </w:tr>
      <w:tr>
        <w:tblPrEx>
          <w:tblCellMar>
            <w:top w:w="0" w:type="dxa"/>
            <w:left w:w="108" w:type="dxa"/>
            <w:bottom w:w="0" w:type="dxa"/>
            <w:right w:w="108" w:type="dxa"/>
          </w:tblCellMar>
        </w:tblPrEx>
        <w:trPr>
          <w:trHeight w:val="340" w:hRule="atLeast"/>
          <w:jc w:val="center"/>
        </w:trPr>
        <w:tc>
          <w:tcPr>
            <w:tcW w:w="1879" w:type="dxa"/>
            <w:tcBorders>
              <w:top w:val="single" w:color="auto" w:sz="4" w:space="0"/>
              <w:left w:val="single" w:color="auto" w:sz="4" w:space="0"/>
              <w:bottom w:val="single" w:color="auto" w:sz="4" w:space="0"/>
              <w:right w:val="single" w:color="auto" w:sz="4" w:space="0"/>
            </w:tcBorders>
            <w:vAlign w:val="center"/>
          </w:tcPr>
          <w:p>
            <w:pPr>
              <w:pStyle w:val="44"/>
              <w:rPr>
                <w:color w:val="auto"/>
                <w:highlight w:val="none"/>
                <w:shd w:val="clear" w:color="auto" w:fill="auto"/>
              </w:rPr>
            </w:pPr>
            <w:r>
              <w:rPr>
                <w:color w:val="auto"/>
                <w:highlight w:val="none"/>
                <w:shd w:val="clear" w:color="auto" w:fill="auto"/>
              </w:rPr>
              <w:t>环境风险</w:t>
            </w:r>
          </w:p>
        </w:tc>
        <w:tc>
          <w:tcPr>
            <w:tcW w:w="7067" w:type="dxa"/>
            <w:tcBorders>
              <w:top w:val="single" w:color="auto" w:sz="4" w:space="0"/>
              <w:left w:val="nil"/>
              <w:bottom w:val="single" w:color="auto" w:sz="4" w:space="0"/>
              <w:right w:val="single" w:color="auto" w:sz="4" w:space="0"/>
            </w:tcBorders>
            <w:vAlign w:val="center"/>
          </w:tcPr>
          <w:p>
            <w:pPr>
              <w:pStyle w:val="44"/>
              <w:rPr>
                <w:color w:val="auto"/>
                <w:highlight w:val="none"/>
                <w:shd w:val="clear" w:color="auto" w:fill="auto"/>
              </w:rPr>
            </w:pPr>
            <w:r>
              <w:rPr>
                <w:color w:val="auto"/>
                <w:highlight w:val="none"/>
                <w:shd w:val="clear" w:color="auto" w:fill="auto"/>
              </w:rPr>
              <w:t>风险评价范围等同水环境评价范围，同时根据预测结果扩大至下游相应的影响范围。</w:t>
            </w:r>
          </w:p>
        </w:tc>
      </w:tr>
    </w:tbl>
    <w:p>
      <w:pPr>
        <w:pStyle w:val="5"/>
        <w:rPr>
          <w:color w:val="auto"/>
          <w:highlight w:val="none"/>
          <w:shd w:val="clear" w:color="auto" w:fill="auto"/>
        </w:rPr>
      </w:pPr>
      <w:r>
        <w:rPr>
          <w:rFonts w:hint="eastAsia"/>
          <w:color w:val="auto"/>
          <w:highlight w:val="none"/>
          <w:shd w:val="clear" w:color="auto" w:fill="auto"/>
        </w:rPr>
        <w:t>1.5</w:t>
      </w:r>
      <w:r>
        <w:rPr>
          <w:color w:val="auto"/>
          <w:highlight w:val="none"/>
          <w:shd w:val="clear" w:color="auto" w:fill="auto"/>
        </w:rPr>
        <w:t>.</w:t>
      </w:r>
      <w:r>
        <w:rPr>
          <w:rFonts w:hint="eastAsia"/>
          <w:color w:val="auto"/>
          <w:highlight w:val="none"/>
          <w:shd w:val="clear" w:color="auto" w:fill="auto"/>
        </w:rPr>
        <w:t>2 环境保护目标</w:t>
      </w:r>
    </w:p>
    <w:p>
      <w:pPr>
        <w:ind w:firstLine="480"/>
        <w:rPr>
          <w:color w:val="auto"/>
          <w:highlight w:val="none"/>
          <w:shd w:val="clear" w:color="auto" w:fill="auto"/>
        </w:rPr>
      </w:pPr>
      <w:r>
        <w:rPr>
          <w:rFonts w:hint="eastAsia"/>
          <w:color w:val="auto"/>
          <w:shd w:val="clear" w:color="auto" w:fill="auto"/>
          <w:lang w:val="en-US" w:eastAsia="zh-CN"/>
        </w:rPr>
        <w:t>本工程</w:t>
      </w:r>
      <w:r>
        <w:rPr>
          <w:rFonts w:hint="eastAsia"/>
          <w:color w:val="auto"/>
          <w:shd w:val="clear" w:color="auto" w:fill="auto"/>
        </w:rPr>
        <w:t>位于</w:t>
      </w:r>
      <w:r>
        <w:rPr>
          <w:rFonts w:hint="eastAsia" w:cs="Times New Roman"/>
          <w:color w:val="auto"/>
          <w:shd w:val="clear" w:color="auto" w:fill="auto"/>
          <w:lang w:eastAsia="zh-CN"/>
        </w:rPr>
        <w:t>城关镇陶桥村上游沙颍河北岸，上距太和二桥约1.8km</w:t>
      </w:r>
      <w:r>
        <w:rPr>
          <w:rFonts w:eastAsia="宋体" w:cs="Times New Roman"/>
          <w:color w:val="auto"/>
          <w:shd w:val="clear" w:color="auto" w:fill="auto"/>
        </w:rPr>
        <w:t>。</w:t>
      </w:r>
      <w:r>
        <w:rPr>
          <w:rFonts w:hint="eastAsia"/>
          <w:color w:val="auto"/>
          <w:highlight w:val="none"/>
          <w:shd w:val="clear" w:color="auto" w:fill="auto"/>
        </w:rPr>
        <w:t>建设项目环境保护目标如下：</w:t>
      </w:r>
    </w:p>
    <w:p>
      <w:pPr>
        <w:ind w:firstLine="480"/>
        <w:rPr>
          <w:rFonts w:eastAsia="宋体" w:cs="Times New Roman"/>
          <w:color w:val="auto"/>
          <w:highlight w:val="none"/>
          <w:shd w:val="clear" w:color="auto" w:fill="auto"/>
        </w:rPr>
      </w:pPr>
      <w:r>
        <w:rPr>
          <w:rFonts w:hint="eastAsia"/>
          <w:color w:val="auto"/>
          <w:highlight w:val="none"/>
          <w:shd w:val="clear" w:color="auto" w:fill="auto"/>
        </w:rPr>
        <w:t>（1）环境空气保护目标：</w:t>
      </w:r>
      <w:r>
        <w:rPr>
          <w:color w:val="auto"/>
          <w:highlight w:val="none"/>
          <w:shd w:val="clear" w:color="auto" w:fill="auto"/>
        </w:rPr>
        <w:t>主要为码头附近的居民点</w:t>
      </w:r>
      <w:r>
        <w:rPr>
          <w:rFonts w:hint="eastAsia"/>
          <w:color w:val="auto"/>
          <w:highlight w:val="none"/>
          <w:shd w:val="clear" w:color="auto" w:fill="auto"/>
        </w:rPr>
        <w:t>，保护级别为《环境空气质量标</w:t>
      </w:r>
      <w:r>
        <w:rPr>
          <w:rFonts w:hint="eastAsia" w:eastAsia="宋体" w:cs="Times New Roman"/>
          <w:color w:val="auto"/>
          <w:highlight w:val="none"/>
          <w:shd w:val="clear" w:color="auto" w:fill="auto"/>
        </w:rPr>
        <w:t>准》（GB3095-2012）二级标准。</w:t>
      </w:r>
    </w:p>
    <w:p>
      <w:pPr>
        <w:ind w:firstLine="480"/>
        <w:rPr>
          <w:color w:val="auto"/>
          <w:highlight w:val="none"/>
          <w:shd w:val="clear" w:color="auto" w:fill="auto"/>
        </w:rPr>
      </w:pPr>
      <w:r>
        <w:rPr>
          <w:rFonts w:hint="eastAsia" w:eastAsia="宋体" w:cs="Times New Roman"/>
          <w:color w:val="auto"/>
          <w:highlight w:val="none"/>
          <w:shd w:val="clear" w:color="auto" w:fill="auto"/>
        </w:rPr>
        <w:t>（2）水环境保护目标：本项目水环境保护目标为</w:t>
      </w:r>
      <w:r>
        <w:rPr>
          <w:rFonts w:hint="eastAsia" w:cs="Times New Roman"/>
          <w:color w:val="auto"/>
          <w:highlight w:val="none"/>
          <w:shd w:val="clear" w:color="auto" w:fill="auto"/>
          <w:lang w:val="en-US" w:eastAsia="zh-CN"/>
        </w:rPr>
        <w:t>沙颍河</w:t>
      </w:r>
      <w:r>
        <w:rPr>
          <w:rFonts w:hint="eastAsia" w:eastAsia="宋体" w:cs="Times New Roman"/>
          <w:color w:val="auto"/>
          <w:highlight w:val="none"/>
          <w:shd w:val="clear" w:color="auto" w:fill="auto"/>
          <w:lang w:eastAsia="zh-CN"/>
        </w:rPr>
        <w:t>。</w:t>
      </w:r>
      <w:r>
        <w:rPr>
          <w:rFonts w:hint="eastAsia" w:cs="Times New Roman"/>
          <w:color w:val="auto"/>
          <w:highlight w:val="none"/>
          <w:shd w:val="clear" w:color="auto" w:fill="auto"/>
          <w:lang w:val="en-US" w:eastAsia="zh-CN"/>
        </w:rPr>
        <w:t>沙颍河</w:t>
      </w:r>
      <w:r>
        <w:rPr>
          <w:rFonts w:hint="eastAsia" w:eastAsia="宋体" w:cs="Times New Roman"/>
          <w:color w:val="auto"/>
          <w:highlight w:val="none"/>
          <w:shd w:val="clear" w:color="auto" w:fill="auto"/>
        </w:rPr>
        <w:t>为Ⅳ类水体，其现状主要功能为景观、农业用水</w:t>
      </w:r>
      <w:r>
        <w:rPr>
          <w:rFonts w:hint="eastAsia" w:cs="Times New Roman"/>
          <w:color w:val="auto"/>
          <w:highlight w:val="none"/>
          <w:shd w:val="clear" w:color="auto" w:fill="auto"/>
          <w:lang w:eastAsia="zh-CN"/>
        </w:rPr>
        <w:t>。</w:t>
      </w:r>
      <w:r>
        <w:rPr>
          <w:rFonts w:hint="eastAsia" w:eastAsia="宋体" w:cs="Times New Roman"/>
          <w:color w:val="auto"/>
          <w:highlight w:val="none"/>
          <w:shd w:val="clear" w:color="auto" w:fill="auto"/>
        </w:rPr>
        <w:t>根据调查，项目</w:t>
      </w:r>
      <w:r>
        <w:rPr>
          <w:rFonts w:hint="eastAsia" w:eastAsia="宋体" w:cs="Times New Roman"/>
          <w:color w:val="auto"/>
          <w:highlight w:val="none"/>
          <w:shd w:val="clear" w:color="auto" w:fill="auto"/>
          <w:lang w:val="en-US" w:eastAsia="zh-CN"/>
        </w:rPr>
        <w:t>评价范围内</w:t>
      </w:r>
      <w:r>
        <w:rPr>
          <w:rFonts w:hint="eastAsia" w:eastAsia="宋体" w:cs="Times New Roman"/>
          <w:color w:val="auto"/>
          <w:highlight w:val="none"/>
          <w:shd w:val="clear" w:color="auto" w:fill="auto"/>
        </w:rPr>
        <w:t>不涉及饮用水</w:t>
      </w:r>
      <w:r>
        <w:rPr>
          <w:rFonts w:hint="eastAsia" w:cs="Times New Roman"/>
          <w:color w:val="auto"/>
          <w:highlight w:val="none"/>
          <w:shd w:val="clear" w:color="auto" w:fill="auto"/>
          <w:lang w:eastAsia="zh-CN"/>
        </w:rPr>
        <w:t>水</w:t>
      </w:r>
      <w:r>
        <w:rPr>
          <w:rFonts w:hint="eastAsia" w:eastAsia="宋体" w:cs="Times New Roman"/>
          <w:color w:val="auto"/>
          <w:highlight w:val="none"/>
          <w:shd w:val="clear" w:color="auto" w:fill="auto"/>
        </w:rPr>
        <w:t>源保护区</w:t>
      </w:r>
      <w:r>
        <w:rPr>
          <w:rFonts w:hint="eastAsia" w:eastAsia="宋体" w:cs="Times New Roman"/>
          <w:color w:val="auto"/>
          <w:highlight w:val="none"/>
          <w:shd w:val="clear" w:color="auto" w:fill="auto"/>
          <w:lang w:eastAsia="zh-CN"/>
        </w:rPr>
        <w:t>、</w:t>
      </w:r>
      <w:r>
        <w:rPr>
          <w:rFonts w:hint="eastAsia" w:eastAsia="宋体" w:cs="Times New Roman"/>
          <w:color w:val="auto"/>
          <w:highlight w:val="none"/>
          <w:shd w:val="clear" w:color="auto" w:fill="auto"/>
          <w:lang w:val="en-US" w:eastAsia="zh-CN"/>
        </w:rPr>
        <w:t>饮用水取水口</w:t>
      </w:r>
      <w:r>
        <w:rPr>
          <w:rFonts w:hint="eastAsia" w:cs="Times New Roman"/>
          <w:color w:val="auto"/>
          <w:highlight w:val="none"/>
          <w:shd w:val="clear" w:color="auto" w:fill="auto"/>
          <w:lang w:eastAsia="zh-CN"/>
        </w:rPr>
        <w:t>；</w:t>
      </w:r>
      <w:r>
        <w:rPr>
          <w:rFonts w:hint="eastAsia" w:eastAsia="宋体" w:cs="Times New Roman"/>
          <w:color w:val="auto"/>
          <w:highlight w:val="none"/>
          <w:shd w:val="clear" w:color="auto" w:fill="auto"/>
        </w:rPr>
        <w:t>拟建项目上下游1</w:t>
      </w:r>
      <w:r>
        <w:rPr>
          <w:rFonts w:hint="eastAsia" w:cs="Times New Roman"/>
          <w:color w:val="auto"/>
          <w:highlight w:val="none"/>
          <w:shd w:val="clear" w:color="auto" w:fill="auto"/>
          <w:lang w:eastAsia="zh-CN"/>
        </w:rPr>
        <w:t>km</w:t>
      </w:r>
      <w:r>
        <w:rPr>
          <w:rFonts w:hint="eastAsia" w:eastAsia="宋体" w:cs="Times New Roman"/>
          <w:color w:val="auto"/>
          <w:highlight w:val="none"/>
          <w:shd w:val="clear" w:color="auto" w:fill="auto"/>
        </w:rPr>
        <w:t>范围</w:t>
      </w:r>
      <w:r>
        <w:rPr>
          <w:rFonts w:hint="eastAsia" w:eastAsia="宋体" w:cs="Times New Roman"/>
          <w:color w:val="auto"/>
          <w:shd w:val="clear" w:color="auto" w:fill="auto"/>
        </w:rPr>
        <w:t>内不属于</w:t>
      </w:r>
      <w:r>
        <w:rPr>
          <w:rFonts w:hint="eastAsia"/>
          <w:color w:val="auto"/>
          <w:shd w:val="clear" w:color="auto" w:fill="auto"/>
        </w:rPr>
        <w:t>渔业自然</w:t>
      </w:r>
      <w:r>
        <w:rPr>
          <w:rFonts w:hint="eastAsia"/>
          <w:color w:val="auto"/>
          <w:highlight w:val="none"/>
          <w:shd w:val="clear" w:color="auto" w:fill="auto"/>
        </w:rPr>
        <w:t>产卵场、繁殖场、索饵场及重要洄游通道，且无生态自然保护区。</w:t>
      </w:r>
    </w:p>
    <w:p>
      <w:pPr>
        <w:ind w:firstLine="480"/>
        <w:rPr>
          <w:color w:val="auto"/>
          <w:highlight w:val="none"/>
          <w:shd w:val="clear" w:color="auto" w:fill="auto"/>
        </w:rPr>
      </w:pPr>
      <w:r>
        <w:rPr>
          <w:rFonts w:hint="eastAsia"/>
          <w:color w:val="auto"/>
          <w:highlight w:val="none"/>
          <w:shd w:val="clear" w:color="auto" w:fill="auto"/>
          <w:lang w:val="en-US" w:eastAsia="zh-CN"/>
        </w:rPr>
        <w:t>综上，</w:t>
      </w:r>
      <w:r>
        <w:rPr>
          <w:rFonts w:hint="eastAsia"/>
          <w:color w:val="auto"/>
          <w:highlight w:val="none"/>
          <w:shd w:val="clear" w:color="auto" w:fill="auto"/>
        </w:rPr>
        <w:t>本项目的地表水环境保护目标是：拟建</w:t>
      </w:r>
      <w:r>
        <w:rPr>
          <w:rFonts w:hint="eastAsia"/>
          <w:color w:val="auto"/>
          <w:highlight w:val="none"/>
          <w:shd w:val="clear" w:color="auto" w:fill="auto"/>
          <w:lang w:val="en-US" w:eastAsia="zh-CN"/>
        </w:rPr>
        <w:t>码头</w:t>
      </w:r>
      <w:r>
        <w:rPr>
          <w:rFonts w:hint="eastAsia"/>
          <w:color w:val="auto"/>
          <w:highlight w:val="none"/>
          <w:shd w:val="clear" w:color="auto" w:fill="auto"/>
        </w:rPr>
        <w:t>所在</w:t>
      </w:r>
      <w:r>
        <w:rPr>
          <w:rFonts w:hint="eastAsia"/>
          <w:color w:val="auto"/>
          <w:highlight w:val="none"/>
          <w:shd w:val="clear" w:color="auto" w:fill="auto"/>
          <w:lang w:val="en-US" w:eastAsia="zh-CN"/>
        </w:rPr>
        <w:t>沙颍河段</w:t>
      </w:r>
      <w:r>
        <w:rPr>
          <w:rFonts w:hint="eastAsia"/>
          <w:color w:val="auto"/>
          <w:highlight w:val="none"/>
          <w:shd w:val="clear" w:color="auto" w:fill="auto"/>
        </w:rPr>
        <w:t>水质</w:t>
      </w:r>
      <w:r>
        <w:rPr>
          <w:rFonts w:hint="eastAsia"/>
          <w:color w:val="auto"/>
          <w:highlight w:val="none"/>
          <w:shd w:val="clear" w:color="auto" w:fill="auto"/>
          <w:lang w:val="en-US" w:eastAsia="zh-CN"/>
        </w:rPr>
        <w:t>，</w:t>
      </w:r>
      <w:r>
        <w:rPr>
          <w:rFonts w:hint="eastAsia"/>
          <w:color w:val="auto"/>
          <w:highlight w:val="none"/>
          <w:shd w:val="clear" w:color="auto" w:fill="auto"/>
        </w:rPr>
        <w:t>不降低其现有水质现状。</w:t>
      </w:r>
    </w:p>
    <w:p>
      <w:pPr>
        <w:ind w:firstLine="480"/>
        <w:rPr>
          <w:rFonts w:hint="eastAsia" w:ascii="Times New Roman" w:hAnsi="Times New Roman"/>
          <w:color w:val="auto"/>
          <w:highlight w:val="none"/>
          <w:shd w:val="clear" w:color="auto" w:fill="auto"/>
        </w:rPr>
      </w:pPr>
      <w:r>
        <w:rPr>
          <w:rFonts w:hint="eastAsia" w:ascii="Times New Roman" w:hAnsi="Times New Roman"/>
          <w:color w:val="auto"/>
          <w:highlight w:val="none"/>
          <w:shd w:val="clear" w:color="auto" w:fill="auto"/>
          <w:lang w:eastAsia="zh-CN"/>
        </w:rPr>
        <w:t>（</w:t>
      </w:r>
      <w:r>
        <w:rPr>
          <w:rFonts w:hint="eastAsia" w:ascii="Times New Roman" w:hAnsi="Times New Roman"/>
          <w:color w:val="auto"/>
          <w:highlight w:val="none"/>
          <w:shd w:val="clear" w:color="auto" w:fill="auto"/>
          <w:lang w:val="en-US" w:eastAsia="zh-CN"/>
        </w:rPr>
        <w:t>3</w:t>
      </w:r>
      <w:r>
        <w:rPr>
          <w:rFonts w:hint="eastAsia" w:ascii="Times New Roman" w:hAnsi="Times New Roman"/>
          <w:color w:val="auto"/>
          <w:highlight w:val="none"/>
          <w:shd w:val="clear" w:color="auto" w:fill="auto"/>
          <w:lang w:eastAsia="zh-CN"/>
        </w:rPr>
        <w:t>）</w:t>
      </w:r>
      <w:r>
        <w:rPr>
          <w:rFonts w:hint="eastAsia" w:ascii="Times New Roman" w:hAnsi="Times New Roman"/>
          <w:color w:val="auto"/>
          <w:highlight w:val="none"/>
          <w:shd w:val="clear" w:color="auto" w:fill="auto"/>
        </w:rPr>
        <w:t>声环境保护目标：南厂界</w:t>
      </w:r>
      <w:r>
        <w:rPr>
          <w:rFonts w:hint="eastAsia" w:ascii="Times New Roman" w:hAnsi="Times New Roman"/>
          <w:color w:val="auto"/>
          <w:highlight w:val="none"/>
          <w:shd w:val="clear" w:color="auto" w:fill="auto"/>
          <w:lang w:val="en-US" w:eastAsia="zh-CN"/>
        </w:rPr>
        <w:t>声环境</w:t>
      </w:r>
      <w:r>
        <w:rPr>
          <w:rFonts w:hint="eastAsia" w:ascii="Times New Roman" w:hAnsi="Times New Roman"/>
          <w:color w:val="auto"/>
          <w:highlight w:val="none"/>
          <w:shd w:val="clear" w:color="auto" w:fill="auto"/>
        </w:rPr>
        <w:t>执行《声环境质量标准》（GB3096-2008）中的4a类标准，</w:t>
      </w:r>
      <w:r>
        <w:rPr>
          <w:rFonts w:hint="eastAsia"/>
          <w:color w:val="auto"/>
          <w:highlight w:val="none"/>
          <w:shd w:val="clear" w:color="auto" w:fill="auto"/>
          <w:lang w:val="en-US" w:eastAsia="zh-CN"/>
        </w:rPr>
        <w:t>其余</w:t>
      </w:r>
      <w:r>
        <w:rPr>
          <w:rFonts w:hint="eastAsia" w:ascii="Times New Roman" w:hAnsi="Times New Roman"/>
          <w:color w:val="auto"/>
          <w:highlight w:val="none"/>
          <w:shd w:val="clear" w:color="auto" w:fill="auto"/>
          <w:lang w:val="en-US" w:eastAsia="zh-CN"/>
        </w:rPr>
        <w:t>厂界</w:t>
      </w:r>
      <w:r>
        <w:rPr>
          <w:rFonts w:hint="eastAsia" w:ascii="Times New Roman" w:hAnsi="Times New Roman"/>
          <w:color w:val="auto"/>
          <w:highlight w:val="none"/>
          <w:shd w:val="clear" w:color="auto" w:fill="auto"/>
        </w:rPr>
        <w:t>执行</w:t>
      </w:r>
      <w:r>
        <w:rPr>
          <w:rFonts w:hint="eastAsia"/>
          <w:color w:val="auto"/>
          <w:highlight w:val="none"/>
          <w:shd w:val="clear" w:color="auto" w:fill="auto"/>
          <w:lang w:val="en-US" w:eastAsia="zh-CN"/>
        </w:rPr>
        <w:t>2</w:t>
      </w:r>
      <w:r>
        <w:rPr>
          <w:rFonts w:hint="eastAsia" w:ascii="Times New Roman" w:hAnsi="Times New Roman"/>
          <w:color w:val="auto"/>
          <w:highlight w:val="none"/>
          <w:shd w:val="clear" w:color="auto" w:fill="auto"/>
        </w:rPr>
        <w:t>类标准</w:t>
      </w:r>
      <w:r>
        <w:rPr>
          <w:rFonts w:hint="eastAsia" w:ascii="Times New Roman" w:hAnsi="Times New Roman"/>
          <w:color w:val="auto"/>
          <w:highlight w:val="none"/>
          <w:shd w:val="clear" w:color="auto" w:fill="auto"/>
          <w:lang w:eastAsia="zh-CN"/>
        </w:rPr>
        <w:t>；</w:t>
      </w:r>
      <w:r>
        <w:rPr>
          <w:rFonts w:hint="eastAsia"/>
          <w:color w:val="auto"/>
          <w:highlight w:val="none"/>
          <w:shd w:val="clear" w:color="auto" w:fill="auto"/>
          <w:lang w:eastAsia="zh-CN"/>
        </w:rPr>
        <w:t>厂界外</w:t>
      </w:r>
      <w:r>
        <w:rPr>
          <w:rFonts w:hint="eastAsia"/>
          <w:color w:val="auto"/>
          <w:highlight w:val="none"/>
          <w:shd w:val="clear" w:color="auto" w:fill="auto"/>
          <w:lang w:val="en-US" w:eastAsia="zh-CN"/>
        </w:rPr>
        <w:t>200m范围内</w:t>
      </w:r>
      <w:r>
        <w:rPr>
          <w:rFonts w:hint="eastAsia" w:ascii="Times New Roman" w:hAnsi="Times New Roman"/>
          <w:color w:val="auto"/>
          <w:highlight w:val="none"/>
          <w:shd w:val="clear" w:color="auto" w:fill="auto"/>
          <w:lang w:val="en-US" w:eastAsia="zh-CN"/>
        </w:rPr>
        <w:t>敏感点执行2类标准</w:t>
      </w:r>
      <w:r>
        <w:rPr>
          <w:rFonts w:hint="eastAsia" w:ascii="Times New Roman" w:hAnsi="Times New Roman"/>
          <w:color w:val="auto"/>
          <w:highlight w:val="none"/>
          <w:shd w:val="clear" w:color="auto" w:fill="auto"/>
        </w:rPr>
        <w:t>。</w:t>
      </w:r>
    </w:p>
    <w:p>
      <w:pPr>
        <w:ind w:firstLine="480"/>
        <w:rPr>
          <w:rFonts w:hint="eastAsia" w:ascii="Times New Roman" w:hAnsi="Times New Roman"/>
          <w:color w:val="auto"/>
          <w:highlight w:val="none"/>
          <w:shd w:val="clear" w:color="auto" w:fill="auto"/>
        </w:rPr>
      </w:pPr>
      <w:r>
        <w:rPr>
          <w:rFonts w:hint="eastAsia" w:ascii="Times New Roman" w:hAnsi="Times New Roman"/>
          <w:color w:val="auto"/>
          <w:highlight w:val="none"/>
          <w:shd w:val="clear" w:color="auto" w:fill="auto"/>
        </w:rPr>
        <w:t>（4）生态环境保护目标：本项目所在</w:t>
      </w:r>
      <w:r>
        <w:rPr>
          <w:rFonts w:hint="eastAsia"/>
          <w:color w:val="auto"/>
          <w:highlight w:val="none"/>
          <w:shd w:val="clear" w:color="auto" w:fill="auto"/>
          <w:lang w:val="en-US" w:eastAsia="zh-CN"/>
        </w:rPr>
        <w:t>沙颍河</w:t>
      </w:r>
      <w:r>
        <w:rPr>
          <w:rFonts w:hint="eastAsia" w:ascii="Times New Roman" w:hAnsi="Times New Roman"/>
          <w:color w:val="auto"/>
          <w:highlight w:val="none"/>
          <w:shd w:val="clear" w:color="auto" w:fill="auto"/>
        </w:rPr>
        <w:t>段不属于自然保护区范围，生态环境保护目标为保护受本项目建设影响的各种生态系统，将对生态环境的影响减小到最低程度。</w:t>
      </w:r>
    </w:p>
    <w:p>
      <w:pPr>
        <w:ind w:firstLine="480"/>
        <w:rPr>
          <w:rFonts w:hint="eastAsia" w:ascii="Times New Roman" w:hAnsi="Times New Roman"/>
          <w:color w:val="auto"/>
          <w:highlight w:val="none"/>
          <w:shd w:val="clear" w:color="auto" w:fill="auto"/>
        </w:rPr>
      </w:pPr>
      <w:r>
        <w:rPr>
          <w:rFonts w:hint="eastAsia" w:ascii="Times New Roman" w:hAnsi="Times New Roman"/>
          <w:color w:val="auto"/>
          <w:highlight w:val="none"/>
          <w:shd w:val="clear" w:color="auto" w:fill="auto"/>
          <w:lang w:val="en-US" w:eastAsia="zh-CN"/>
        </w:rPr>
        <w:t>本项目</w:t>
      </w:r>
      <w:r>
        <w:rPr>
          <w:rFonts w:hint="eastAsia" w:ascii="Times New Roman" w:hAnsi="Times New Roman"/>
          <w:color w:val="auto"/>
          <w:highlight w:val="none"/>
          <w:shd w:val="clear" w:color="auto" w:fill="auto"/>
        </w:rPr>
        <w:t>具体的环境保护目标见表1.5-2。</w:t>
      </w:r>
    </w:p>
    <w:p>
      <w:pPr>
        <w:keepNext w:val="0"/>
        <w:keepLines w:val="0"/>
        <w:pageBreakBefore w:val="0"/>
        <w:widowControl w:val="0"/>
        <w:kinsoku/>
        <w:wordWrap/>
        <w:overflowPunct/>
        <w:topLinePunct w:val="0"/>
        <w:autoSpaceDE/>
        <w:autoSpaceDN/>
        <w:bidi w:val="0"/>
        <w:adjustRightInd/>
        <w:snapToGrid/>
        <w:spacing w:line="240" w:lineRule="auto"/>
        <w:ind w:firstLine="482"/>
        <w:jc w:val="center"/>
        <w:textAlignment w:val="auto"/>
        <w:outlineLvl w:val="9"/>
        <w:rPr>
          <w:rFonts w:ascii="Times New Roman" w:hAnsi="Times New Roman" w:eastAsia="黑体" w:cs="Times New Roman"/>
          <w:color w:val="auto"/>
          <w:kern w:val="2"/>
          <w:sz w:val="24"/>
          <w:szCs w:val="24"/>
          <w:highlight w:val="none"/>
          <w:shd w:val="clear" w:color="auto" w:fill="auto"/>
          <w:lang w:val="en-US" w:eastAsia="zh-CN" w:bidi="ar-SA"/>
        </w:rPr>
      </w:pPr>
      <w:r>
        <w:rPr>
          <w:rFonts w:ascii="Times New Roman" w:hAnsi="Times New Roman" w:eastAsia="黑体" w:cs="Times New Roman"/>
          <w:color w:val="auto"/>
          <w:kern w:val="2"/>
          <w:sz w:val="24"/>
          <w:szCs w:val="24"/>
          <w:highlight w:val="none"/>
          <w:shd w:val="clear" w:color="auto" w:fill="auto"/>
          <w:lang w:val="en-US" w:eastAsia="zh-CN" w:bidi="ar-SA"/>
        </w:rPr>
        <w:t>表</w:t>
      </w:r>
      <w:r>
        <w:rPr>
          <w:rFonts w:hint="eastAsia" w:ascii="Times New Roman" w:hAnsi="Times New Roman" w:eastAsia="黑体" w:cs="Times New Roman"/>
          <w:color w:val="auto"/>
          <w:kern w:val="2"/>
          <w:sz w:val="24"/>
          <w:szCs w:val="24"/>
          <w:highlight w:val="none"/>
          <w:shd w:val="clear" w:color="auto" w:fill="auto"/>
          <w:lang w:val="en-US" w:eastAsia="zh-CN" w:bidi="ar-SA"/>
        </w:rPr>
        <w:t>1.5-2</w:t>
      </w:r>
      <w:r>
        <w:rPr>
          <w:rFonts w:ascii="Times New Roman" w:hAnsi="Times New Roman" w:eastAsia="黑体" w:cs="Times New Roman"/>
          <w:color w:val="auto"/>
          <w:kern w:val="2"/>
          <w:sz w:val="24"/>
          <w:szCs w:val="24"/>
          <w:highlight w:val="none"/>
          <w:shd w:val="clear" w:color="auto" w:fill="auto"/>
          <w:lang w:val="en-US" w:eastAsia="zh-CN" w:bidi="ar-SA"/>
        </w:rPr>
        <w:t xml:space="preserve"> 环境保护目标一览表</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5"/>
        <w:gridCol w:w="1087"/>
        <w:gridCol w:w="800"/>
        <w:gridCol w:w="713"/>
        <w:gridCol w:w="700"/>
        <w:gridCol w:w="2087"/>
        <w:gridCol w:w="913"/>
        <w:gridCol w:w="1075"/>
        <w:gridCol w:w="8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427" w:type="pct"/>
            <w:vMerge w:val="restart"/>
            <w:vAlign w:val="center"/>
          </w:tcPr>
          <w:p>
            <w:pPr>
              <w:spacing w:line="240" w:lineRule="auto"/>
              <w:ind w:firstLine="0" w:firstLineChars="0"/>
              <w:jc w:val="center"/>
              <w:rPr>
                <w:rFonts w:eastAsia="宋体" w:cs="Times New Roman"/>
                <w:color w:val="auto"/>
                <w:sz w:val="21"/>
                <w:szCs w:val="21"/>
                <w:highlight w:val="none"/>
                <w:shd w:val="clear" w:color="auto" w:fill="auto"/>
              </w:rPr>
            </w:pPr>
            <w:r>
              <w:rPr>
                <w:rFonts w:eastAsia="宋体" w:cs="Times New Roman"/>
                <w:color w:val="auto"/>
                <w:sz w:val="21"/>
                <w:szCs w:val="21"/>
                <w:highlight w:val="none"/>
                <w:shd w:val="clear" w:color="auto" w:fill="auto"/>
              </w:rPr>
              <w:t>环境要素</w:t>
            </w:r>
          </w:p>
        </w:tc>
        <w:tc>
          <w:tcPr>
            <w:tcW w:w="607" w:type="pct"/>
            <w:vMerge w:val="restart"/>
            <w:vAlign w:val="center"/>
          </w:tcPr>
          <w:p>
            <w:pPr>
              <w:spacing w:line="240" w:lineRule="auto"/>
              <w:ind w:firstLine="0" w:firstLineChars="0"/>
              <w:jc w:val="center"/>
              <w:rPr>
                <w:rFonts w:eastAsia="宋体" w:cs="Times New Roman"/>
                <w:color w:val="auto"/>
                <w:sz w:val="21"/>
                <w:szCs w:val="21"/>
                <w:highlight w:val="none"/>
                <w:shd w:val="clear" w:color="auto" w:fill="auto"/>
              </w:rPr>
            </w:pPr>
            <w:r>
              <w:rPr>
                <w:rFonts w:eastAsia="宋体" w:cs="Times New Roman"/>
                <w:color w:val="auto"/>
                <w:sz w:val="21"/>
                <w:szCs w:val="21"/>
                <w:highlight w:val="none"/>
                <w:shd w:val="clear" w:color="auto" w:fill="auto"/>
              </w:rPr>
              <w:t>环保目标</w:t>
            </w:r>
          </w:p>
        </w:tc>
        <w:tc>
          <w:tcPr>
            <w:tcW w:w="846" w:type="pct"/>
            <w:gridSpan w:val="2"/>
            <w:vAlign w:val="center"/>
          </w:tcPr>
          <w:p>
            <w:pPr>
              <w:spacing w:line="240" w:lineRule="auto"/>
              <w:ind w:firstLine="0" w:firstLineChars="0"/>
              <w:jc w:val="center"/>
              <w:rPr>
                <w:rFonts w:hint="default"/>
                <w:lang w:val="en-US" w:eastAsia="zh-CN"/>
              </w:rPr>
            </w:pPr>
            <w:r>
              <w:rPr>
                <w:rFonts w:hint="eastAsia"/>
                <w:lang w:eastAsia="zh-CN"/>
              </w:rPr>
              <w:t>坐标</w:t>
            </w:r>
            <w:r>
              <w:rPr>
                <w:rFonts w:hint="eastAsia"/>
                <w:lang w:val="en-US" w:eastAsia="zh-CN"/>
              </w:rPr>
              <w:t>/m</w:t>
            </w:r>
          </w:p>
        </w:tc>
        <w:tc>
          <w:tcPr>
            <w:tcW w:w="391" w:type="pct"/>
            <w:vMerge w:val="restart"/>
            <w:vAlign w:val="center"/>
          </w:tcPr>
          <w:p>
            <w:pPr>
              <w:spacing w:line="240" w:lineRule="auto"/>
              <w:ind w:firstLine="0" w:firstLineChars="0"/>
              <w:jc w:val="center"/>
              <w:rPr>
                <w:rFonts w:hint="eastAsia" w:eastAsia="宋体" w:cs="Times New Roman"/>
                <w:color w:val="auto"/>
                <w:sz w:val="21"/>
                <w:szCs w:val="21"/>
                <w:highlight w:val="none"/>
                <w:shd w:val="clear" w:color="auto" w:fill="auto"/>
                <w:lang w:eastAsia="zh-CN"/>
              </w:rPr>
            </w:pPr>
            <w:r>
              <w:rPr>
                <w:rFonts w:hint="eastAsia" w:cs="Times New Roman"/>
                <w:color w:val="auto"/>
                <w:sz w:val="21"/>
                <w:szCs w:val="21"/>
                <w:highlight w:val="none"/>
                <w:shd w:val="clear" w:color="auto" w:fill="auto"/>
                <w:lang w:val="en-US" w:eastAsia="zh-CN"/>
              </w:rPr>
              <w:t>保护对象</w:t>
            </w:r>
          </w:p>
        </w:tc>
        <w:tc>
          <w:tcPr>
            <w:tcW w:w="1167" w:type="pct"/>
            <w:vMerge w:val="restart"/>
            <w:vAlign w:val="center"/>
          </w:tcPr>
          <w:p>
            <w:pPr>
              <w:spacing w:line="240" w:lineRule="auto"/>
              <w:ind w:firstLine="0" w:firstLineChars="0"/>
              <w:jc w:val="center"/>
              <w:rPr>
                <w:rFonts w:hint="default"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保护内容</w:t>
            </w:r>
          </w:p>
        </w:tc>
        <w:tc>
          <w:tcPr>
            <w:tcW w:w="510" w:type="pct"/>
            <w:vMerge w:val="restart"/>
            <w:vAlign w:val="center"/>
          </w:tcPr>
          <w:p>
            <w:pPr>
              <w:spacing w:line="240" w:lineRule="auto"/>
              <w:ind w:firstLine="0" w:firstLineChars="0"/>
              <w:jc w:val="center"/>
              <w:rPr>
                <w:rFonts w:hint="eastAsia" w:eastAsia="宋体" w:cs="Times New Roman"/>
                <w:color w:val="auto"/>
                <w:sz w:val="21"/>
                <w:szCs w:val="21"/>
                <w:highlight w:val="none"/>
                <w:shd w:val="clear" w:color="auto" w:fill="auto"/>
                <w:lang w:eastAsia="zh-CN"/>
              </w:rPr>
            </w:pPr>
            <w:r>
              <w:rPr>
                <w:rFonts w:hint="eastAsia" w:cs="Times New Roman"/>
                <w:color w:val="auto"/>
                <w:sz w:val="21"/>
                <w:szCs w:val="21"/>
                <w:highlight w:val="none"/>
                <w:shd w:val="clear" w:color="auto" w:fill="auto"/>
                <w:lang w:eastAsia="zh-CN"/>
              </w:rPr>
              <w:t>相对厂址方位</w:t>
            </w:r>
          </w:p>
        </w:tc>
        <w:tc>
          <w:tcPr>
            <w:tcW w:w="601" w:type="pct"/>
            <w:vMerge w:val="restart"/>
            <w:vAlign w:val="center"/>
          </w:tcPr>
          <w:p>
            <w:pPr>
              <w:spacing w:line="240" w:lineRule="auto"/>
              <w:ind w:firstLine="0" w:firstLineChars="0"/>
              <w:jc w:val="center"/>
              <w:rPr>
                <w:rFonts w:hint="default" w:eastAsia="宋体"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eastAsia="zh-CN"/>
              </w:rPr>
              <w:t>相对厂界距离</w:t>
            </w:r>
            <w:r>
              <w:rPr>
                <w:rFonts w:hint="eastAsia" w:cs="Times New Roman"/>
                <w:color w:val="auto"/>
                <w:sz w:val="21"/>
                <w:szCs w:val="21"/>
                <w:highlight w:val="none"/>
                <w:shd w:val="clear" w:color="auto" w:fill="auto"/>
                <w:lang w:val="en-US" w:eastAsia="zh-CN"/>
              </w:rPr>
              <w:t>/m</w:t>
            </w:r>
          </w:p>
        </w:tc>
        <w:tc>
          <w:tcPr>
            <w:tcW w:w="447" w:type="pct"/>
            <w:vMerge w:val="restart"/>
            <w:vAlign w:val="center"/>
          </w:tcPr>
          <w:p>
            <w:pPr>
              <w:spacing w:line="240" w:lineRule="auto"/>
              <w:ind w:firstLine="0" w:firstLineChars="0"/>
              <w:jc w:val="center"/>
              <w:rPr>
                <w:rFonts w:hint="eastAsia" w:eastAsia="宋体" w:cs="Times New Roman"/>
                <w:color w:val="auto"/>
                <w:sz w:val="21"/>
                <w:szCs w:val="21"/>
                <w:highlight w:val="none"/>
                <w:shd w:val="clear" w:color="auto" w:fill="auto"/>
                <w:lang w:val="en-US" w:eastAsia="zh-CN"/>
              </w:rPr>
            </w:pPr>
            <w:r>
              <w:rPr>
                <w:rFonts w:hint="eastAsia" w:eastAsia="宋体" w:cs="Times New Roman"/>
                <w:color w:val="auto"/>
                <w:sz w:val="21"/>
                <w:szCs w:val="21"/>
                <w:highlight w:val="none"/>
                <w:shd w:val="clear" w:color="auto" w:fill="auto"/>
              </w:rPr>
              <w:t>环境功能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427" w:type="pct"/>
            <w:vMerge w:val="continue"/>
            <w:vAlign w:val="center"/>
          </w:tcPr>
          <w:p>
            <w:pPr>
              <w:spacing w:line="240" w:lineRule="auto"/>
              <w:ind w:firstLine="0" w:firstLineChars="0"/>
              <w:jc w:val="center"/>
              <w:rPr>
                <w:color w:val="auto"/>
                <w:shd w:val="clear" w:color="auto" w:fill="auto"/>
              </w:rPr>
            </w:pPr>
          </w:p>
        </w:tc>
        <w:tc>
          <w:tcPr>
            <w:tcW w:w="607" w:type="pct"/>
            <w:vMerge w:val="continue"/>
            <w:vAlign w:val="center"/>
          </w:tcPr>
          <w:p>
            <w:pPr>
              <w:spacing w:line="240" w:lineRule="auto"/>
              <w:ind w:firstLine="0" w:firstLineChars="0"/>
              <w:jc w:val="center"/>
              <w:rPr>
                <w:color w:val="auto"/>
                <w:shd w:val="clear" w:color="auto" w:fill="auto"/>
              </w:rPr>
            </w:pPr>
          </w:p>
        </w:tc>
        <w:tc>
          <w:tcPr>
            <w:tcW w:w="44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default"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pacing w:val="0"/>
                <w:sz w:val="21"/>
                <w:szCs w:val="21"/>
                <w:lang w:val="en-US" w:eastAsia="zh-CN"/>
              </w:rPr>
              <w:t>X</w:t>
            </w:r>
          </w:p>
        </w:tc>
        <w:tc>
          <w:tcPr>
            <w:tcW w:w="398"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default"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pacing w:val="0"/>
                <w:sz w:val="21"/>
                <w:szCs w:val="21"/>
                <w:lang w:val="en-US" w:eastAsia="zh-CN"/>
              </w:rPr>
              <w:t>Y</w:t>
            </w:r>
          </w:p>
        </w:tc>
        <w:tc>
          <w:tcPr>
            <w:tcW w:w="391" w:type="pct"/>
            <w:vMerge w:val="continue"/>
            <w:vAlign w:val="center"/>
          </w:tcPr>
          <w:p>
            <w:pPr>
              <w:spacing w:line="240" w:lineRule="auto"/>
              <w:ind w:firstLine="0" w:firstLineChars="0"/>
              <w:jc w:val="center"/>
              <w:rPr>
                <w:rFonts w:hint="eastAsia" w:cs="Times New Roman"/>
                <w:color w:val="auto"/>
                <w:sz w:val="21"/>
                <w:szCs w:val="21"/>
                <w:highlight w:val="none"/>
                <w:shd w:val="clear" w:color="auto" w:fill="auto"/>
                <w:lang w:eastAsia="zh-CN"/>
              </w:rPr>
            </w:pPr>
          </w:p>
        </w:tc>
        <w:tc>
          <w:tcPr>
            <w:tcW w:w="1167" w:type="pct"/>
            <w:vMerge w:val="continue"/>
            <w:vAlign w:val="center"/>
          </w:tcPr>
          <w:p>
            <w:pPr>
              <w:spacing w:line="240" w:lineRule="auto"/>
              <w:ind w:firstLine="0" w:firstLineChars="0"/>
              <w:jc w:val="center"/>
              <w:rPr>
                <w:rFonts w:hint="eastAsia" w:cs="Times New Roman"/>
                <w:color w:val="auto"/>
                <w:sz w:val="21"/>
                <w:szCs w:val="21"/>
                <w:highlight w:val="none"/>
                <w:shd w:val="clear" w:color="auto" w:fill="auto"/>
                <w:lang w:eastAsia="zh-CN"/>
              </w:rPr>
            </w:pPr>
          </w:p>
        </w:tc>
        <w:tc>
          <w:tcPr>
            <w:tcW w:w="510" w:type="pct"/>
            <w:vMerge w:val="continue"/>
            <w:vAlign w:val="center"/>
          </w:tcPr>
          <w:p>
            <w:pPr>
              <w:spacing w:line="240" w:lineRule="auto"/>
              <w:ind w:firstLine="0" w:firstLineChars="0"/>
              <w:jc w:val="center"/>
              <w:rPr>
                <w:rFonts w:hint="eastAsia" w:cs="Times New Roman"/>
                <w:color w:val="auto"/>
                <w:sz w:val="21"/>
                <w:szCs w:val="21"/>
                <w:highlight w:val="none"/>
                <w:shd w:val="clear" w:color="auto" w:fill="auto"/>
                <w:lang w:eastAsia="zh-CN"/>
              </w:rPr>
            </w:pPr>
          </w:p>
        </w:tc>
        <w:tc>
          <w:tcPr>
            <w:tcW w:w="601" w:type="pct"/>
            <w:vMerge w:val="continue"/>
            <w:vAlign w:val="center"/>
          </w:tcPr>
          <w:p>
            <w:pPr>
              <w:spacing w:line="240" w:lineRule="auto"/>
              <w:ind w:firstLine="0" w:firstLineChars="0"/>
              <w:jc w:val="center"/>
              <w:rPr>
                <w:rFonts w:hint="eastAsia" w:cs="Times New Roman"/>
                <w:color w:val="auto"/>
                <w:sz w:val="21"/>
                <w:szCs w:val="21"/>
                <w:highlight w:val="none"/>
                <w:shd w:val="clear" w:color="auto" w:fill="auto"/>
                <w:lang w:eastAsia="zh-CN"/>
              </w:rPr>
            </w:pPr>
          </w:p>
        </w:tc>
        <w:tc>
          <w:tcPr>
            <w:tcW w:w="447" w:type="pct"/>
            <w:vMerge w:val="continue"/>
            <w:vAlign w:val="center"/>
          </w:tcPr>
          <w:p>
            <w:pPr>
              <w:spacing w:line="240" w:lineRule="auto"/>
              <w:ind w:firstLine="0" w:firstLineChars="0"/>
              <w:jc w:val="center"/>
              <w:rPr>
                <w:rFonts w:hint="eastAsia" w:cs="Times New Roman"/>
                <w:color w:val="auto"/>
                <w:sz w:val="21"/>
                <w:szCs w:val="21"/>
                <w:highlight w:val="none"/>
                <w:shd w:val="clear" w:color="auto" w:fill="auto"/>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7" w:type="pct"/>
            <w:vMerge w:val="restart"/>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r>
              <w:rPr>
                <w:rFonts w:hint="eastAsia" w:cs="Times New Roman"/>
                <w:color w:val="auto"/>
                <w:kern w:val="2"/>
                <w:sz w:val="21"/>
                <w:szCs w:val="21"/>
                <w:shd w:val="clear" w:color="auto" w:fill="auto"/>
                <w:lang w:val="en-US" w:eastAsia="zh-CN" w:bidi="ar-SA"/>
              </w:rPr>
              <w:t>环境空气</w:t>
            </w:r>
          </w:p>
        </w:tc>
        <w:tc>
          <w:tcPr>
            <w:tcW w:w="607" w:type="pct"/>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r>
              <w:rPr>
                <w:rFonts w:hint="eastAsia" w:cs="Times New Roman"/>
                <w:color w:val="auto"/>
                <w:kern w:val="2"/>
                <w:sz w:val="21"/>
                <w:szCs w:val="21"/>
                <w:shd w:val="clear" w:color="auto" w:fill="auto"/>
                <w:lang w:val="en-US" w:eastAsia="zh-CN" w:bidi="ar-SA"/>
              </w:rPr>
              <w:t>陈楼</w:t>
            </w:r>
          </w:p>
        </w:tc>
        <w:tc>
          <w:tcPr>
            <w:tcW w:w="447" w:type="pct"/>
            <w:vAlign w:val="center"/>
          </w:tcPr>
          <w:p>
            <w:pPr>
              <w:spacing w:line="240" w:lineRule="auto"/>
              <w:ind w:firstLine="0" w:firstLineChars="0"/>
              <w:jc w:val="center"/>
              <w:rPr>
                <w:rFonts w:hint="default" w:eastAsia="宋体"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1517</w:t>
            </w:r>
          </w:p>
        </w:tc>
        <w:tc>
          <w:tcPr>
            <w:tcW w:w="398" w:type="pct"/>
            <w:vAlign w:val="center"/>
          </w:tcPr>
          <w:p>
            <w:pPr>
              <w:spacing w:line="240" w:lineRule="auto"/>
              <w:ind w:firstLine="0" w:firstLineChars="0"/>
              <w:jc w:val="center"/>
              <w:rPr>
                <w:rFonts w:hint="default" w:eastAsia="宋体"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1693</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eastAsia="宋体" w:cs="Times New Roman"/>
                <w:color w:val="auto"/>
                <w:spacing w:val="0"/>
                <w:sz w:val="21"/>
                <w:szCs w:val="21"/>
                <w:lang w:val="en-US" w:eastAsia="zh-CN"/>
              </w:rPr>
              <w:t>20</w:t>
            </w:r>
            <w:r>
              <w:rPr>
                <w:rFonts w:hint="eastAsia" w:ascii="Times New Roman" w:hAnsi="Times New Roman" w:eastAsia="宋体" w:cs="Times New Roman"/>
                <w:color w:val="auto"/>
                <w:spacing w:val="0"/>
                <w:sz w:val="21"/>
                <w:szCs w:val="21"/>
                <w:lang w:val="en-US" w:eastAsia="zh-CN"/>
              </w:rPr>
              <w:t>0户，约</w:t>
            </w:r>
            <w:r>
              <w:rPr>
                <w:rFonts w:hint="eastAsia" w:eastAsia="宋体" w:cs="Times New Roman"/>
                <w:color w:val="auto"/>
                <w:spacing w:val="0"/>
                <w:sz w:val="21"/>
                <w:szCs w:val="21"/>
                <w:lang w:val="en-US" w:eastAsia="zh-CN"/>
              </w:rPr>
              <w:t>8</w:t>
            </w:r>
            <w:r>
              <w:rPr>
                <w:rFonts w:hint="eastAsia" w:ascii="Times New Roman" w:hAnsi="Times New Roman" w:eastAsia="宋体" w:cs="Times New Roman"/>
                <w:color w:val="auto"/>
                <w:spacing w:val="0"/>
                <w:sz w:val="21"/>
                <w:szCs w:val="21"/>
                <w:lang w:val="en-US" w:eastAsia="zh-CN"/>
              </w:rPr>
              <w:t>00人</w:t>
            </w:r>
          </w:p>
        </w:tc>
        <w:tc>
          <w:tcPr>
            <w:tcW w:w="510" w:type="pct"/>
            <w:vAlign w:val="center"/>
          </w:tcPr>
          <w:p>
            <w:pPr>
              <w:spacing w:line="240" w:lineRule="auto"/>
              <w:ind w:left="0" w:leftChars="0" w:firstLine="0" w:firstLineChars="0"/>
              <w:jc w:val="center"/>
              <w:rPr>
                <w:rFonts w:hint="default" w:eastAsia="宋体" w:cs="Times New Roman"/>
                <w:color w:val="auto"/>
                <w:sz w:val="21"/>
                <w:szCs w:val="21"/>
                <w:highlight w:val="none"/>
                <w:shd w:val="clear" w:color="auto" w:fill="auto"/>
                <w:lang w:val="en-US" w:eastAsia="zh-CN"/>
              </w:rPr>
            </w:pPr>
            <w:r>
              <w:rPr>
                <w:rFonts w:hint="eastAsia" w:cs="Times New Roman"/>
                <w:color w:val="auto"/>
                <w:sz w:val="21"/>
                <w:szCs w:val="21"/>
                <w:shd w:val="clear" w:color="auto" w:fill="auto"/>
                <w:lang w:val="en-US" w:eastAsia="zh-CN"/>
              </w:rPr>
              <w:t>NE</w:t>
            </w:r>
          </w:p>
        </w:tc>
        <w:tc>
          <w:tcPr>
            <w:tcW w:w="601" w:type="pct"/>
            <w:vAlign w:val="center"/>
          </w:tcPr>
          <w:p>
            <w:pPr>
              <w:spacing w:line="240" w:lineRule="auto"/>
              <w:ind w:firstLine="0" w:firstLineChars="0"/>
              <w:jc w:val="center"/>
              <w:rPr>
                <w:rFonts w:hint="default" w:eastAsia="宋体"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2269</w:t>
            </w:r>
          </w:p>
        </w:tc>
        <w:tc>
          <w:tcPr>
            <w:tcW w:w="447" w:type="pct"/>
            <w:vMerge w:val="restart"/>
            <w:vAlign w:val="center"/>
          </w:tcPr>
          <w:p>
            <w:pPr>
              <w:spacing w:line="240" w:lineRule="auto"/>
              <w:ind w:firstLine="0" w:firstLineChars="0"/>
              <w:jc w:val="center"/>
              <w:rPr>
                <w:rFonts w:eastAsia="宋体" w:cs="Times New Roman"/>
                <w:color w:val="auto"/>
                <w:sz w:val="21"/>
                <w:szCs w:val="21"/>
                <w:highlight w:val="none"/>
                <w:shd w:val="clear" w:color="auto" w:fill="auto"/>
              </w:rPr>
            </w:pPr>
            <w:r>
              <w:rPr>
                <w:rFonts w:hint="eastAsia"/>
                <w:color w:val="auto"/>
                <w:sz w:val="21"/>
                <w:szCs w:val="21"/>
                <w:highlight w:val="none"/>
                <w:shd w:val="clear" w:color="auto" w:fill="auto"/>
              </w:rPr>
              <w:t>GB3095-2012</w:t>
            </w:r>
            <w:r>
              <w:rPr>
                <w:rFonts w:hAnsi="宋体"/>
                <w:color w:val="auto"/>
                <w:sz w:val="21"/>
                <w:szCs w:val="21"/>
                <w:highlight w:val="none"/>
                <w:shd w:val="clear" w:color="auto" w:fill="auto"/>
              </w:rPr>
              <w:t>二级</w:t>
            </w:r>
            <w:r>
              <w:rPr>
                <w:rFonts w:hint="eastAsia" w:hAnsi="宋体"/>
                <w:color w:val="auto"/>
                <w:sz w:val="21"/>
                <w:szCs w:val="21"/>
                <w:highlight w:val="none"/>
                <w:shd w:val="clear" w:color="auto" w:fill="auto"/>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427" w:type="pct"/>
            <w:vMerge w:val="continue"/>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p>
        </w:tc>
        <w:tc>
          <w:tcPr>
            <w:tcW w:w="607" w:type="pct"/>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r>
              <w:rPr>
                <w:rFonts w:hint="eastAsia" w:cs="Times New Roman"/>
                <w:color w:val="auto"/>
                <w:kern w:val="2"/>
                <w:sz w:val="21"/>
                <w:szCs w:val="21"/>
                <w:shd w:val="clear" w:color="auto" w:fill="auto"/>
                <w:lang w:val="en-US" w:eastAsia="zh-CN" w:bidi="ar-SA"/>
              </w:rPr>
              <w:t>富民家园</w:t>
            </w:r>
          </w:p>
        </w:tc>
        <w:tc>
          <w:tcPr>
            <w:tcW w:w="447" w:type="pct"/>
            <w:vAlign w:val="center"/>
          </w:tcPr>
          <w:p>
            <w:pPr>
              <w:spacing w:line="240" w:lineRule="auto"/>
              <w:ind w:firstLine="0" w:firstLineChars="0"/>
              <w:jc w:val="center"/>
              <w:rPr>
                <w:rFonts w:hint="default" w:eastAsia="宋体"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273</w:t>
            </w:r>
          </w:p>
        </w:tc>
        <w:tc>
          <w:tcPr>
            <w:tcW w:w="398" w:type="pct"/>
            <w:vAlign w:val="center"/>
          </w:tcPr>
          <w:p>
            <w:pPr>
              <w:spacing w:line="240" w:lineRule="auto"/>
              <w:ind w:firstLine="0" w:firstLineChars="0"/>
              <w:jc w:val="center"/>
              <w:rPr>
                <w:rFonts w:hint="default" w:eastAsia="宋体"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2184</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eastAsia="宋体" w:cs="Times New Roman"/>
                <w:color w:val="auto"/>
                <w:spacing w:val="0"/>
                <w:sz w:val="21"/>
                <w:szCs w:val="21"/>
                <w:lang w:val="en-US" w:eastAsia="zh-CN"/>
              </w:rPr>
              <w:t>10</w:t>
            </w:r>
            <w:r>
              <w:rPr>
                <w:rFonts w:hint="eastAsia" w:ascii="Times New Roman" w:hAnsi="Times New Roman" w:eastAsia="宋体" w:cs="Times New Roman"/>
                <w:color w:val="auto"/>
                <w:spacing w:val="0"/>
                <w:sz w:val="21"/>
                <w:szCs w:val="21"/>
                <w:lang w:val="en-US" w:eastAsia="zh-CN"/>
              </w:rPr>
              <w:t>0户，约</w:t>
            </w:r>
            <w:r>
              <w:rPr>
                <w:rFonts w:hint="eastAsia" w:eastAsia="宋体" w:cs="Times New Roman"/>
                <w:color w:val="auto"/>
                <w:spacing w:val="0"/>
                <w:sz w:val="21"/>
                <w:szCs w:val="21"/>
                <w:lang w:val="en-US" w:eastAsia="zh-CN"/>
              </w:rPr>
              <w:t>400</w:t>
            </w:r>
            <w:r>
              <w:rPr>
                <w:rFonts w:hint="eastAsia" w:ascii="Times New Roman" w:hAnsi="Times New Roman" w:eastAsia="宋体" w:cs="Times New Roman"/>
                <w:color w:val="auto"/>
                <w:spacing w:val="0"/>
                <w:sz w:val="21"/>
                <w:szCs w:val="21"/>
                <w:lang w:val="en-US" w:eastAsia="zh-CN"/>
              </w:rPr>
              <w:t>0人</w:t>
            </w:r>
          </w:p>
        </w:tc>
        <w:tc>
          <w:tcPr>
            <w:tcW w:w="510" w:type="pct"/>
            <w:vAlign w:val="center"/>
          </w:tcPr>
          <w:p>
            <w:pPr>
              <w:spacing w:line="240" w:lineRule="auto"/>
              <w:ind w:left="0" w:leftChars="0" w:firstLine="0" w:firstLineChars="0"/>
              <w:jc w:val="center"/>
              <w:rPr>
                <w:rFonts w:hint="default" w:eastAsia="宋体" w:cs="Times New Roman"/>
                <w:color w:val="auto"/>
                <w:sz w:val="21"/>
                <w:szCs w:val="21"/>
                <w:highlight w:val="none"/>
                <w:shd w:val="clear" w:color="auto" w:fill="auto"/>
                <w:lang w:val="en-US" w:eastAsia="zh-CN"/>
              </w:rPr>
            </w:pPr>
            <w:r>
              <w:rPr>
                <w:rFonts w:hint="eastAsia" w:cs="Times New Roman"/>
                <w:color w:val="auto"/>
                <w:sz w:val="21"/>
                <w:szCs w:val="21"/>
                <w:shd w:val="clear" w:color="auto" w:fill="auto"/>
                <w:lang w:val="en-US" w:eastAsia="zh-CN"/>
              </w:rPr>
              <w:t>NE</w:t>
            </w:r>
          </w:p>
        </w:tc>
        <w:tc>
          <w:tcPr>
            <w:tcW w:w="601" w:type="pct"/>
            <w:vAlign w:val="center"/>
          </w:tcPr>
          <w:p>
            <w:pPr>
              <w:spacing w:line="240" w:lineRule="auto"/>
              <w:ind w:firstLine="0" w:firstLineChars="0"/>
              <w:jc w:val="center"/>
              <w:rPr>
                <w:rFonts w:hint="default" w:eastAsia="宋体"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2248</w:t>
            </w:r>
          </w:p>
        </w:tc>
        <w:tc>
          <w:tcPr>
            <w:tcW w:w="447" w:type="pct"/>
            <w:vMerge w:val="continue"/>
            <w:vAlign w:val="center"/>
          </w:tcPr>
          <w:p>
            <w:pPr>
              <w:spacing w:line="240" w:lineRule="auto"/>
              <w:ind w:firstLine="0" w:firstLineChars="0"/>
              <w:jc w:val="center"/>
              <w:rPr>
                <w:rFonts w:eastAsia="宋体" w:cs="Times New Roman"/>
                <w:color w:val="auto"/>
                <w:sz w:val="21"/>
                <w:szCs w:val="21"/>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7" w:type="pct"/>
            <w:vMerge w:val="continue"/>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p>
        </w:tc>
        <w:tc>
          <w:tcPr>
            <w:tcW w:w="607" w:type="pct"/>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r>
              <w:rPr>
                <w:rFonts w:hint="eastAsia" w:cs="Times New Roman"/>
                <w:color w:val="auto"/>
                <w:kern w:val="2"/>
                <w:sz w:val="21"/>
                <w:szCs w:val="21"/>
                <w:shd w:val="clear" w:color="auto" w:fill="auto"/>
                <w:lang w:val="en-US" w:eastAsia="zh-CN" w:bidi="ar-SA"/>
              </w:rPr>
              <w:t>刘园新村</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90</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1986</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pacing w:val="0"/>
                <w:sz w:val="21"/>
                <w:szCs w:val="21"/>
                <w:lang w:val="en-US" w:eastAsia="zh-CN"/>
              </w:rPr>
              <w:t>150户，约600人</w:t>
            </w:r>
          </w:p>
        </w:tc>
        <w:tc>
          <w:tcPr>
            <w:tcW w:w="510" w:type="pct"/>
            <w:vAlign w:val="center"/>
          </w:tcPr>
          <w:p>
            <w:pPr>
              <w:spacing w:line="240" w:lineRule="auto"/>
              <w:ind w:left="0" w:leftChars="0"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NE</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1995</w:t>
            </w:r>
          </w:p>
        </w:tc>
        <w:tc>
          <w:tcPr>
            <w:tcW w:w="44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427" w:type="pct"/>
            <w:vMerge w:val="continue"/>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p>
        </w:tc>
        <w:tc>
          <w:tcPr>
            <w:tcW w:w="607" w:type="pct"/>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r>
              <w:rPr>
                <w:rFonts w:hint="eastAsia" w:cs="Times New Roman"/>
                <w:color w:val="auto"/>
                <w:kern w:val="2"/>
                <w:sz w:val="21"/>
                <w:szCs w:val="21"/>
                <w:shd w:val="clear" w:color="auto" w:fill="auto"/>
                <w:lang w:val="en-US" w:eastAsia="zh-CN" w:bidi="ar-SA"/>
              </w:rPr>
              <w:t>太和三中东校</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556</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1652</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学校</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pacing w:val="0"/>
                <w:sz w:val="21"/>
                <w:szCs w:val="21"/>
                <w:lang w:val="en-US" w:eastAsia="zh-CN"/>
              </w:rPr>
              <w:t>35个班，约1750人</w:t>
            </w:r>
          </w:p>
        </w:tc>
        <w:tc>
          <w:tcPr>
            <w:tcW w:w="510" w:type="pct"/>
            <w:vAlign w:val="center"/>
          </w:tcPr>
          <w:p>
            <w:pPr>
              <w:spacing w:line="240" w:lineRule="auto"/>
              <w:ind w:left="0" w:leftChars="0"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NE</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1755</w:t>
            </w:r>
          </w:p>
        </w:tc>
        <w:tc>
          <w:tcPr>
            <w:tcW w:w="44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p>
        </w:tc>
        <w:tc>
          <w:tcPr>
            <w:tcW w:w="607" w:type="pct"/>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r>
              <w:rPr>
                <w:rFonts w:hint="eastAsia" w:cs="Times New Roman"/>
                <w:color w:val="auto"/>
                <w:kern w:val="2"/>
                <w:sz w:val="21"/>
                <w:szCs w:val="21"/>
                <w:shd w:val="clear" w:color="auto" w:fill="auto"/>
                <w:lang w:val="en-US" w:eastAsia="zh-CN" w:bidi="ar-SA"/>
              </w:rPr>
              <w:t>曙光佳苑</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96</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1384</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pacing w:val="0"/>
                <w:sz w:val="21"/>
                <w:szCs w:val="21"/>
                <w:lang w:val="en-US" w:eastAsia="zh-CN"/>
              </w:rPr>
              <w:t>1200户，约4800人</w:t>
            </w:r>
          </w:p>
        </w:tc>
        <w:tc>
          <w:tcPr>
            <w:tcW w:w="510" w:type="pct"/>
            <w:vAlign w:val="center"/>
          </w:tcPr>
          <w:p>
            <w:pPr>
              <w:spacing w:line="240" w:lineRule="auto"/>
              <w:ind w:left="0" w:leftChars="0"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NE</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1390</w:t>
            </w:r>
          </w:p>
        </w:tc>
        <w:tc>
          <w:tcPr>
            <w:tcW w:w="44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7" w:type="pct"/>
            <w:vMerge w:val="continue"/>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p>
        </w:tc>
        <w:tc>
          <w:tcPr>
            <w:tcW w:w="607" w:type="pct"/>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r>
              <w:rPr>
                <w:rFonts w:hint="eastAsia" w:cs="Times New Roman"/>
                <w:color w:val="auto"/>
                <w:kern w:val="2"/>
                <w:sz w:val="21"/>
                <w:szCs w:val="21"/>
                <w:shd w:val="clear" w:color="auto" w:fill="auto"/>
                <w:lang w:val="en-US" w:eastAsia="zh-CN" w:bidi="ar-SA"/>
              </w:rPr>
              <w:t>后陶桥</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142</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383</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eastAsia="宋体" w:cs="Times New Roman"/>
                <w:color w:val="auto"/>
                <w:spacing w:val="0"/>
                <w:sz w:val="21"/>
                <w:szCs w:val="21"/>
                <w:lang w:val="en-US" w:eastAsia="zh-CN"/>
              </w:rPr>
              <w:t>1</w:t>
            </w:r>
            <w:r>
              <w:rPr>
                <w:rFonts w:hint="eastAsia" w:ascii="Times New Roman" w:hAnsi="Times New Roman" w:eastAsia="宋体" w:cs="Times New Roman"/>
                <w:color w:val="auto"/>
                <w:spacing w:val="0"/>
                <w:sz w:val="21"/>
                <w:szCs w:val="21"/>
                <w:lang w:val="en-US" w:eastAsia="zh-CN"/>
              </w:rPr>
              <w:t>00户，约</w:t>
            </w:r>
            <w:r>
              <w:rPr>
                <w:rFonts w:hint="eastAsia" w:eastAsia="宋体" w:cs="Times New Roman"/>
                <w:color w:val="auto"/>
                <w:spacing w:val="0"/>
                <w:sz w:val="21"/>
                <w:szCs w:val="21"/>
                <w:lang w:val="en-US" w:eastAsia="zh-CN"/>
              </w:rPr>
              <w:t>4</w:t>
            </w:r>
            <w:r>
              <w:rPr>
                <w:rFonts w:hint="eastAsia" w:ascii="Times New Roman" w:hAnsi="Times New Roman" w:eastAsia="宋体" w:cs="Times New Roman"/>
                <w:color w:val="auto"/>
                <w:spacing w:val="0"/>
                <w:sz w:val="21"/>
                <w:szCs w:val="21"/>
                <w:lang w:val="en-US" w:eastAsia="zh-CN"/>
              </w:rPr>
              <w:t>00人</w:t>
            </w:r>
          </w:p>
        </w:tc>
        <w:tc>
          <w:tcPr>
            <w:tcW w:w="510" w:type="pct"/>
            <w:vAlign w:val="center"/>
          </w:tcPr>
          <w:p>
            <w:pPr>
              <w:spacing w:line="240" w:lineRule="auto"/>
              <w:ind w:left="0" w:leftChars="0" w:firstLine="0" w:firstLineChars="0"/>
              <w:jc w:val="center"/>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NE</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419</w:t>
            </w:r>
          </w:p>
        </w:tc>
        <w:tc>
          <w:tcPr>
            <w:tcW w:w="44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27" w:type="pct"/>
            <w:vMerge w:val="continue"/>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p>
        </w:tc>
        <w:tc>
          <w:tcPr>
            <w:tcW w:w="607" w:type="pct"/>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r>
              <w:rPr>
                <w:rFonts w:hint="eastAsia" w:cs="Times New Roman"/>
                <w:color w:val="auto"/>
                <w:kern w:val="2"/>
                <w:sz w:val="21"/>
                <w:szCs w:val="21"/>
                <w:shd w:val="clear" w:color="auto" w:fill="auto"/>
                <w:lang w:val="en-US" w:eastAsia="zh-CN" w:bidi="ar-SA"/>
              </w:rPr>
              <w:t>前王庄</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884</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192</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eastAsia="宋体" w:cs="Times New Roman"/>
                <w:color w:val="auto"/>
                <w:spacing w:val="0"/>
                <w:sz w:val="21"/>
                <w:szCs w:val="21"/>
                <w:lang w:val="en-US" w:eastAsia="zh-CN"/>
              </w:rPr>
              <w:t>11</w:t>
            </w:r>
            <w:r>
              <w:rPr>
                <w:rFonts w:hint="eastAsia" w:ascii="Times New Roman" w:hAnsi="Times New Roman" w:eastAsia="宋体" w:cs="Times New Roman"/>
                <w:color w:val="auto"/>
                <w:spacing w:val="0"/>
                <w:sz w:val="21"/>
                <w:szCs w:val="21"/>
                <w:lang w:val="en-US" w:eastAsia="zh-CN"/>
              </w:rPr>
              <w:t>0户，约</w:t>
            </w:r>
            <w:r>
              <w:rPr>
                <w:rFonts w:hint="eastAsia" w:eastAsia="宋体" w:cs="Times New Roman"/>
                <w:color w:val="auto"/>
                <w:spacing w:val="0"/>
                <w:sz w:val="21"/>
                <w:szCs w:val="21"/>
                <w:lang w:val="en-US" w:eastAsia="zh-CN"/>
              </w:rPr>
              <w:t>44</w:t>
            </w:r>
            <w:r>
              <w:rPr>
                <w:rFonts w:hint="eastAsia" w:ascii="Times New Roman" w:hAnsi="Times New Roman" w:eastAsia="宋体" w:cs="Times New Roman"/>
                <w:color w:val="auto"/>
                <w:spacing w:val="0"/>
                <w:sz w:val="21"/>
                <w:szCs w:val="21"/>
                <w:lang w:val="en-US" w:eastAsia="zh-CN"/>
              </w:rPr>
              <w:t>0人</w:t>
            </w:r>
          </w:p>
        </w:tc>
        <w:tc>
          <w:tcPr>
            <w:tcW w:w="510" w:type="pct"/>
            <w:vAlign w:val="center"/>
          </w:tcPr>
          <w:p>
            <w:pPr>
              <w:spacing w:line="240" w:lineRule="auto"/>
              <w:ind w:left="0" w:leftChars="0"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NE</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912</w:t>
            </w:r>
          </w:p>
        </w:tc>
        <w:tc>
          <w:tcPr>
            <w:tcW w:w="44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p>
        </w:tc>
        <w:tc>
          <w:tcPr>
            <w:tcW w:w="607" w:type="pct"/>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r>
              <w:rPr>
                <w:rFonts w:hint="eastAsia" w:cs="Times New Roman"/>
                <w:color w:val="auto"/>
                <w:kern w:val="2"/>
                <w:sz w:val="21"/>
                <w:szCs w:val="21"/>
                <w:shd w:val="clear" w:color="auto" w:fill="auto"/>
                <w:lang w:val="en-US" w:eastAsia="zh-CN" w:bidi="ar-SA"/>
              </w:rPr>
              <w:t>张路口</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1906</w:t>
            </w:r>
          </w:p>
        </w:tc>
        <w:tc>
          <w:tcPr>
            <w:tcW w:w="398" w:type="pct"/>
            <w:vAlign w:val="center"/>
          </w:tcPr>
          <w:p>
            <w:pPr>
              <w:spacing w:line="240" w:lineRule="auto"/>
              <w:ind w:firstLine="0" w:firstLineChars="0"/>
              <w:jc w:val="center"/>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0</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pacing w:val="0"/>
                <w:sz w:val="21"/>
                <w:szCs w:val="21"/>
                <w:lang w:val="en-US" w:eastAsia="zh-CN"/>
              </w:rPr>
              <w:t>300户，约</w:t>
            </w:r>
            <w:r>
              <w:rPr>
                <w:rFonts w:hint="eastAsia" w:eastAsia="宋体" w:cs="Times New Roman"/>
                <w:color w:val="auto"/>
                <w:spacing w:val="0"/>
                <w:sz w:val="21"/>
                <w:szCs w:val="21"/>
                <w:lang w:val="en-US" w:eastAsia="zh-CN"/>
              </w:rPr>
              <w:t>1</w:t>
            </w:r>
            <w:r>
              <w:rPr>
                <w:rFonts w:hint="eastAsia" w:ascii="Times New Roman" w:hAnsi="Times New Roman" w:eastAsia="宋体" w:cs="Times New Roman"/>
                <w:color w:val="auto"/>
                <w:spacing w:val="0"/>
                <w:sz w:val="21"/>
                <w:szCs w:val="21"/>
                <w:lang w:val="en-US" w:eastAsia="zh-CN"/>
              </w:rPr>
              <w:t>200人</w:t>
            </w:r>
          </w:p>
        </w:tc>
        <w:tc>
          <w:tcPr>
            <w:tcW w:w="510"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E</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1906</w:t>
            </w:r>
          </w:p>
        </w:tc>
        <w:tc>
          <w:tcPr>
            <w:tcW w:w="44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p>
        </w:tc>
        <w:tc>
          <w:tcPr>
            <w:tcW w:w="607" w:type="pct"/>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r>
              <w:rPr>
                <w:rFonts w:hint="eastAsia" w:cs="Times New Roman"/>
                <w:color w:val="auto"/>
                <w:kern w:val="2"/>
                <w:sz w:val="21"/>
                <w:szCs w:val="21"/>
                <w:shd w:val="clear" w:color="auto" w:fill="auto"/>
                <w:lang w:val="en-US" w:eastAsia="zh-CN" w:bidi="ar-SA"/>
              </w:rPr>
              <w:t>贾楼</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2173</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366</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pacing w:val="0"/>
                <w:sz w:val="21"/>
                <w:szCs w:val="21"/>
                <w:lang w:val="en-US" w:eastAsia="zh-CN"/>
              </w:rPr>
              <w:t>150户，约600人</w:t>
            </w:r>
          </w:p>
        </w:tc>
        <w:tc>
          <w:tcPr>
            <w:tcW w:w="510"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NE</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2219</w:t>
            </w:r>
          </w:p>
        </w:tc>
        <w:tc>
          <w:tcPr>
            <w:tcW w:w="44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p>
        </w:tc>
        <w:tc>
          <w:tcPr>
            <w:tcW w:w="607" w:type="pct"/>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r>
              <w:rPr>
                <w:rFonts w:hint="eastAsia" w:cs="Times New Roman"/>
                <w:color w:val="auto"/>
                <w:kern w:val="2"/>
                <w:sz w:val="21"/>
                <w:szCs w:val="21"/>
                <w:shd w:val="clear" w:color="auto" w:fill="auto"/>
                <w:lang w:val="en-US" w:eastAsia="zh-CN" w:bidi="ar-SA"/>
              </w:rPr>
              <w:t>八里村</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640</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1445</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pacing w:val="0"/>
                <w:sz w:val="21"/>
                <w:szCs w:val="21"/>
                <w:lang w:val="en-US" w:eastAsia="zh-CN"/>
              </w:rPr>
              <w:t>100户，约400人</w:t>
            </w:r>
          </w:p>
        </w:tc>
        <w:tc>
          <w:tcPr>
            <w:tcW w:w="510"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NE</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1762</w:t>
            </w:r>
          </w:p>
        </w:tc>
        <w:tc>
          <w:tcPr>
            <w:tcW w:w="44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p>
        </w:tc>
        <w:tc>
          <w:tcPr>
            <w:tcW w:w="607" w:type="pct"/>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r>
              <w:rPr>
                <w:rFonts w:hint="eastAsia" w:cs="Times New Roman"/>
                <w:color w:val="auto"/>
                <w:kern w:val="2"/>
                <w:sz w:val="21"/>
                <w:szCs w:val="21"/>
                <w:shd w:val="clear" w:color="auto" w:fill="auto"/>
                <w:lang w:val="en-US" w:eastAsia="zh-CN" w:bidi="ar-SA"/>
              </w:rPr>
              <w:t>寺里庄</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992</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552</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pacing w:val="0"/>
                <w:sz w:val="21"/>
                <w:szCs w:val="21"/>
                <w:lang w:val="en-US" w:eastAsia="zh-CN"/>
              </w:rPr>
              <w:t>80户，约320人</w:t>
            </w:r>
          </w:p>
        </w:tc>
        <w:tc>
          <w:tcPr>
            <w:tcW w:w="510" w:type="pct"/>
            <w:vAlign w:val="center"/>
          </w:tcPr>
          <w:p>
            <w:pPr>
              <w:spacing w:line="240" w:lineRule="auto"/>
              <w:ind w:left="0" w:leftChars="0" w:firstLine="0" w:firstLineChars="0"/>
              <w:jc w:val="center"/>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NE</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1115</w:t>
            </w:r>
          </w:p>
        </w:tc>
        <w:tc>
          <w:tcPr>
            <w:tcW w:w="44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p>
        </w:tc>
        <w:tc>
          <w:tcPr>
            <w:tcW w:w="607" w:type="pct"/>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r>
              <w:rPr>
                <w:rFonts w:hint="eastAsia" w:cs="Times New Roman"/>
                <w:color w:val="auto"/>
                <w:kern w:val="2"/>
                <w:sz w:val="21"/>
                <w:szCs w:val="21"/>
                <w:shd w:val="clear" w:color="auto" w:fill="auto"/>
                <w:lang w:val="en-US" w:eastAsia="zh-CN" w:bidi="ar-SA"/>
              </w:rPr>
              <w:t>前王庄</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895</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204</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pacing w:val="0"/>
                <w:sz w:val="21"/>
                <w:szCs w:val="21"/>
                <w:lang w:val="en-US" w:eastAsia="zh-CN"/>
              </w:rPr>
              <w:t>100户，约400人</w:t>
            </w:r>
          </w:p>
        </w:tc>
        <w:tc>
          <w:tcPr>
            <w:tcW w:w="510" w:type="pct"/>
            <w:vAlign w:val="center"/>
          </w:tcPr>
          <w:p>
            <w:pPr>
              <w:spacing w:line="240" w:lineRule="auto"/>
              <w:ind w:left="0" w:leftChars="0"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NE</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908</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p>
        </w:tc>
        <w:tc>
          <w:tcPr>
            <w:tcW w:w="607" w:type="pct"/>
            <w:vAlign w:val="center"/>
          </w:tcPr>
          <w:p>
            <w:pPr>
              <w:spacing w:line="240" w:lineRule="auto"/>
              <w:ind w:firstLine="0" w:firstLineChars="0"/>
              <w:jc w:val="center"/>
              <w:rPr>
                <w:rFonts w:hint="default" w:cs="Times New Roman"/>
                <w:color w:val="auto"/>
                <w:kern w:val="2"/>
                <w:sz w:val="21"/>
                <w:szCs w:val="21"/>
                <w:shd w:val="clear" w:color="auto" w:fill="auto"/>
                <w:lang w:val="en-US" w:eastAsia="zh-CN" w:bidi="ar-SA"/>
              </w:rPr>
            </w:pPr>
            <w:r>
              <w:rPr>
                <w:rFonts w:hint="eastAsia" w:cs="Times New Roman"/>
                <w:color w:val="auto"/>
                <w:kern w:val="2"/>
                <w:sz w:val="21"/>
                <w:szCs w:val="21"/>
                <w:shd w:val="clear" w:color="auto" w:fill="auto"/>
                <w:lang w:val="en-US" w:eastAsia="zh-CN" w:bidi="ar-SA"/>
              </w:rPr>
              <w:t>刘窝</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98</w:t>
            </w:r>
          </w:p>
        </w:tc>
        <w:tc>
          <w:tcPr>
            <w:tcW w:w="398" w:type="pct"/>
            <w:vAlign w:val="center"/>
          </w:tcPr>
          <w:p>
            <w:pPr>
              <w:spacing w:line="240" w:lineRule="auto"/>
              <w:ind w:firstLine="0" w:firstLineChars="0"/>
              <w:jc w:val="center"/>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0</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pacing w:val="0"/>
                <w:sz w:val="21"/>
                <w:szCs w:val="21"/>
                <w:lang w:val="en-US" w:eastAsia="zh-CN"/>
              </w:rPr>
              <w:t>120户，约480人</w:t>
            </w:r>
          </w:p>
        </w:tc>
        <w:tc>
          <w:tcPr>
            <w:tcW w:w="510" w:type="pct"/>
            <w:vAlign w:val="center"/>
          </w:tcPr>
          <w:p>
            <w:pPr>
              <w:spacing w:line="240" w:lineRule="auto"/>
              <w:ind w:left="0" w:leftChars="0"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E</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98</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hint="eastAsia" w:cs="Times New Roman"/>
                <w:color w:val="auto"/>
                <w:kern w:val="2"/>
                <w:sz w:val="21"/>
                <w:szCs w:val="21"/>
                <w:shd w:val="clear" w:color="auto" w:fill="auto"/>
                <w:lang w:val="en-US" w:eastAsia="zh-CN" w:bidi="ar-SA"/>
              </w:rPr>
            </w:pPr>
          </w:p>
        </w:tc>
        <w:tc>
          <w:tcPr>
            <w:tcW w:w="607" w:type="pct"/>
            <w:vAlign w:val="center"/>
          </w:tcPr>
          <w:p>
            <w:pPr>
              <w:spacing w:line="240" w:lineRule="auto"/>
              <w:ind w:firstLine="0" w:firstLineChars="0"/>
              <w:jc w:val="center"/>
              <w:rPr>
                <w:rFonts w:hint="default" w:cs="Times New Roman"/>
                <w:color w:val="auto"/>
                <w:kern w:val="2"/>
                <w:sz w:val="21"/>
                <w:szCs w:val="21"/>
                <w:shd w:val="clear" w:color="auto" w:fill="auto"/>
                <w:lang w:val="en-US" w:eastAsia="zh-CN" w:bidi="ar-SA"/>
              </w:rPr>
            </w:pPr>
            <w:r>
              <w:rPr>
                <w:rFonts w:hint="eastAsia" w:cs="Times New Roman"/>
                <w:color w:val="auto"/>
                <w:kern w:val="2"/>
                <w:sz w:val="21"/>
                <w:szCs w:val="21"/>
                <w:shd w:val="clear" w:color="auto" w:fill="auto"/>
                <w:lang w:val="en-US" w:eastAsia="zh-CN" w:bidi="ar-SA"/>
              </w:rPr>
              <w:t>后余庄</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2357</w:t>
            </w:r>
          </w:p>
        </w:tc>
        <w:tc>
          <w:tcPr>
            <w:tcW w:w="398" w:type="pct"/>
            <w:vAlign w:val="center"/>
          </w:tcPr>
          <w:p>
            <w:pPr>
              <w:spacing w:line="240" w:lineRule="auto"/>
              <w:ind w:firstLine="0" w:firstLineChars="0"/>
              <w:jc w:val="center"/>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0</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pacing w:val="0"/>
                <w:sz w:val="21"/>
                <w:szCs w:val="21"/>
                <w:lang w:val="en-US" w:eastAsia="zh-CN"/>
              </w:rPr>
              <w:t>60户，约240人</w:t>
            </w:r>
          </w:p>
        </w:tc>
        <w:tc>
          <w:tcPr>
            <w:tcW w:w="510" w:type="pct"/>
            <w:vAlign w:val="center"/>
          </w:tcPr>
          <w:p>
            <w:pPr>
              <w:spacing w:line="240" w:lineRule="auto"/>
              <w:ind w:left="0" w:leftChars="0"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E</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2357</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ascii="Times New Roman" w:hAnsi="Times New Roman" w:eastAsia="宋体" w:cs="Times New Roman"/>
                <w:color w:val="auto"/>
                <w:kern w:val="2"/>
                <w:sz w:val="21"/>
                <w:szCs w:val="21"/>
                <w:shd w:val="clear" w:color="auto" w:fill="auto"/>
                <w:lang w:val="en-US" w:eastAsia="zh-CN" w:bidi="ar-SA"/>
              </w:rPr>
            </w:pPr>
            <w:r>
              <w:rPr>
                <w:rFonts w:hint="eastAsia" w:eastAsia="宋体" w:cs="Times New Roman"/>
                <w:color w:val="auto"/>
                <w:sz w:val="21"/>
                <w:szCs w:val="21"/>
                <w:shd w:val="clear" w:color="auto" w:fill="auto"/>
                <w:lang w:eastAsia="zh-CN"/>
              </w:rPr>
              <w:t>联谊新村</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-324</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1760</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eastAsia="宋体" w:cs="Times New Roman"/>
                <w:color w:val="auto"/>
                <w:spacing w:val="0"/>
                <w:sz w:val="21"/>
                <w:szCs w:val="21"/>
                <w:lang w:val="en-US" w:eastAsia="zh-CN"/>
              </w:rPr>
              <w:t>1</w:t>
            </w:r>
            <w:r>
              <w:rPr>
                <w:rFonts w:hint="eastAsia" w:ascii="Times New Roman" w:hAnsi="Times New Roman" w:eastAsia="宋体" w:cs="Times New Roman"/>
                <w:color w:val="auto"/>
                <w:spacing w:val="0"/>
                <w:sz w:val="21"/>
                <w:szCs w:val="21"/>
                <w:lang w:val="en-US" w:eastAsia="zh-CN"/>
              </w:rPr>
              <w:t>60户，约640人</w:t>
            </w:r>
          </w:p>
        </w:tc>
        <w:tc>
          <w:tcPr>
            <w:tcW w:w="510"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1819</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eastAsia="宋体" w:cs="Times New Roman"/>
                <w:color w:val="auto"/>
                <w:sz w:val="21"/>
                <w:szCs w:val="21"/>
                <w:shd w:val="clear" w:color="auto" w:fill="auto"/>
                <w:lang w:eastAsia="zh-CN"/>
              </w:rPr>
              <w:t>太和县第二中学</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-192</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1968</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学校</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pacing w:val="0"/>
                <w:sz w:val="21"/>
                <w:szCs w:val="21"/>
                <w:lang w:val="en-US" w:eastAsia="zh-CN"/>
              </w:rPr>
              <w:t>30个班，约1500人</w:t>
            </w:r>
          </w:p>
        </w:tc>
        <w:tc>
          <w:tcPr>
            <w:tcW w:w="510" w:type="pct"/>
            <w:vAlign w:val="center"/>
          </w:tcPr>
          <w:p>
            <w:pPr>
              <w:spacing w:line="240" w:lineRule="auto"/>
              <w:ind w:left="0" w:leftChars="0"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1983</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eastAsia="宋体" w:cs="Times New Roman"/>
                <w:color w:val="auto"/>
                <w:sz w:val="21"/>
                <w:szCs w:val="21"/>
                <w:shd w:val="clear" w:color="auto" w:fill="auto"/>
                <w:lang w:eastAsia="zh-CN"/>
              </w:rPr>
              <w:t>玫瑰园</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-320</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856</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eastAsia="宋体" w:cs="Times New Roman"/>
                <w:color w:val="auto"/>
                <w:spacing w:val="0"/>
                <w:sz w:val="21"/>
                <w:szCs w:val="21"/>
                <w:lang w:val="en-US" w:eastAsia="zh-CN"/>
              </w:rPr>
              <w:t>150</w:t>
            </w:r>
            <w:r>
              <w:rPr>
                <w:rFonts w:hint="eastAsia" w:ascii="Times New Roman" w:hAnsi="Times New Roman" w:eastAsia="宋体" w:cs="Times New Roman"/>
                <w:color w:val="auto"/>
                <w:spacing w:val="0"/>
                <w:sz w:val="21"/>
                <w:szCs w:val="21"/>
                <w:lang w:val="en-US" w:eastAsia="zh-CN"/>
              </w:rPr>
              <w:t>0户，约</w:t>
            </w:r>
            <w:r>
              <w:rPr>
                <w:rFonts w:hint="eastAsia" w:eastAsia="宋体" w:cs="Times New Roman"/>
                <w:color w:val="auto"/>
                <w:spacing w:val="0"/>
                <w:sz w:val="21"/>
                <w:szCs w:val="21"/>
                <w:lang w:val="en-US" w:eastAsia="zh-CN"/>
              </w:rPr>
              <w:t>600</w:t>
            </w:r>
            <w:r>
              <w:rPr>
                <w:rFonts w:hint="eastAsia" w:ascii="Times New Roman" w:hAnsi="Times New Roman" w:eastAsia="宋体" w:cs="Times New Roman"/>
                <w:color w:val="auto"/>
                <w:spacing w:val="0"/>
                <w:sz w:val="21"/>
                <w:szCs w:val="21"/>
                <w:lang w:val="en-US" w:eastAsia="zh-CN"/>
              </w:rPr>
              <w:t>0人</w:t>
            </w:r>
          </w:p>
        </w:tc>
        <w:tc>
          <w:tcPr>
            <w:tcW w:w="510" w:type="pct"/>
            <w:vAlign w:val="center"/>
          </w:tcPr>
          <w:p>
            <w:pPr>
              <w:spacing w:line="240" w:lineRule="auto"/>
              <w:ind w:left="0" w:leftChars="0"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992</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ascii="Times New Roman" w:hAnsi="Times New Roman" w:eastAsia="宋体" w:cs="Times New Roman"/>
                <w:color w:val="auto"/>
                <w:kern w:val="2"/>
                <w:sz w:val="21"/>
                <w:szCs w:val="21"/>
                <w:shd w:val="clear" w:color="auto" w:fill="auto"/>
                <w:lang w:val="en-US" w:eastAsia="zh-CN" w:bidi="ar-SA"/>
              </w:rPr>
            </w:pPr>
            <w:r>
              <w:rPr>
                <w:rFonts w:hint="eastAsia" w:eastAsia="宋体" w:cs="Times New Roman"/>
                <w:color w:val="auto"/>
                <w:sz w:val="21"/>
                <w:szCs w:val="21"/>
                <w:shd w:val="clear" w:color="auto" w:fill="auto"/>
                <w:lang w:eastAsia="zh-CN"/>
              </w:rPr>
              <w:t>百太东方家园</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-684</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1765</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eastAsia="宋体" w:cs="Times New Roman"/>
                <w:color w:val="auto"/>
                <w:spacing w:val="0"/>
                <w:sz w:val="21"/>
                <w:szCs w:val="21"/>
                <w:lang w:val="en-US" w:eastAsia="zh-CN"/>
              </w:rPr>
              <w:t>1200</w:t>
            </w:r>
            <w:r>
              <w:rPr>
                <w:rFonts w:hint="eastAsia" w:ascii="Times New Roman" w:hAnsi="Times New Roman" w:eastAsia="宋体" w:cs="Times New Roman"/>
                <w:color w:val="auto"/>
                <w:spacing w:val="0"/>
                <w:sz w:val="21"/>
                <w:szCs w:val="21"/>
                <w:lang w:val="en-US" w:eastAsia="zh-CN"/>
              </w:rPr>
              <w:t>户，约</w:t>
            </w:r>
            <w:r>
              <w:rPr>
                <w:rFonts w:hint="eastAsia" w:eastAsia="宋体" w:cs="Times New Roman"/>
                <w:color w:val="auto"/>
                <w:spacing w:val="0"/>
                <w:sz w:val="21"/>
                <w:szCs w:val="21"/>
                <w:lang w:val="en-US" w:eastAsia="zh-CN"/>
              </w:rPr>
              <w:t>4800</w:t>
            </w:r>
            <w:r>
              <w:rPr>
                <w:rFonts w:hint="eastAsia" w:ascii="Times New Roman" w:hAnsi="Times New Roman" w:eastAsia="宋体" w:cs="Times New Roman"/>
                <w:color w:val="auto"/>
                <w:spacing w:val="0"/>
                <w:sz w:val="21"/>
                <w:szCs w:val="21"/>
                <w:lang w:val="en-US" w:eastAsia="zh-CN"/>
              </w:rPr>
              <w:t>人</w:t>
            </w:r>
          </w:p>
        </w:tc>
        <w:tc>
          <w:tcPr>
            <w:tcW w:w="510" w:type="pct"/>
            <w:vAlign w:val="center"/>
          </w:tcPr>
          <w:p>
            <w:pPr>
              <w:spacing w:line="240" w:lineRule="auto"/>
              <w:ind w:left="0" w:leftChars="0" w:firstLine="0" w:firstLineChars="0"/>
              <w:jc w:val="center"/>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1904</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ascii="Times New Roman" w:hAnsi="Times New Roman" w:eastAsia="宋体" w:cs="Times New Roman"/>
                <w:color w:val="auto"/>
                <w:kern w:val="2"/>
                <w:sz w:val="21"/>
                <w:szCs w:val="21"/>
                <w:shd w:val="clear" w:color="auto" w:fill="auto"/>
                <w:lang w:val="en-US" w:eastAsia="zh-CN" w:bidi="ar-SA"/>
              </w:rPr>
            </w:pPr>
            <w:r>
              <w:rPr>
                <w:rFonts w:hint="eastAsia" w:eastAsia="宋体" w:cs="Times New Roman"/>
                <w:color w:val="auto"/>
                <w:sz w:val="21"/>
                <w:szCs w:val="21"/>
                <w:shd w:val="clear" w:color="auto" w:fill="auto"/>
                <w:lang w:eastAsia="zh-CN"/>
              </w:rPr>
              <w:t>晶宫国际城</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-288</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1228</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pacing w:val="0"/>
                <w:sz w:val="21"/>
                <w:szCs w:val="21"/>
                <w:lang w:val="en-US" w:eastAsia="zh-CN"/>
              </w:rPr>
              <w:t>1500户，约6000人</w:t>
            </w:r>
          </w:p>
        </w:tc>
        <w:tc>
          <w:tcPr>
            <w:tcW w:w="510" w:type="pct"/>
            <w:vAlign w:val="center"/>
          </w:tcPr>
          <w:p>
            <w:pPr>
              <w:spacing w:line="240" w:lineRule="auto"/>
              <w:ind w:left="0" w:leftChars="0" w:firstLine="0" w:firstLineChars="0"/>
              <w:jc w:val="center"/>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1347</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太和县第六小学</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-871</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1394</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学校</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pacing w:val="0"/>
                <w:sz w:val="21"/>
                <w:szCs w:val="21"/>
                <w:lang w:val="en-US" w:eastAsia="zh-CN"/>
              </w:rPr>
              <w:t>30个班，约1500人</w:t>
            </w:r>
          </w:p>
        </w:tc>
        <w:tc>
          <w:tcPr>
            <w:tcW w:w="510" w:type="pct"/>
            <w:vAlign w:val="center"/>
          </w:tcPr>
          <w:p>
            <w:pPr>
              <w:spacing w:line="240" w:lineRule="auto"/>
              <w:ind w:left="0" w:leftChars="0"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1576</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交通花苑</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-1493</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1770</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pacing w:val="0"/>
                <w:sz w:val="21"/>
                <w:szCs w:val="21"/>
                <w:lang w:val="en-US" w:eastAsia="zh-CN"/>
              </w:rPr>
              <w:t>500户，约2000人</w:t>
            </w:r>
          </w:p>
        </w:tc>
        <w:tc>
          <w:tcPr>
            <w:tcW w:w="510" w:type="pct"/>
            <w:vAlign w:val="center"/>
          </w:tcPr>
          <w:p>
            <w:pPr>
              <w:spacing w:line="240" w:lineRule="auto"/>
              <w:ind w:left="0" w:leftChars="0"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2268</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太和第三中学</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-1452</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2327</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学校</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cs="Times New Roman"/>
                <w:color w:val="auto"/>
                <w:sz w:val="21"/>
                <w:szCs w:val="21"/>
                <w:highlight w:val="none"/>
                <w:shd w:val="clear" w:color="auto" w:fill="auto"/>
                <w:lang w:val="en-US" w:eastAsia="zh-CN"/>
              </w:rPr>
            </w:pPr>
            <w:r>
              <w:rPr>
                <w:rFonts w:hint="eastAsia" w:eastAsia="宋体" w:cs="Times New Roman"/>
                <w:color w:val="auto"/>
                <w:spacing w:val="0"/>
                <w:sz w:val="21"/>
                <w:szCs w:val="21"/>
                <w:lang w:val="en-US" w:eastAsia="zh-CN"/>
              </w:rPr>
              <w:t>20</w:t>
            </w:r>
            <w:r>
              <w:rPr>
                <w:rFonts w:hint="eastAsia" w:ascii="Times New Roman" w:hAnsi="Times New Roman" w:eastAsia="宋体" w:cs="Times New Roman"/>
                <w:color w:val="auto"/>
                <w:spacing w:val="0"/>
                <w:sz w:val="21"/>
                <w:szCs w:val="21"/>
                <w:lang w:val="en-US" w:eastAsia="zh-CN"/>
              </w:rPr>
              <w:t>个班，约</w:t>
            </w:r>
            <w:r>
              <w:rPr>
                <w:rFonts w:hint="eastAsia" w:eastAsia="宋体" w:cs="Times New Roman"/>
                <w:color w:val="auto"/>
                <w:spacing w:val="0"/>
                <w:sz w:val="21"/>
                <w:szCs w:val="21"/>
                <w:lang w:val="en-US" w:eastAsia="zh-CN"/>
              </w:rPr>
              <w:t>10</w:t>
            </w:r>
            <w:r>
              <w:rPr>
                <w:rFonts w:hint="eastAsia" w:ascii="Times New Roman" w:hAnsi="Times New Roman" w:eastAsia="宋体" w:cs="Times New Roman"/>
                <w:color w:val="auto"/>
                <w:spacing w:val="0"/>
                <w:sz w:val="21"/>
                <w:szCs w:val="21"/>
                <w:lang w:val="en-US" w:eastAsia="zh-CN"/>
              </w:rPr>
              <w:t>00人</w:t>
            </w:r>
          </w:p>
        </w:tc>
        <w:tc>
          <w:tcPr>
            <w:tcW w:w="510" w:type="pct"/>
            <w:vAlign w:val="center"/>
          </w:tcPr>
          <w:p>
            <w:pPr>
              <w:spacing w:line="240" w:lineRule="auto"/>
              <w:ind w:left="0" w:leftChars="0"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2719</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宏达小区</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-1192</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2196</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1500户，约6000人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2550</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中央城</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-1612</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1780</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w:t>
            </w:r>
            <w:r>
              <w:rPr>
                <w:rFonts w:hint="eastAsia" w:eastAsia="宋体" w:cs="Times New Roman"/>
                <w:color w:val="auto"/>
                <w:spacing w:val="0"/>
                <w:sz w:val="21"/>
                <w:szCs w:val="21"/>
                <w:lang w:val="en-US" w:eastAsia="zh-CN"/>
              </w:rPr>
              <w:t>0</w:t>
            </w:r>
            <w:r>
              <w:rPr>
                <w:rFonts w:hint="eastAsia" w:ascii="Times New Roman" w:hAnsi="Times New Roman" w:eastAsia="宋体" w:cs="Times New Roman"/>
                <w:color w:val="auto"/>
                <w:spacing w:val="0"/>
                <w:sz w:val="21"/>
                <w:szCs w:val="21"/>
                <w:lang w:val="en-US" w:eastAsia="zh-CN"/>
              </w:rPr>
              <w:t>00户，约6000人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2413</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兴和花园</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-1581</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1804</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900户，约3600人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2462</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田园光雅居苑</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-1184</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1254</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1200户，约3600人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1734</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滨河小区</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-1253</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1326</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800户，约3600人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1762</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紫金花苑</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-2270</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2360</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1200户，约4800人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3265</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城关镇桥西</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-2370</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2220</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2000户，约8000人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3359</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丰和家园</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-2432</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1896</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1500户，约6000人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3190</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颍南家园</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-2257</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768</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1200户，约3600人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2394</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太和县颍南小学</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-2093</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456</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学校</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20</w:t>
            </w:r>
            <w:r>
              <w:rPr>
                <w:rFonts w:hint="eastAsia" w:ascii="Times New Roman" w:hAnsi="Times New Roman" w:eastAsia="宋体" w:cs="Times New Roman"/>
                <w:color w:val="auto"/>
                <w:spacing w:val="0"/>
                <w:sz w:val="21"/>
                <w:szCs w:val="21"/>
                <w:lang w:val="en-US" w:eastAsia="zh-CN"/>
              </w:rPr>
              <w:t>个班，约</w:t>
            </w:r>
            <w:r>
              <w:rPr>
                <w:rFonts w:hint="eastAsia" w:eastAsia="宋体" w:cs="Times New Roman"/>
                <w:color w:val="auto"/>
                <w:spacing w:val="0"/>
                <w:sz w:val="21"/>
                <w:szCs w:val="21"/>
                <w:lang w:val="en-US" w:eastAsia="zh-CN"/>
              </w:rPr>
              <w:t>10</w:t>
            </w:r>
            <w:r>
              <w:rPr>
                <w:rFonts w:hint="eastAsia" w:ascii="Times New Roman" w:hAnsi="Times New Roman" w:eastAsia="宋体" w:cs="Times New Roman"/>
                <w:color w:val="auto"/>
                <w:spacing w:val="0"/>
                <w:sz w:val="21"/>
                <w:szCs w:val="21"/>
                <w:lang w:val="en-US" w:eastAsia="zh-CN"/>
              </w:rPr>
              <w:t>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2157</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北陈庄</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-1024</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384</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100户，约400人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1092</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哈油坊</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-1376</w:t>
            </w:r>
          </w:p>
        </w:tc>
        <w:tc>
          <w:tcPr>
            <w:tcW w:w="398" w:type="pct"/>
            <w:vAlign w:val="center"/>
          </w:tcPr>
          <w:p>
            <w:pPr>
              <w:spacing w:line="240" w:lineRule="auto"/>
              <w:ind w:firstLine="0" w:firstLineChars="0"/>
              <w:jc w:val="center"/>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0</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120户，约480人</w:t>
            </w:r>
          </w:p>
        </w:tc>
        <w:tc>
          <w:tcPr>
            <w:tcW w:w="510" w:type="pct"/>
            <w:vAlign w:val="center"/>
          </w:tcPr>
          <w:p>
            <w:pPr>
              <w:spacing w:line="240" w:lineRule="auto"/>
              <w:ind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1376</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东小陶庄</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-186</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-341</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200户，约80</w:t>
            </w:r>
            <w:r>
              <w:rPr>
                <w:rFonts w:hint="eastAsia" w:eastAsia="宋体" w:cs="Times New Roman"/>
                <w:color w:val="auto"/>
                <w:spacing w:val="0"/>
                <w:sz w:val="21"/>
                <w:szCs w:val="21"/>
                <w:lang w:val="en-US" w:eastAsia="zh-CN"/>
              </w:rPr>
              <w:t>0</w:t>
            </w:r>
            <w:r>
              <w:rPr>
                <w:rFonts w:hint="eastAsia" w:ascii="Times New Roman" w:hAnsi="Times New Roman" w:eastAsia="宋体" w:cs="Times New Roman"/>
                <w:color w:val="auto"/>
                <w:spacing w:val="0"/>
                <w:sz w:val="21"/>
                <w:szCs w:val="21"/>
                <w:lang w:val="en-US" w:eastAsia="zh-CN"/>
              </w:rPr>
              <w:t>人</w:t>
            </w:r>
          </w:p>
        </w:tc>
        <w:tc>
          <w:tcPr>
            <w:tcW w:w="510"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385</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谢湾</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-1324</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-345</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120户，约360人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1368</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西小陶庄</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-1074</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-520</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150户，约600人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1118</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大陶村</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-548</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-616</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100户，约400人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832</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小宁庄</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-1785</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-500</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90户，约360人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1822</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田庙新村</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-1157</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-1831</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120户，约360人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2220</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齐营新村</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-893</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-1921</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200</w:t>
            </w:r>
            <w:r>
              <w:rPr>
                <w:rFonts w:hint="eastAsia" w:ascii="Times New Roman" w:hAnsi="Times New Roman" w:eastAsia="宋体" w:cs="Times New Roman"/>
                <w:color w:val="auto"/>
                <w:spacing w:val="0"/>
                <w:sz w:val="21"/>
                <w:szCs w:val="21"/>
                <w:lang w:val="en-US" w:eastAsia="zh-CN"/>
              </w:rPr>
              <w:t>户，约</w:t>
            </w:r>
            <w:r>
              <w:rPr>
                <w:rFonts w:hint="eastAsia" w:eastAsia="宋体" w:cs="Times New Roman"/>
                <w:color w:val="auto"/>
                <w:spacing w:val="0"/>
                <w:sz w:val="21"/>
                <w:szCs w:val="21"/>
                <w:lang w:val="en-US" w:eastAsia="zh-CN"/>
              </w:rPr>
              <w:t>800</w:t>
            </w:r>
            <w:r>
              <w:rPr>
                <w:rFonts w:hint="eastAsia" w:ascii="Times New Roman" w:hAnsi="Times New Roman" w:eastAsia="宋体" w:cs="Times New Roman"/>
                <w:color w:val="auto"/>
                <w:spacing w:val="0"/>
                <w:sz w:val="21"/>
                <w:szCs w:val="21"/>
                <w:lang w:val="en-US" w:eastAsia="zh-CN"/>
              </w:rPr>
              <w:t>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2172</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田寨村</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-424</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-2077</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120户，约480人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2185</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西王窑</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-276</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-1261</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200户，约800人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SW</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1283</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王窑村</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344</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-1145</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35个班，约1750人</w:t>
            </w:r>
          </w:p>
        </w:tc>
        <w:tc>
          <w:tcPr>
            <w:tcW w:w="510"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SE</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1203</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上张湾</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376</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-1465</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1200户，约3600人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SE</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1523</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后刘营</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468</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-2365</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200户，约80</w:t>
            </w:r>
            <w:r>
              <w:rPr>
                <w:rFonts w:hint="eastAsia" w:eastAsia="宋体" w:cs="Times New Roman"/>
                <w:color w:val="auto"/>
                <w:spacing w:val="0"/>
                <w:sz w:val="21"/>
                <w:szCs w:val="21"/>
                <w:lang w:val="en-US" w:eastAsia="zh-CN"/>
              </w:rPr>
              <w:t>0</w:t>
            </w:r>
            <w:r>
              <w:rPr>
                <w:rFonts w:hint="eastAsia" w:ascii="Times New Roman" w:hAnsi="Times New Roman" w:eastAsia="宋体" w:cs="Times New Roman"/>
                <w:color w:val="auto"/>
                <w:spacing w:val="0"/>
                <w:sz w:val="21"/>
                <w:szCs w:val="21"/>
                <w:lang w:val="en-US" w:eastAsia="zh-CN"/>
              </w:rPr>
              <w:t>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SE</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2458</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高湾</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1116</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-2253</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100户，约400人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SE</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2532</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小张湾</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1997</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-2352</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120户，约480人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SE</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3036</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王小寨</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1792</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-1617</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200户，约800人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SE</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2415</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金庄村</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1836</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-536</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120户，约360人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SE</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1945</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pPr>
              <w:spacing w:line="240" w:lineRule="auto"/>
              <w:ind w:firstLine="0" w:firstLineChars="0"/>
              <w:jc w:val="center"/>
              <w:rPr>
                <w:rFonts w:eastAsia="宋体" w:cs="Times New Roman"/>
                <w:color w:val="auto"/>
                <w:sz w:val="21"/>
                <w:szCs w:val="21"/>
                <w:shd w:val="clear" w:color="auto" w:fill="auto"/>
              </w:rPr>
            </w:pPr>
          </w:p>
        </w:tc>
        <w:tc>
          <w:tcPr>
            <w:tcW w:w="607" w:type="pct"/>
            <w:vAlign w:val="center"/>
          </w:tcPr>
          <w:p>
            <w:pPr>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eastAsia="zh-CN"/>
              </w:rPr>
              <w:t>陶桥村</w:t>
            </w:r>
          </w:p>
        </w:tc>
        <w:tc>
          <w:tcPr>
            <w:tcW w:w="447"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673</w:t>
            </w:r>
          </w:p>
        </w:tc>
        <w:tc>
          <w:tcPr>
            <w:tcW w:w="398" w:type="pct"/>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288</w:t>
            </w:r>
          </w:p>
        </w:tc>
        <w:tc>
          <w:tcPr>
            <w:tcW w:w="391" w:type="pct"/>
            <w:vAlign w:val="center"/>
          </w:tcPr>
          <w:p>
            <w:pPr>
              <w:spacing w:line="240" w:lineRule="auto"/>
              <w:ind w:firstLine="0" w:firstLine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居民</w:t>
            </w:r>
          </w:p>
        </w:tc>
        <w:tc>
          <w:tcPr>
            <w:tcW w:w="1167" w:type="pct"/>
            <w:vAlign w:val="center"/>
          </w:tcPr>
          <w:p>
            <w:pPr>
              <w:pStyle w:val="34"/>
              <w:keepNext w:val="0"/>
              <w:keepLines w:val="0"/>
              <w:suppressLineNumbers w:val="0"/>
              <w:bidi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150户，约600人</w:t>
            </w:r>
          </w:p>
        </w:tc>
        <w:tc>
          <w:tcPr>
            <w:tcW w:w="510" w:type="pct"/>
            <w:vAlign w:val="center"/>
          </w:tcPr>
          <w:p>
            <w:pPr>
              <w:spacing w:line="240" w:lineRule="auto"/>
              <w:ind w:left="0" w:leftChars="0" w:firstLine="0" w:firstLineChars="0"/>
              <w:jc w:val="center"/>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SE</w:t>
            </w:r>
          </w:p>
        </w:tc>
        <w:tc>
          <w:tcPr>
            <w:tcW w:w="601" w:type="pct"/>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765</w:t>
            </w:r>
          </w:p>
        </w:tc>
        <w:tc>
          <w:tcPr>
            <w:tcW w:w="447" w:type="pct"/>
            <w:vMerge w:val="continue"/>
            <w:vAlign w:val="center"/>
          </w:tcPr>
          <w:p>
            <w:pPr>
              <w:spacing w:line="240" w:lineRule="auto"/>
              <w:ind w:firstLine="0" w:firstLineChars="0"/>
              <w:jc w:val="center"/>
              <w:rPr>
                <w:rFonts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cs="Times New Roman"/>
                <w:color w:val="auto"/>
                <w:sz w:val="21"/>
                <w:szCs w:val="21"/>
                <w:shd w:val="clear" w:color="auto" w:fill="auto"/>
              </w:rPr>
              <w:t>地表水环境</w:t>
            </w:r>
          </w:p>
        </w:tc>
        <w:tc>
          <w:tcPr>
            <w:tcW w:w="607" w:type="pct"/>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eastAsia" w:cs="Times New Roman"/>
                <w:color w:val="auto"/>
                <w:sz w:val="21"/>
                <w:szCs w:val="21"/>
                <w:shd w:val="clear" w:color="auto" w:fill="auto"/>
                <w:lang w:val="en-US" w:eastAsia="zh-CN"/>
              </w:rPr>
              <w:t>沙颍河</w:t>
            </w:r>
          </w:p>
        </w:tc>
        <w:tc>
          <w:tcPr>
            <w:tcW w:w="3516" w:type="pct"/>
            <w:gridSpan w:val="6"/>
            <w:vAlign w:val="center"/>
          </w:tcPr>
          <w:p>
            <w:pPr>
              <w:spacing w:line="240" w:lineRule="auto"/>
              <w:ind w:firstLine="0" w:firstLineChars="0"/>
              <w:jc w:val="left"/>
              <w:rPr>
                <w:rFonts w:hint="eastAsia"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中河、</w:t>
            </w:r>
            <w:r>
              <w:rPr>
                <w:rFonts w:hint="default" w:ascii="Times New Roman" w:hAnsi="Times New Roman" w:cs="Times New Roman"/>
                <w:color w:val="auto"/>
                <w:sz w:val="21"/>
                <w:szCs w:val="21"/>
                <w:shd w:val="clear" w:color="auto" w:fill="auto"/>
              </w:rPr>
              <w:t>Ⅳ类水体，主要功能为景观、农业用水</w:t>
            </w:r>
            <w:r>
              <w:rPr>
                <w:rFonts w:hint="eastAsia" w:ascii="Times New Roman" w:hAnsi="Times New Roman" w:cs="Times New Roman"/>
                <w:color w:val="auto"/>
                <w:sz w:val="21"/>
                <w:szCs w:val="21"/>
                <w:shd w:val="clear" w:color="auto" w:fill="auto"/>
                <w:lang w:eastAsia="zh-CN"/>
              </w:rPr>
              <w:t>。</w:t>
            </w:r>
          </w:p>
        </w:tc>
        <w:tc>
          <w:tcPr>
            <w:tcW w:w="447" w:type="pct"/>
            <w:vAlign w:val="center"/>
          </w:tcPr>
          <w:p>
            <w:pPr>
              <w:spacing w:line="240" w:lineRule="auto"/>
              <w:ind w:firstLine="0" w:firstLineChars="0"/>
              <w:rPr>
                <w:color w:val="auto"/>
                <w:sz w:val="21"/>
                <w:szCs w:val="21"/>
                <w:shd w:val="clear" w:color="auto" w:fill="auto"/>
              </w:rPr>
            </w:pPr>
            <w:r>
              <w:rPr>
                <w:rFonts w:hint="eastAsia"/>
                <w:color w:val="auto"/>
                <w:sz w:val="21"/>
                <w:szCs w:val="21"/>
                <w:shd w:val="clear" w:color="auto" w:fill="auto"/>
              </w:rPr>
              <w:t>GB3838-2002</w:t>
            </w:r>
          </w:p>
          <w:p>
            <w:pPr>
              <w:spacing w:line="240" w:lineRule="auto"/>
              <w:ind w:firstLine="0" w:firstLineChars="0"/>
              <w:jc w:val="center"/>
              <w:rPr>
                <w:rFonts w:cs="Times New Roman"/>
                <w:color w:val="auto"/>
                <w:sz w:val="21"/>
                <w:szCs w:val="21"/>
                <w:shd w:val="clear" w:color="auto" w:fill="auto"/>
              </w:rPr>
            </w:pPr>
            <w:r>
              <w:rPr>
                <w:rFonts w:hint="eastAsia" w:ascii="宋体" w:hAnsi="宋体" w:cs="宋体"/>
                <w:color w:val="auto"/>
                <w:sz w:val="21"/>
                <w:szCs w:val="21"/>
                <w:shd w:val="clear" w:color="auto" w:fill="auto"/>
              </w:rPr>
              <w:t>Ⅳ</w:t>
            </w:r>
            <w:r>
              <w:rPr>
                <w:rFonts w:hint="eastAsia" w:hAnsi="宋体"/>
                <w:color w:val="auto"/>
                <w:sz w:val="21"/>
                <w:szCs w:val="21"/>
                <w:shd w:val="clear" w:color="auto" w:fill="auto"/>
              </w:rPr>
              <w:t>类水质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Align w:val="center"/>
          </w:tcPr>
          <w:p>
            <w:pPr>
              <w:spacing w:line="240" w:lineRule="auto"/>
              <w:ind w:firstLine="0" w:firstLineChars="0"/>
              <w:jc w:val="center"/>
              <w:rPr>
                <w:rFonts w:cs="Times New Roman"/>
                <w:color w:val="auto"/>
                <w:sz w:val="21"/>
                <w:szCs w:val="21"/>
                <w:shd w:val="clear" w:color="auto" w:fill="auto"/>
              </w:rPr>
            </w:pPr>
            <w:r>
              <w:rPr>
                <w:rFonts w:hint="eastAsia" w:cs="Times New Roman"/>
                <w:color w:val="auto"/>
                <w:sz w:val="21"/>
                <w:szCs w:val="21"/>
                <w:shd w:val="clear" w:color="auto" w:fill="auto"/>
              </w:rPr>
              <w:t>声环境</w:t>
            </w:r>
          </w:p>
        </w:tc>
        <w:tc>
          <w:tcPr>
            <w:tcW w:w="4572" w:type="pct"/>
            <w:gridSpan w:val="8"/>
            <w:vAlign w:val="center"/>
          </w:tcPr>
          <w:p>
            <w:pPr>
              <w:spacing w:line="240" w:lineRule="auto"/>
              <w:ind w:firstLine="0" w:firstLineChars="0"/>
              <w:jc w:val="center"/>
              <w:rPr>
                <w:rFonts w:hint="eastAsia"/>
                <w:color w:val="auto"/>
                <w:sz w:val="21"/>
                <w:szCs w:val="21"/>
                <w:shd w:val="clear" w:color="auto" w:fill="auto"/>
              </w:rPr>
            </w:pPr>
            <w:r>
              <w:rPr>
                <w:rFonts w:hint="eastAsia"/>
                <w:color w:val="auto"/>
                <w:sz w:val="21"/>
                <w:szCs w:val="21"/>
                <w:shd w:val="clear" w:color="auto" w:fill="auto"/>
              </w:rPr>
              <w:t>南厂界</w:t>
            </w:r>
            <w:r>
              <w:rPr>
                <w:color w:val="auto"/>
                <w:sz w:val="21"/>
                <w:szCs w:val="21"/>
                <w:shd w:val="clear" w:color="auto" w:fill="auto"/>
              </w:rPr>
              <w:t>执行《声环境质量标准》（GB3096-2008）中的4a类标准，</w:t>
            </w:r>
            <w:r>
              <w:rPr>
                <w:rFonts w:hint="eastAsia"/>
                <w:color w:val="auto"/>
                <w:sz w:val="21"/>
                <w:szCs w:val="21"/>
                <w:shd w:val="clear" w:color="auto" w:fill="auto"/>
                <w:lang w:val="en-US" w:eastAsia="zh-CN"/>
              </w:rPr>
              <w:t>其余厂界</w:t>
            </w:r>
            <w:r>
              <w:rPr>
                <w:color w:val="auto"/>
                <w:sz w:val="21"/>
                <w:szCs w:val="21"/>
                <w:shd w:val="clear" w:color="auto" w:fill="auto"/>
              </w:rPr>
              <w:t>执行</w:t>
            </w:r>
            <w:r>
              <w:rPr>
                <w:rFonts w:hint="eastAsia"/>
                <w:color w:val="auto"/>
                <w:sz w:val="21"/>
                <w:szCs w:val="21"/>
                <w:shd w:val="clear" w:color="auto" w:fill="auto"/>
                <w:lang w:val="en-US" w:eastAsia="zh-CN"/>
              </w:rPr>
              <w:t>2</w:t>
            </w:r>
            <w:r>
              <w:rPr>
                <w:color w:val="auto"/>
                <w:sz w:val="21"/>
                <w:szCs w:val="21"/>
                <w:shd w:val="clear" w:color="auto" w:fill="auto"/>
              </w:rPr>
              <w:t>类标准</w:t>
            </w:r>
            <w:r>
              <w:rPr>
                <w:rFonts w:hint="eastAsia"/>
                <w:color w:val="auto"/>
                <w:sz w:val="21"/>
                <w:szCs w:val="21"/>
                <w:shd w:val="clear" w:color="auto" w:fill="auto"/>
              </w:rPr>
              <w:t>，</w:t>
            </w:r>
            <w:r>
              <w:rPr>
                <w:rFonts w:hint="eastAsia"/>
                <w:color w:val="auto"/>
                <w:sz w:val="21"/>
                <w:szCs w:val="21"/>
                <w:shd w:val="clear" w:color="auto" w:fill="auto"/>
                <w:lang w:eastAsia="zh-CN"/>
              </w:rPr>
              <w:t>厂界外</w:t>
            </w:r>
            <w:r>
              <w:rPr>
                <w:rFonts w:hint="eastAsia"/>
                <w:color w:val="auto"/>
                <w:sz w:val="21"/>
                <w:szCs w:val="21"/>
                <w:shd w:val="clear" w:color="auto" w:fill="auto"/>
                <w:lang w:val="en-US" w:eastAsia="zh-CN"/>
              </w:rPr>
              <w:t>200m范围内</w:t>
            </w:r>
            <w:r>
              <w:rPr>
                <w:rFonts w:hint="eastAsia"/>
                <w:color w:val="auto"/>
                <w:sz w:val="21"/>
                <w:szCs w:val="21"/>
                <w:shd w:val="clear" w:color="auto" w:fill="auto"/>
              </w:rPr>
              <w:t>敏感点执行2类标准。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Align w:val="center"/>
          </w:tcPr>
          <w:p>
            <w:pPr>
              <w:spacing w:line="240" w:lineRule="auto"/>
              <w:ind w:firstLine="0" w:firstLineChars="0"/>
              <w:jc w:val="center"/>
              <w:rPr>
                <w:rFonts w:cs="Times New Roman"/>
                <w:color w:val="auto"/>
                <w:sz w:val="21"/>
                <w:szCs w:val="21"/>
                <w:shd w:val="clear" w:color="auto" w:fill="auto"/>
              </w:rPr>
            </w:pPr>
            <w:r>
              <w:rPr>
                <w:rFonts w:hint="eastAsia" w:cs="Times New Roman"/>
                <w:color w:val="auto"/>
                <w:sz w:val="21"/>
                <w:szCs w:val="21"/>
                <w:shd w:val="clear" w:color="auto" w:fill="auto"/>
              </w:rPr>
              <w:t>生态环境</w:t>
            </w:r>
          </w:p>
        </w:tc>
        <w:tc>
          <w:tcPr>
            <w:tcW w:w="4572" w:type="pct"/>
            <w:gridSpan w:val="8"/>
            <w:vAlign w:val="center"/>
          </w:tcPr>
          <w:p>
            <w:pPr>
              <w:spacing w:line="240" w:lineRule="auto"/>
              <w:ind w:firstLine="0" w:firstLineChars="0"/>
              <w:jc w:val="center"/>
              <w:rPr>
                <w:rFonts w:hAnsi="宋体"/>
                <w:snapToGrid w:val="0"/>
                <w:color w:val="auto"/>
                <w:kern w:val="0"/>
                <w:sz w:val="21"/>
                <w:szCs w:val="21"/>
                <w:shd w:val="clear" w:color="auto" w:fill="auto"/>
              </w:rPr>
            </w:pPr>
            <w:r>
              <w:rPr>
                <w:rFonts w:hAnsi="宋体"/>
                <w:snapToGrid w:val="0"/>
                <w:color w:val="auto"/>
                <w:kern w:val="0"/>
                <w:sz w:val="21"/>
                <w:szCs w:val="21"/>
                <w:shd w:val="clear" w:color="auto" w:fill="auto"/>
              </w:rPr>
              <w:t>保护</w:t>
            </w:r>
            <w:r>
              <w:rPr>
                <w:rFonts w:hint="eastAsia" w:hAnsi="宋体"/>
                <w:snapToGrid w:val="0"/>
                <w:color w:val="auto"/>
                <w:kern w:val="0"/>
                <w:sz w:val="21"/>
                <w:szCs w:val="21"/>
                <w:shd w:val="clear" w:color="auto" w:fill="auto"/>
                <w:lang w:val="en-US" w:eastAsia="zh-CN"/>
              </w:rPr>
              <w:t>沙颍河</w:t>
            </w:r>
            <w:r>
              <w:rPr>
                <w:rFonts w:hAnsi="宋体"/>
                <w:snapToGrid w:val="0"/>
                <w:color w:val="auto"/>
                <w:kern w:val="0"/>
                <w:sz w:val="21"/>
                <w:szCs w:val="21"/>
                <w:shd w:val="clear" w:color="auto" w:fill="auto"/>
              </w:rPr>
              <w:t>水生动植物生态环境</w:t>
            </w:r>
          </w:p>
        </w:tc>
      </w:tr>
    </w:tbl>
    <w:p>
      <w:pPr>
        <w:ind w:left="0" w:leftChars="0" w:firstLine="0" w:firstLineChars="0"/>
        <w:jc w:val="both"/>
        <w:rPr>
          <w:rFonts w:hint="eastAsia" w:ascii="Times New Roman" w:hAnsi="Times New Roman" w:eastAsia="黑体" w:cs="Times New Roman"/>
          <w:color w:val="auto"/>
          <w:kern w:val="2"/>
          <w:sz w:val="24"/>
          <w:szCs w:val="24"/>
          <w:highlight w:val="none"/>
          <w:shd w:val="clear" w:color="auto" w:fill="auto"/>
          <w:lang w:val="en-US" w:eastAsia="zh-CN" w:bidi="ar-SA"/>
        </w:rPr>
      </w:pPr>
      <w:r>
        <w:rPr>
          <w:rFonts w:hint="eastAsia" w:ascii="Times New Roman" w:hAnsi="Times New Roman" w:eastAsia="黑体" w:cs="Times New Roman"/>
          <w:color w:val="auto"/>
          <w:kern w:val="2"/>
          <w:sz w:val="24"/>
          <w:szCs w:val="24"/>
          <w:highlight w:val="none"/>
          <w:shd w:val="clear" w:color="auto" w:fill="auto"/>
          <w:lang w:val="en-US" w:eastAsia="zh-CN" w:bidi="ar-SA"/>
        </w:rPr>
        <w:drawing>
          <wp:inline distT="0" distB="0" distL="114300" distR="114300">
            <wp:extent cx="5634990" cy="4371975"/>
            <wp:effectExtent l="0" t="0" r="3810" b="9525"/>
            <wp:docPr id="6" name="图片 6" descr="IGQSIT`9MZT0IXPS4FM6_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GQSIT`9MZT0IXPS4FM6_SJ"/>
                    <pic:cNvPicPr>
                      <a:picLocks noChangeAspect="1"/>
                    </pic:cNvPicPr>
                  </pic:nvPicPr>
                  <pic:blipFill>
                    <a:blip r:embed="rId13"/>
                    <a:stretch>
                      <a:fillRect/>
                    </a:stretch>
                  </pic:blipFill>
                  <pic:spPr>
                    <a:xfrm>
                      <a:off x="0" y="0"/>
                      <a:ext cx="5634990" cy="4371975"/>
                    </a:xfrm>
                    <a:prstGeom prst="rect">
                      <a:avLst/>
                    </a:prstGeom>
                  </pic:spPr>
                </pic:pic>
              </a:graphicData>
            </a:graphic>
          </wp:inline>
        </w:drawing>
      </w:r>
    </w:p>
    <w:p>
      <w:pPr>
        <w:ind w:left="0" w:leftChars="0" w:firstLine="0" w:firstLineChars="0"/>
        <w:jc w:val="center"/>
        <w:rPr>
          <w:rFonts w:hint="default" w:ascii="Times New Roman" w:hAnsi="Times New Roman" w:eastAsia="黑体" w:cs="Times New Roman"/>
          <w:color w:val="auto"/>
          <w:kern w:val="2"/>
          <w:sz w:val="24"/>
          <w:szCs w:val="24"/>
          <w:highlight w:val="none"/>
          <w:shd w:val="clear" w:color="auto" w:fill="auto"/>
          <w:lang w:val="en-US" w:eastAsia="zh-CN" w:bidi="ar-SA"/>
        </w:rPr>
      </w:pPr>
      <w:r>
        <w:rPr>
          <w:rFonts w:hint="eastAsia" w:ascii="Times New Roman" w:hAnsi="Times New Roman" w:eastAsia="黑体" w:cs="Times New Roman"/>
          <w:color w:val="auto"/>
          <w:kern w:val="2"/>
          <w:sz w:val="24"/>
          <w:szCs w:val="24"/>
          <w:highlight w:val="none"/>
          <w:shd w:val="clear" w:color="auto" w:fill="auto"/>
          <w:lang w:val="en-US" w:eastAsia="zh-CN" w:bidi="ar-SA"/>
        </w:rPr>
        <w:t>图1.5-1 环境保护目标图</w:t>
      </w:r>
    </w:p>
    <w:p>
      <w:pPr>
        <w:pStyle w:val="4"/>
        <w:rPr>
          <w:rFonts w:hint="eastAsia"/>
          <w:color w:val="auto"/>
          <w:highlight w:val="none"/>
          <w:shd w:val="clear" w:color="auto" w:fill="auto"/>
          <w:lang w:val="en-US" w:eastAsia="zh-CN"/>
        </w:rPr>
      </w:pPr>
      <w:bookmarkStart w:id="88" w:name="_Toc12853"/>
      <w:r>
        <w:rPr>
          <w:rFonts w:hint="eastAsia"/>
          <w:color w:val="auto"/>
          <w:highlight w:val="none"/>
          <w:shd w:val="clear" w:color="auto" w:fill="auto"/>
          <w:lang w:val="en-US" w:eastAsia="zh-CN"/>
        </w:rPr>
        <w:t>1.6 选址可行性论证</w:t>
      </w:r>
      <w:bookmarkEnd w:id="88"/>
    </w:p>
    <w:p>
      <w:pPr>
        <w:pStyle w:val="5"/>
        <w:rPr>
          <w:color w:val="auto"/>
          <w:shd w:val="clear" w:color="auto" w:fill="auto"/>
        </w:rPr>
      </w:pPr>
      <w:bookmarkStart w:id="89" w:name="_Toc3072_WPSOffice_Level2"/>
      <w:bookmarkStart w:id="90" w:name="_Toc866_WPSOffice_Level2"/>
      <w:r>
        <w:rPr>
          <w:rFonts w:hint="eastAsia"/>
          <w:color w:val="auto"/>
          <w:shd w:val="clear" w:color="auto" w:fill="auto"/>
          <w:lang w:val="en-US" w:eastAsia="zh-CN"/>
        </w:rPr>
        <w:t>1.6.1</w:t>
      </w:r>
      <w:r>
        <w:rPr>
          <w:rFonts w:hint="eastAsia"/>
          <w:color w:val="auto"/>
          <w:shd w:val="clear" w:color="auto" w:fill="auto"/>
        </w:rPr>
        <w:t xml:space="preserve"> 产业政策符合性分析</w:t>
      </w:r>
      <w:bookmarkEnd w:id="89"/>
      <w:bookmarkEnd w:id="90"/>
    </w:p>
    <w:p>
      <w:pPr>
        <w:ind w:firstLine="480"/>
        <w:rPr>
          <w:rFonts w:hint="eastAsia"/>
          <w:color w:val="auto"/>
          <w:shd w:val="clear" w:color="auto" w:fill="auto"/>
        </w:rPr>
      </w:pPr>
      <w:r>
        <w:rPr>
          <w:rFonts w:hint="eastAsia"/>
          <w:color w:val="auto"/>
          <w:shd w:val="clear" w:color="auto" w:fill="auto"/>
        </w:rPr>
        <w:t>根据</w:t>
      </w:r>
      <w:r>
        <w:rPr>
          <w:rFonts w:hint="eastAsia"/>
          <w:color w:val="auto"/>
          <w:shd w:val="clear" w:color="auto" w:fill="auto"/>
          <w:lang w:eastAsia="zh-CN"/>
        </w:rPr>
        <w:t>《产业结构调整指导目录（2019年本）》</w:t>
      </w:r>
      <w:r>
        <w:rPr>
          <w:rFonts w:hint="eastAsia"/>
          <w:color w:val="auto"/>
          <w:shd w:val="clear" w:color="auto" w:fill="auto"/>
        </w:rPr>
        <w:t>，本项目属于“鼓励类”</w:t>
      </w:r>
      <w:r>
        <w:rPr>
          <w:color w:val="auto"/>
          <w:shd w:val="clear" w:color="auto" w:fill="auto"/>
        </w:rPr>
        <w:t>第二十</w:t>
      </w:r>
      <w:r>
        <w:rPr>
          <w:rFonts w:hint="eastAsia"/>
          <w:color w:val="auto"/>
          <w:shd w:val="clear" w:color="auto" w:fill="auto"/>
        </w:rPr>
        <w:t>五</w:t>
      </w:r>
      <w:r>
        <w:rPr>
          <w:color w:val="auto"/>
          <w:shd w:val="clear" w:color="auto" w:fill="auto"/>
        </w:rPr>
        <w:t>条</w:t>
      </w:r>
      <w:r>
        <w:rPr>
          <w:rFonts w:hint="eastAsia"/>
          <w:color w:val="auto"/>
          <w:shd w:val="clear" w:color="auto" w:fill="auto"/>
        </w:rPr>
        <w:t>“</w:t>
      </w:r>
      <w:r>
        <w:rPr>
          <w:color w:val="auto"/>
          <w:shd w:val="clear" w:color="auto" w:fill="auto"/>
        </w:rPr>
        <w:t>水运</w:t>
      </w:r>
      <w:r>
        <w:rPr>
          <w:rFonts w:hint="eastAsia"/>
          <w:color w:val="auto"/>
          <w:shd w:val="clear" w:color="auto" w:fill="auto"/>
        </w:rPr>
        <w:t>”中</w:t>
      </w:r>
      <w:r>
        <w:rPr>
          <w:color w:val="auto"/>
          <w:shd w:val="clear" w:color="auto" w:fill="auto"/>
        </w:rPr>
        <w:t>第一项</w:t>
      </w:r>
      <w:r>
        <w:rPr>
          <w:rFonts w:hint="eastAsia"/>
          <w:color w:val="auto"/>
          <w:shd w:val="clear" w:color="auto" w:fill="auto"/>
        </w:rPr>
        <w:t>“</w:t>
      </w:r>
      <w:r>
        <w:rPr>
          <w:color w:val="auto"/>
          <w:shd w:val="clear" w:color="auto" w:fill="auto"/>
        </w:rPr>
        <w:t>深水泊位（沿海万吨级、内河千吨级）建设</w:t>
      </w:r>
      <w:r>
        <w:rPr>
          <w:rFonts w:hint="eastAsia"/>
          <w:color w:val="auto"/>
          <w:shd w:val="clear" w:color="auto" w:fill="auto"/>
        </w:rPr>
        <w:t>”</w:t>
      </w:r>
      <w:r>
        <w:rPr>
          <w:color w:val="auto"/>
          <w:shd w:val="clear" w:color="auto" w:fill="auto"/>
        </w:rPr>
        <w:t>项目。</w:t>
      </w:r>
      <w:r>
        <w:rPr>
          <w:rFonts w:hint="eastAsia"/>
          <w:color w:val="auto"/>
          <w:shd w:val="clear" w:color="auto" w:fill="auto"/>
        </w:rPr>
        <w:t>根据《安徽省产业结构调整指标目录》（2006年本），本项目亦属于“鼓励类”第九条“水运”中第2项“</w:t>
      </w:r>
      <w:r>
        <w:rPr>
          <w:color w:val="auto"/>
          <w:shd w:val="clear" w:color="auto" w:fill="auto"/>
        </w:rPr>
        <w:t>内河干线航道及码头建设</w:t>
      </w:r>
      <w:r>
        <w:rPr>
          <w:rFonts w:hint="eastAsia"/>
          <w:color w:val="auto"/>
          <w:shd w:val="clear" w:color="auto" w:fill="auto"/>
        </w:rPr>
        <w:t>”项目。因此，本项目符合国家和地方的产业政策。</w:t>
      </w:r>
    </w:p>
    <w:p>
      <w:pPr>
        <w:pStyle w:val="5"/>
        <w:bidi w:val="0"/>
        <w:rPr>
          <w:rFonts w:hint="eastAsia"/>
          <w:color w:val="auto"/>
          <w:shd w:val="clear" w:color="auto" w:fill="auto"/>
        </w:rPr>
      </w:pPr>
      <w:r>
        <w:rPr>
          <w:rFonts w:hint="eastAsia"/>
          <w:color w:val="auto"/>
          <w:shd w:val="clear" w:color="auto" w:fill="auto"/>
          <w:lang w:val="en-US" w:eastAsia="zh-CN"/>
        </w:rPr>
        <w:t xml:space="preserve">1.6.2 </w:t>
      </w:r>
      <w:r>
        <w:rPr>
          <w:rFonts w:hint="eastAsia"/>
          <w:color w:val="auto"/>
          <w:shd w:val="clear" w:color="auto" w:fill="auto"/>
        </w:rPr>
        <w:t>相关政策符合性分析</w:t>
      </w:r>
    </w:p>
    <w:p>
      <w:pPr>
        <w:pStyle w:val="6"/>
        <w:bidi w:val="0"/>
        <w:rPr>
          <w:color w:val="auto"/>
          <w:shd w:val="clear" w:color="auto" w:fill="auto"/>
        </w:rPr>
      </w:pPr>
      <w:r>
        <w:rPr>
          <w:rFonts w:hint="eastAsia"/>
          <w:color w:val="auto"/>
          <w:shd w:val="clear" w:color="auto" w:fill="auto"/>
          <w:lang w:val="en-US" w:eastAsia="zh-CN"/>
        </w:rPr>
        <w:t>1.6</w:t>
      </w:r>
      <w:r>
        <w:rPr>
          <w:rFonts w:hint="eastAsia"/>
          <w:color w:val="auto"/>
          <w:shd w:val="clear" w:color="auto" w:fill="auto"/>
        </w:rPr>
        <w:t>.2.1与《国务院关于印发打赢蓝天保卫战三年行动计划的通知》</w:t>
      </w:r>
      <w:r>
        <w:rPr>
          <w:color w:val="auto"/>
          <w:shd w:val="clear" w:color="auto" w:fill="auto"/>
        </w:rPr>
        <w:t>符合性</w:t>
      </w:r>
      <w:r>
        <w:rPr>
          <w:rFonts w:hint="eastAsia"/>
          <w:color w:val="auto"/>
          <w:shd w:val="clear" w:color="auto" w:fill="auto"/>
        </w:rPr>
        <w:t>分析</w:t>
      </w:r>
    </w:p>
    <w:p>
      <w:pPr>
        <w:spacing w:line="360" w:lineRule="auto"/>
        <w:ind w:firstLine="480" w:firstLineChars="200"/>
        <w:rPr>
          <w:color w:val="auto"/>
          <w:sz w:val="24"/>
          <w:shd w:val="clear" w:color="auto" w:fill="auto"/>
        </w:rPr>
      </w:pPr>
      <w:r>
        <w:rPr>
          <w:rFonts w:hAnsi="宋体"/>
          <w:color w:val="auto"/>
          <w:sz w:val="24"/>
          <w:shd w:val="clear" w:color="auto" w:fill="auto"/>
        </w:rPr>
        <w:t>根据《国务院关于印发打赢蓝天保卫战三年行动计划的通知》的要求，推广使用新能源汽车，重点区域港口、机场、铁路货场等新增或更换作业车辆主要使用新能源或清洁能源汽车，在物流园、产业园、工业园、大型商业购物中心、农贸批发市场等物流集散地建设集中式充电桩和快速充电桩，为承担物流配送的新能源车辆在城市通行提供便利。</w:t>
      </w:r>
    </w:p>
    <w:p>
      <w:pPr>
        <w:pStyle w:val="11"/>
        <w:ind w:firstLine="420"/>
        <w:rPr>
          <w:rFonts w:hint="eastAsia"/>
          <w:bCs/>
          <w:color w:val="auto"/>
          <w:sz w:val="24"/>
          <w:shd w:val="clear" w:color="auto" w:fill="auto"/>
        </w:rPr>
      </w:pPr>
      <w:r>
        <w:rPr>
          <w:rFonts w:hint="eastAsia"/>
        </w:rPr>
        <w:t>为满足港口停靠船舶使用岸电的需求，实现建设节能、环保、绿色、低碳港口，本工程设置一套岸电系统</w:t>
      </w:r>
      <w:r>
        <w:rPr>
          <w:rFonts w:hint="eastAsia"/>
          <w:lang w:eastAsia="zh-CN"/>
        </w:rPr>
        <w:t>；</w:t>
      </w:r>
      <w:r>
        <w:t>本</w:t>
      </w:r>
      <w:r>
        <w:rPr>
          <w:rFonts w:hAnsi="宋体"/>
          <w:color w:val="auto"/>
          <w:sz w:val="24"/>
          <w:shd w:val="clear" w:color="auto" w:fill="auto"/>
        </w:rPr>
        <w:t>项目堆场运输</w:t>
      </w:r>
      <w:r>
        <w:rPr>
          <w:rFonts w:hint="eastAsia" w:hAnsi="宋体"/>
          <w:color w:val="auto"/>
          <w:sz w:val="24"/>
          <w:shd w:val="clear" w:color="auto" w:fill="auto"/>
        </w:rPr>
        <w:t>车辆</w:t>
      </w:r>
      <w:r>
        <w:rPr>
          <w:rFonts w:hAnsi="宋体"/>
          <w:color w:val="auto"/>
          <w:sz w:val="24"/>
          <w:shd w:val="clear" w:color="auto" w:fill="auto"/>
        </w:rPr>
        <w:t>采用</w:t>
      </w:r>
      <w:r>
        <w:rPr>
          <w:rFonts w:hint="eastAsia" w:hAnsi="宋体"/>
          <w:color w:val="auto"/>
          <w:sz w:val="24"/>
          <w:shd w:val="clear" w:color="auto" w:fill="auto"/>
        </w:rPr>
        <w:t>柴油作为燃料</w:t>
      </w:r>
      <w:r>
        <w:rPr>
          <w:rFonts w:hAnsi="宋体"/>
          <w:color w:val="auto"/>
          <w:sz w:val="24"/>
          <w:shd w:val="clear" w:color="auto" w:fill="auto"/>
        </w:rPr>
        <w:t>，</w:t>
      </w:r>
      <w:r>
        <w:rPr>
          <w:rFonts w:hint="eastAsia" w:hAnsi="宋体"/>
          <w:color w:val="auto"/>
          <w:sz w:val="24"/>
          <w:shd w:val="clear" w:color="auto" w:fill="auto"/>
        </w:rPr>
        <w:t>企业拟在后续工作中</w:t>
      </w:r>
      <w:r>
        <w:rPr>
          <w:rFonts w:hint="eastAsia"/>
          <w:color w:val="auto"/>
          <w:lang w:eastAsia="zh-CN"/>
        </w:rPr>
        <w:t>将</w:t>
      </w:r>
      <w:r>
        <w:rPr>
          <w:rFonts w:hint="eastAsia" w:hAnsi="宋体"/>
          <w:color w:val="auto"/>
          <w:sz w:val="24"/>
          <w:shd w:val="clear" w:color="auto" w:fill="auto"/>
        </w:rPr>
        <w:t>运输车辆</w:t>
      </w:r>
      <w:r>
        <w:rPr>
          <w:rFonts w:hAnsi="宋体"/>
          <w:color w:val="auto"/>
          <w:sz w:val="24"/>
          <w:shd w:val="clear" w:color="auto" w:fill="auto"/>
        </w:rPr>
        <w:t>逐步替换、选用清洁能源车辆</w:t>
      </w:r>
      <w:r>
        <w:rPr>
          <w:rFonts w:hint="eastAsia" w:hAnsi="宋体"/>
          <w:color w:val="auto"/>
          <w:sz w:val="24"/>
          <w:shd w:val="clear" w:color="auto" w:fill="auto"/>
        </w:rPr>
        <w:t>，并逐步建设配套的</w:t>
      </w:r>
      <w:r>
        <w:rPr>
          <w:rFonts w:hAnsi="宋体"/>
          <w:color w:val="auto"/>
          <w:sz w:val="24"/>
          <w:shd w:val="clear" w:color="auto" w:fill="auto"/>
        </w:rPr>
        <w:t>集中式充电桩和快速充电桩</w:t>
      </w:r>
      <w:r>
        <w:rPr>
          <w:rFonts w:hint="eastAsia" w:hAnsi="宋体"/>
          <w:color w:val="auto"/>
          <w:sz w:val="24"/>
          <w:shd w:val="clear" w:color="auto" w:fill="auto"/>
        </w:rPr>
        <w:t>，故符合</w:t>
      </w:r>
      <w:r>
        <w:rPr>
          <w:rFonts w:hint="eastAsia"/>
          <w:bCs/>
          <w:color w:val="auto"/>
          <w:sz w:val="24"/>
          <w:shd w:val="clear" w:color="auto" w:fill="auto"/>
        </w:rPr>
        <w:t>《国务院关于印发打赢蓝天保卫战三年行动计划的通知》中要求。</w:t>
      </w:r>
    </w:p>
    <w:p>
      <w:pPr>
        <w:pStyle w:val="6"/>
        <w:bidi w:val="0"/>
        <w:rPr>
          <w:color w:val="auto"/>
          <w:shd w:val="clear" w:color="auto" w:fill="auto"/>
        </w:rPr>
      </w:pPr>
      <w:r>
        <w:rPr>
          <w:rFonts w:hint="eastAsia"/>
          <w:color w:val="auto"/>
          <w:shd w:val="clear" w:color="auto" w:fill="auto"/>
          <w:lang w:val="en-US" w:eastAsia="zh-CN"/>
        </w:rPr>
        <w:t>1.6</w:t>
      </w:r>
      <w:r>
        <w:rPr>
          <w:rFonts w:hint="eastAsia"/>
          <w:color w:val="auto"/>
          <w:shd w:val="clear" w:color="auto" w:fill="auto"/>
        </w:rPr>
        <w:t>.2.</w:t>
      </w:r>
      <w:r>
        <w:rPr>
          <w:rFonts w:hint="eastAsia"/>
          <w:color w:val="auto"/>
          <w:shd w:val="clear" w:color="auto" w:fill="auto"/>
          <w:lang w:val="en-US" w:eastAsia="zh-CN"/>
        </w:rPr>
        <w:t>2</w:t>
      </w:r>
      <w:r>
        <w:rPr>
          <w:rFonts w:hint="eastAsia"/>
          <w:color w:val="auto"/>
          <w:shd w:val="clear" w:color="auto" w:fill="auto"/>
        </w:rPr>
        <w:t>与《全面打造水清岸绿产业优美丽长江（安徽）经济带的实施意见》</w:t>
      </w:r>
      <w:r>
        <w:rPr>
          <w:color w:val="auto"/>
          <w:shd w:val="clear" w:color="auto" w:fill="auto"/>
        </w:rPr>
        <w:t>符合性</w:t>
      </w:r>
      <w:r>
        <w:rPr>
          <w:rFonts w:hint="eastAsia"/>
          <w:color w:val="auto"/>
          <w:shd w:val="clear" w:color="auto" w:fill="auto"/>
        </w:rPr>
        <w:t>分析</w:t>
      </w:r>
    </w:p>
    <w:p>
      <w:pPr>
        <w:bidi w:val="0"/>
        <w:rPr>
          <w:b/>
          <w:bCs/>
          <w:color w:val="auto"/>
          <w:shd w:val="clear" w:color="auto" w:fill="auto"/>
        </w:rPr>
      </w:pPr>
      <w:r>
        <w:rPr>
          <w:rFonts w:hint="eastAsia"/>
          <w:b/>
          <w:bCs/>
          <w:color w:val="auto"/>
          <w:shd w:val="clear" w:color="auto" w:fill="auto"/>
        </w:rPr>
        <w:t>1</w:t>
      </w:r>
      <w:r>
        <w:rPr>
          <w:rFonts w:hint="eastAsia"/>
          <w:b/>
          <w:bCs/>
          <w:color w:val="auto"/>
          <w:shd w:val="clear" w:color="auto" w:fill="auto"/>
          <w:lang w:eastAsia="zh-CN"/>
        </w:rPr>
        <w:t>、</w:t>
      </w:r>
      <w:r>
        <w:rPr>
          <w:rFonts w:hint="eastAsia"/>
          <w:b/>
          <w:bCs/>
          <w:color w:val="auto"/>
          <w:shd w:val="clear" w:color="auto" w:fill="auto"/>
        </w:rPr>
        <w:t>实施意见相关规定</w:t>
      </w:r>
    </w:p>
    <w:p>
      <w:pPr>
        <w:spacing w:line="360" w:lineRule="auto"/>
        <w:ind w:firstLine="476" w:firstLineChars="200"/>
        <w:rPr>
          <w:rFonts w:hint="eastAsia"/>
          <w:color w:val="auto"/>
          <w:sz w:val="24"/>
          <w:shd w:val="clear" w:color="auto" w:fill="auto"/>
        </w:rPr>
      </w:pPr>
      <w:r>
        <w:rPr>
          <w:rFonts w:hint="eastAsia"/>
          <w:color w:val="auto"/>
          <w:spacing w:val="-1"/>
          <w:sz w:val="24"/>
          <w:shd w:val="clear" w:color="auto" w:fill="auto"/>
        </w:rPr>
        <w:t>根据</w:t>
      </w:r>
      <w:r>
        <w:rPr>
          <w:rFonts w:hint="eastAsia"/>
          <w:color w:val="auto"/>
          <w:sz w:val="24"/>
          <w:shd w:val="clear" w:color="auto" w:fill="auto"/>
        </w:rPr>
        <w:t>《全面打造水清岸绿产业优美丽长江（安徽）经济带的实施意见》的要求，2018年7月起，长江干流及主要支流岸线1公里范围内，除必须实施的防洪护岸、河道治理、供水、航道整治、港口码头及集疏运通道、道路及跨江桥隧、公共管理、生态环境治理、国家重要基础设施等事关公共安全和公众利益建设项目，以及长江岸线规划确定的城市建设区内非工业项目外，不得新批建设项目，不得布局新的工业园区。</w:t>
      </w:r>
    </w:p>
    <w:p>
      <w:pPr>
        <w:spacing w:line="360" w:lineRule="auto"/>
        <w:ind w:firstLine="480" w:firstLineChars="200"/>
        <w:rPr>
          <w:rFonts w:hint="eastAsia" w:ascii="Times New Roman" w:hAnsi="Times New Roman" w:eastAsia="宋体" w:cs="Times New Roman"/>
          <w:color w:val="auto"/>
          <w:sz w:val="24"/>
          <w:shd w:val="clear" w:color="auto" w:fill="auto"/>
          <w:lang w:eastAsia="zh-CN"/>
        </w:rPr>
      </w:pPr>
      <w:r>
        <w:rPr>
          <w:rFonts w:hint="eastAsia" w:cs="Times New Roman"/>
          <w:color w:val="auto"/>
          <w:sz w:val="24"/>
          <w:shd w:val="clear" w:color="auto" w:fill="auto"/>
          <w:lang w:eastAsia="zh-CN"/>
        </w:rPr>
        <w:t>沙颍河</w:t>
      </w:r>
      <w:r>
        <w:rPr>
          <w:rFonts w:hint="eastAsia" w:ascii="Times New Roman" w:hAnsi="Times New Roman" w:cs="Times New Roman"/>
          <w:color w:val="auto"/>
          <w:sz w:val="24"/>
          <w:shd w:val="clear" w:color="auto" w:fill="auto"/>
          <w:lang w:eastAsia="zh-CN"/>
        </w:rPr>
        <w:t>是淮河的一级支流，属于淮河流域，需参照执行</w:t>
      </w:r>
      <w:r>
        <w:rPr>
          <w:rFonts w:hint="eastAsia" w:ascii="Times New Roman" w:hAnsi="Times New Roman" w:cs="Times New Roman"/>
          <w:color w:val="auto"/>
          <w:sz w:val="24"/>
          <w:shd w:val="clear" w:color="auto" w:fill="auto"/>
        </w:rPr>
        <w:t>《全面打造水清岸绿产业优美丽长江（安徽）经济带的实施意见》的要求</w:t>
      </w:r>
      <w:r>
        <w:rPr>
          <w:rFonts w:hint="eastAsia" w:ascii="Times New Roman" w:hAnsi="Times New Roman" w:cs="Times New Roman"/>
          <w:color w:val="auto"/>
          <w:sz w:val="24"/>
          <w:shd w:val="clear" w:color="auto" w:fill="auto"/>
          <w:lang w:eastAsia="zh-CN"/>
        </w:rPr>
        <w:t>。</w:t>
      </w:r>
    </w:p>
    <w:p>
      <w:pPr>
        <w:bidi w:val="0"/>
        <w:rPr>
          <w:b/>
          <w:bCs/>
          <w:color w:val="auto"/>
          <w:shd w:val="clear" w:color="auto" w:fill="auto"/>
        </w:rPr>
      </w:pPr>
      <w:r>
        <w:rPr>
          <w:rFonts w:hint="eastAsia"/>
          <w:b/>
          <w:bCs/>
          <w:color w:val="auto"/>
          <w:shd w:val="clear" w:color="auto" w:fill="auto"/>
        </w:rPr>
        <w:t>2</w:t>
      </w:r>
      <w:r>
        <w:rPr>
          <w:rFonts w:hint="eastAsia"/>
          <w:b/>
          <w:bCs/>
          <w:color w:val="auto"/>
          <w:shd w:val="clear" w:color="auto" w:fill="auto"/>
          <w:lang w:eastAsia="zh-CN"/>
        </w:rPr>
        <w:t>、</w:t>
      </w:r>
      <w:r>
        <w:rPr>
          <w:rFonts w:hint="eastAsia"/>
          <w:b/>
          <w:bCs/>
          <w:color w:val="auto"/>
          <w:shd w:val="clear" w:color="auto" w:fill="auto"/>
        </w:rPr>
        <w:t>项目建设的必要性</w:t>
      </w:r>
    </w:p>
    <w:p>
      <w:pPr>
        <w:ind w:firstLine="484" w:firstLineChars="201"/>
        <w:rPr>
          <w:rFonts w:hint="eastAsia" w:ascii="Times New Roman" w:hAnsi="Times New Roman" w:eastAsia="宋体" w:cs="Times New Roman"/>
          <w:b/>
          <w:bCs/>
          <w:color w:val="auto"/>
          <w:kern w:val="2"/>
          <w:sz w:val="24"/>
          <w:szCs w:val="24"/>
          <w:shd w:val="clear" w:color="auto" w:fill="auto"/>
          <w:lang w:val="en-US" w:eastAsia="zh-CN" w:bidi="ar-SA"/>
        </w:rPr>
      </w:pPr>
      <w:bookmarkStart w:id="91" w:name="_Toc31767_WPSOffice_Level2"/>
      <w:bookmarkStart w:id="92" w:name="_Toc28514_WPSOffice_Level2"/>
      <w:r>
        <w:rPr>
          <w:rFonts w:hint="eastAsia" w:ascii="Times New Roman" w:hAnsi="Times New Roman" w:cs="Times New Roman"/>
          <w:b/>
          <w:bCs/>
          <w:color w:val="auto"/>
          <w:kern w:val="2"/>
          <w:sz w:val="24"/>
          <w:szCs w:val="24"/>
          <w:shd w:val="clear" w:color="auto" w:fill="auto"/>
          <w:lang w:val="en-US" w:eastAsia="zh-CN" w:bidi="ar-SA"/>
        </w:rPr>
        <w:t>（1）</w:t>
      </w:r>
      <w:r>
        <w:rPr>
          <w:rFonts w:hint="eastAsia" w:ascii="Times New Roman" w:hAnsi="Times New Roman" w:eastAsia="宋体" w:cs="Times New Roman"/>
          <w:b/>
          <w:bCs/>
          <w:color w:val="auto"/>
          <w:kern w:val="2"/>
          <w:sz w:val="24"/>
          <w:szCs w:val="24"/>
          <w:shd w:val="clear" w:color="auto" w:fill="auto"/>
          <w:lang w:val="en-US" w:eastAsia="zh-CN" w:bidi="ar-SA"/>
        </w:rPr>
        <w:t>本项目建设是是推动形成人与自然和谐发展的需要</w:t>
      </w:r>
    </w:p>
    <w:p>
      <w:pPr>
        <w:spacing w:line="360" w:lineRule="auto"/>
        <w:ind w:firstLine="480" w:firstLineChars="200"/>
        <w:rPr>
          <w:rFonts w:hint="eastAsia" w:ascii="Times New Roman" w:hAnsi="Times New Roman" w:eastAsia="宋体" w:cs="Times New Roman"/>
          <w:b w:val="0"/>
          <w:color w:val="auto"/>
          <w:kern w:val="2"/>
          <w:sz w:val="24"/>
          <w:szCs w:val="24"/>
          <w:shd w:val="clear" w:color="auto" w:fill="auto"/>
          <w:lang w:val="en-US" w:eastAsia="zh-CN" w:bidi="ar-SA"/>
        </w:rPr>
      </w:pPr>
      <w:r>
        <w:rPr>
          <w:rFonts w:hint="eastAsia" w:cs="Times New Roman"/>
          <w:b w:val="0"/>
          <w:color w:val="auto"/>
          <w:kern w:val="2"/>
          <w:sz w:val="24"/>
          <w:szCs w:val="24"/>
          <w:shd w:val="clear" w:color="auto" w:fill="auto"/>
          <w:lang w:val="en-US" w:eastAsia="zh-CN" w:bidi="ar-SA"/>
        </w:rPr>
        <w:t>太和</w:t>
      </w:r>
      <w:r>
        <w:rPr>
          <w:rFonts w:hint="eastAsia" w:ascii="Times New Roman" w:hAnsi="Times New Roman" w:eastAsia="宋体" w:cs="Times New Roman"/>
          <w:b w:val="0"/>
          <w:color w:val="auto"/>
          <w:kern w:val="2"/>
          <w:sz w:val="24"/>
          <w:szCs w:val="24"/>
          <w:shd w:val="clear" w:color="auto" w:fill="auto"/>
          <w:lang w:val="en-US" w:eastAsia="zh-CN" w:bidi="ar-SA"/>
        </w:rPr>
        <w:t>县原有的砂石码头多为无证经营码头，不满足环境保护的要求，且存在相当大的安全隐患。无证经营砂石码头的拆除正是顺应了人与自然和谐发展的大趋势，谋求经济发展与生态保护相协调，本项目建设的是集约化、规模化砂石码头，能够满足当前生态环保的要求。</w:t>
      </w:r>
    </w:p>
    <w:p>
      <w:pPr>
        <w:ind w:firstLine="484" w:firstLineChars="201"/>
        <w:rPr>
          <w:rFonts w:hint="eastAsia" w:ascii="Times New Roman" w:hAnsi="Times New Roman" w:eastAsia="宋体" w:cs="Times New Roman"/>
          <w:b/>
          <w:bCs/>
          <w:color w:val="auto"/>
          <w:kern w:val="2"/>
          <w:sz w:val="24"/>
          <w:szCs w:val="24"/>
          <w:shd w:val="clear" w:color="auto" w:fill="auto"/>
          <w:lang w:val="en-US" w:eastAsia="zh-CN" w:bidi="ar-SA"/>
        </w:rPr>
      </w:pPr>
      <w:r>
        <w:rPr>
          <w:rFonts w:hint="eastAsia" w:ascii="Times New Roman" w:hAnsi="Times New Roman" w:cs="Times New Roman"/>
          <w:b/>
          <w:bCs/>
          <w:color w:val="auto"/>
          <w:kern w:val="2"/>
          <w:sz w:val="24"/>
          <w:szCs w:val="24"/>
          <w:shd w:val="clear" w:color="auto" w:fill="auto"/>
          <w:lang w:val="en-US" w:eastAsia="zh-CN" w:bidi="ar-SA"/>
        </w:rPr>
        <w:t>（2）</w:t>
      </w:r>
      <w:r>
        <w:rPr>
          <w:rFonts w:hint="eastAsia" w:ascii="Times New Roman" w:hAnsi="Times New Roman" w:eastAsia="宋体" w:cs="Times New Roman"/>
          <w:b/>
          <w:bCs/>
          <w:color w:val="auto"/>
          <w:kern w:val="2"/>
          <w:sz w:val="24"/>
          <w:szCs w:val="24"/>
          <w:shd w:val="clear" w:color="auto" w:fill="auto"/>
          <w:lang w:val="en-US" w:eastAsia="zh-CN" w:bidi="ar-SA"/>
        </w:rPr>
        <w:t>本项目建设是满足腹地砂石进口的需要</w:t>
      </w:r>
    </w:p>
    <w:p>
      <w:pPr>
        <w:ind w:firstLine="480" w:firstLineChars="200"/>
        <w:rPr>
          <w:rFonts w:hint="eastAsia" w:ascii="Times New Roman" w:hAnsi="Times New Roman" w:eastAsia="宋体" w:cs="Times New Roman"/>
          <w:b w:val="0"/>
          <w:color w:val="auto"/>
          <w:kern w:val="2"/>
          <w:sz w:val="24"/>
          <w:szCs w:val="24"/>
          <w:shd w:val="clear" w:color="auto" w:fill="auto"/>
          <w:lang w:val="en-US" w:eastAsia="zh-CN" w:bidi="ar-SA"/>
        </w:rPr>
      </w:pPr>
      <w:r>
        <w:rPr>
          <w:rFonts w:hint="eastAsia" w:ascii="Times New Roman" w:hAnsi="Times New Roman" w:eastAsia="宋体" w:cs="Times New Roman"/>
          <w:b w:val="0"/>
          <w:color w:val="auto"/>
          <w:kern w:val="2"/>
          <w:sz w:val="24"/>
          <w:szCs w:val="24"/>
          <w:shd w:val="clear" w:color="auto" w:fill="auto"/>
          <w:lang w:val="en-US" w:eastAsia="zh-CN" w:bidi="ar-SA"/>
        </w:rPr>
        <w:t>“十三五”期间，皖北地区仍将大力推进城市化进程，城市化率将保持高速增长，而城市化进程主要与房地产业、基础设施建设方面具有密切的相关性。随着城市化进程的稳步推进，</w:t>
      </w:r>
      <w:r>
        <w:rPr>
          <w:rFonts w:hint="eastAsia" w:cs="Times New Roman"/>
          <w:b w:val="0"/>
          <w:color w:val="auto"/>
          <w:kern w:val="2"/>
          <w:sz w:val="24"/>
          <w:szCs w:val="24"/>
          <w:shd w:val="clear" w:color="auto" w:fill="auto"/>
          <w:lang w:val="en-US" w:eastAsia="zh-CN" w:bidi="ar-SA"/>
        </w:rPr>
        <w:t>太和</w:t>
      </w:r>
      <w:r>
        <w:rPr>
          <w:rFonts w:hint="eastAsia" w:ascii="Times New Roman" w:hAnsi="Times New Roman" w:eastAsia="宋体" w:cs="Times New Roman"/>
          <w:b w:val="0"/>
          <w:color w:val="auto"/>
          <w:kern w:val="2"/>
          <w:sz w:val="24"/>
          <w:szCs w:val="24"/>
          <w:shd w:val="clear" w:color="auto" w:fill="auto"/>
          <w:lang w:val="en-US" w:eastAsia="zh-CN" w:bidi="ar-SA"/>
        </w:rPr>
        <w:t>县城市建设向外围拓展、开发区建设不断推进，未来</w:t>
      </w:r>
      <w:r>
        <w:rPr>
          <w:rFonts w:hint="eastAsia" w:cs="Times New Roman"/>
          <w:b w:val="0"/>
          <w:color w:val="auto"/>
          <w:kern w:val="2"/>
          <w:sz w:val="24"/>
          <w:szCs w:val="24"/>
          <w:shd w:val="clear" w:color="auto" w:fill="auto"/>
          <w:lang w:val="en-US" w:eastAsia="zh-CN" w:bidi="ar-SA"/>
        </w:rPr>
        <w:t>太和</w:t>
      </w:r>
      <w:r>
        <w:rPr>
          <w:rFonts w:hint="eastAsia" w:ascii="Times New Roman" w:hAnsi="Times New Roman" w:eastAsia="宋体" w:cs="Times New Roman"/>
          <w:b w:val="0"/>
          <w:color w:val="auto"/>
          <w:kern w:val="2"/>
          <w:sz w:val="24"/>
          <w:szCs w:val="24"/>
          <w:shd w:val="clear" w:color="auto" w:fill="auto"/>
          <w:lang w:val="en-US" w:eastAsia="zh-CN" w:bidi="ar-SA"/>
        </w:rPr>
        <w:t>县建筑业施工面积将保持目前的水平，并稳步上升。</w:t>
      </w:r>
    </w:p>
    <w:p>
      <w:pPr>
        <w:spacing w:line="360" w:lineRule="auto"/>
        <w:ind w:firstLine="480" w:firstLineChars="200"/>
        <w:rPr>
          <w:rFonts w:hint="eastAsia" w:ascii="Times New Roman" w:hAnsi="Times New Roman" w:eastAsia="宋体" w:cs="Times New Roman"/>
          <w:b w:val="0"/>
          <w:color w:val="auto"/>
          <w:kern w:val="2"/>
          <w:sz w:val="24"/>
          <w:szCs w:val="24"/>
          <w:shd w:val="clear" w:color="auto" w:fill="auto"/>
          <w:lang w:val="en-US" w:eastAsia="zh-CN" w:bidi="ar-SA"/>
        </w:rPr>
      </w:pPr>
      <w:r>
        <w:rPr>
          <w:rFonts w:hint="eastAsia" w:ascii="Times New Roman" w:hAnsi="Times New Roman" w:eastAsia="宋体" w:cs="Times New Roman"/>
          <w:b w:val="0"/>
          <w:color w:val="auto"/>
          <w:kern w:val="2"/>
          <w:sz w:val="24"/>
          <w:szCs w:val="24"/>
          <w:shd w:val="clear" w:color="auto" w:fill="auto"/>
          <w:lang w:val="en-US" w:eastAsia="zh-CN" w:bidi="ar-SA"/>
        </w:rPr>
        <w:t>砂石作为城市建设最基础的建材，传统运输方式一般为水路，2017年</w:t>
      </w:r>
      <w:r>
        <w:rPr>
          <w:rFonts w:hint="eastAsia" w:cs="Times New Roman"/>
          <w:b w:val="0"/>
          <w:color w:val="auto"/>
          <w:kern w:val="2"/>
          <w:sz w:val="24"/>
          <w:szCs w:val="24"/>
          <w:shd w:val="clear" w:color="auto" w:fill="auto"/>
          <w:lang w:val="en-US" w:eastAsia="zh-CN" w:bidi="ar-SA"/>
        </w:rPr>
        <w:t>太和</w:t>
      </w:r>
      <w:r>
        <w:rPr>
          <w:rFonts w:hint="eastAsia" w:ascii="Times New Roman" w:hAnsi="Times New Roman" w:eastAsia="宋体" w:cs="Times New Roman"/>
          <w:b w:val="0"/>
          <w:color w:val="auto"/>
          <w:kern w:val="2"/>
          <w:sz w:val="24"/>
          <w:szCs w:val="24"/>
          <w:shd w:val="clear" w:color="auto" w:fill="auto"/>
          <w:lang w:val="en-US" w:eastAsia="zh-CN" w:bidi="ar-SA"/>
        </w:rPr>
        <w:t>县启动砂石码头拆除工作，先后有多座码头被拆除，水运运输能力急剧下降，</w:t>
      </w:r>
      <w:r>
        <w:rPr>
          <w:rFonts w:hint="eastAsia" w:cs="Times New Roman"/>
          <w:b w:val="0"/>
          <w:color w:val="auto"/>
          <w:kern w:val="2"/>
          <w:sz w:val="24"/>
          <w:szCs w:val="24"/>
          <w:shd w:val="clear" w:color="auto" w:fill="auto"/>
          <w:lang w:val="en-US" w:eastAsia="zh-CN" w:bidi="ar-SA"/>
        </w:rPr>
        <w:t>太和</w:t>
      </w:r>
      <w:r>
        <w:rPr>
          <w:rFonts w:hint="eastAsia" w:ascii="Times New Roman" w:hAnsi="Times New Roman" w:eastAsia="宋体" w:cs="Times New Roman"/>
          <w:b w:val="0"/>
          <w:color w:val="auto"/>
          <w:kern w:val="2"/>
          <w:sz w:val="24"/>
          <w:szCs w:val="24"/>
          <w:shd w:val="clear" w:color="auto" w:fill="auto"/>
          <w:lang w:val="en-US" w:eastAsia="zh-CN" w:bidi="ar-SA"/>
        </w:rPr>
        <w:t>县城周边无能够提供装卸服务的码头，砂石运能存在较大缺口，港区通过能力严重不足。本码头的建设是为了缓解水路运能不足的重要举措，满足腹地经济发展对砂石的需求。</w:t>
      </w:r>
    </w:p>
    <w:p>
      <w:pPr>
        <w:ind w:firstLine="484" w:firstLineChars="201"/>
        <w:rPr>
          <w:rFonts w:hint="eastAsia" w:ascii="Times New Roman" w:hAnsi="Times New Roman" w:eastAsia="宋体" w:cs="Times New Roman"/>
          <w:b/>
          <w:bCs/>
          <w:color w:val="auto"/>
          <w:kern w:val="2"/>
          <w:sz w:val="24"/>
          <w:szCs w:val="24"/>
          <w:shd w:val="clear" w:color="auto" w:fill="auto"/>
          <w:lang w:val="en-US" w:eastAsia="zh-CN" w:bidi="ar-SA"/>
        </w:rPr>
      </w:pPr>
      <w:r>
        <w:rPr>
          <w:rFonts w:hint="eastAsia" w:ascii="Times New Roman" w:hAnsi="Times New Roman" w:cs="Times New Roman"/>
          <w:b/>
          <w:bCs/>
          <w:color w:val="auto"/>
          <w:kern w:val="2"/>
          <w:sz w:val="24"/>
          <w:szCs w:val="24"/>
          <w:shd w:val="clear" w:color="auto" w:fill="auto"/>
          <w:lang w:val="en-US" w:eastAsia="zh-CN" w:bidi="ar-SA"/>
        </w:rPr>
        <w:t>（3）</w:t>
      </w:r>
      <w:r>
        <w:rPr>
          <w:rFonts w:hint="eastAsia" w:ascii="Times New Roman" w:hAnsi="Times New Roman" w:eastAsia="宋体" w:cs="Times New Roman"/>
          <w:b/>
          <w:bCs/>
          <w:color w:val="auto"/>
          <w:kern w:val="2"/>
          <w:sz w:val="24"/>
          <w:szCs w:val="24"/>
          <w:shd w:val="clear" w:color="auto" w:fill="auto"/>
          <w:lang w:val="en-US" w:eastAsia="zh-CN" w:bidi="ar-SA"/>
        </w:rPr>
        <w:t>本项目建设是平衡市场竞争、稳定物价的需要</w:t>
      </w:r>
    </w:p>
    <w:p>
      <w:pPr>
        <w:spacing w:line="360" w:lineRule="auto"/>
        <w:ind w:firstLine="480" w:firstLineChars="200"/>
        <w:rPr>
          <w:rFonts w:hint="eastAsia" w:ascii="Times New Roman" w:hAnsi="Times New Roman" w:eastAsia="宋体" w:cs="Times New Roman"/>
          <w:b w:val="0"/>
          <w:color w:val="auto"/>
          <w:kern w:val="2"/>
          <w:sz w:val="24"/>
          <w:szCs w:val="24"/>
          <w:shd w:val="clear" w:color="auto" w:fill="auto"/>
          <w:lang w:val="en-US" w:eastAsia="zh-CN" w:bidi="ar-SA"/>
        </w:rPr>
      </w:pPr>
      <w:r>
        <w:rPr>
          <w:rFonts w:hint="eastAsia" w:ascii="Times New Roman" w:hAnsi="Times New Roman" w:eastAsia="宋体" w:cs="Times New Roman"/>
          <w:b w:val="0"/>
          <w:color w:val="auto"/>
          <w:kern w:val="2"/>
          <w:sz w:val="24"/>
          <w:szCs w:val="24"/>
          <w:shd w:val="clear" w:color="auto" w:fill="auto"/>
          <w:lang w:val="en-US" w:eastAsia="zh-CN" w:bidi="ar-SA"/>
        </w:rPr>
        <w:t>从</w:t>
      </w:r>
      <w:r>
        <w:rPr>
          <w:rFonts w:hint="eastAsia" w:cs="Times New Roman"/>
          <w:b w:val="0"/>
          <w:color w:val="auto"/>
          <w:kern w:val="2"/>
          <w:sz w:val="24"/>
          <w:szCs w:val="24"/>
          <w:shd w:val="clear" w:color="auto" w:fill="auto"/>
          <w:lang w:val="en-US" w:eastAsia="zh-CN" w:bidi="ar-SA"/>
        </w:rPr>
        <w:t>太和</w:t>
      </w:r>
      <w:r>
        <w:rPr>
          <w:rFonts w:hint="eastAsia" w:ascii="Times New Roman" w:hAnsi="Times New Roman" w:eastAsia="宋体" w:cs="Times New Roman"/>
          <w:b w:val="0"/>
          <w:color w:val="auto"/>
          <w:kern w:val="2"/>
          <w:sz w:val="24"/>
          <w:szCs w:val="24"/>
          <w:shd w:val="clear" w:color="auto" w:fill="auto"/>
          <w:lang w:val="en-US" w:eastAsia="zh-CN" w:bidi="ar-SA"/>
        </w:rPr>
        <w:t>县对无证经营小码头整治前后对比砂石价格调研来看，黄砂价格大幅上涨，价格上涨因素包括外地市场供应不足、本地来源成本过高等。由于公路运费较高，本地区其他码头企业会借助水路运费优势，囤积货源，哄抬物价。</w:t>
      </w:r>
    </w:p>
    <w:p>
      <w:pPr>
        <w:spacing w:line="360" w:lineRule="auto"/>
        <w:ind w:firstLine="480" w:firstLineChars="200"/>
        <w:rPr>
          <w:rFonts w:hint="eastAsia" w:ascii="Times New Roman" w:hAnsi="Times New Roman" w:eastAsia="宋体" w:cs="Times New Roman"/>
          <w:b w:val="0"/>
          <w:color w:val="auto"/>
          <w:kern w:val="2"/>
          <w:sz w:val="24"/>
          <w:szCs w:val="24"/>
          <w:shd w:val="clear" w:color="auto" w:fill="auto"/>
          <w:lang w:val="en-US" w:eastAsia="zh-CN" w:bidi="ar-SA"/>
        </w:rPr>
      </w:pPr>
      <w:r>
        <w:rPr>
          <w:rFonts w:hint="eastAsia" w:ascii="Times New Roman" w:hAnsi="Times New Roman" w:eastAsia="宋体" w:cs="Times New Roman"/>
          <w:b w:val="0"/>
          <w:color w:val="auto"/>
          <w:kern w:val="2"/>
          <w:sz w:val="24"/>
          <w:szCs w:val="24"/>
          <w:shd w:val="clear" w:color="auto" w:fill="auto"/>
          <w:lang w:val="en-US" w:eastAsia="zh-CN" w:bidi="ar-SA"/>
        </w:rPr>
        <w:t>即便政府出台相应的稳定物价的措施，防止部分企业投机倒把、哄抬物价，但是价格上涨起决定因素的还是市场供求关系不对等，供求关系严重失衡。如果政府调控或者制裁过度，会导致地区生产停止、经济发展降速，无法完成省、市下达的既定发展目标。而本码头的建设是从源头解决这种供求关系失衡，可以保障经济稳定发展。</w:t>
      </w:r>
    </w:p>
    <w:p>
      <w:pPr>
        <w:rPr>
          <w:rFonts w:hint="eastAsia" w:ascii="Times New Roman" w:hAnsi="Times New Roman" w:eastAsia="宋体" w:cs="Times New Roman"/>
          <w:b/>
          <w:bCs/>
          <w:color w:val="auto"/>
          <w:kern w:val="2"/>
          <w:sz w:val="24"/>
          <w:szCs w:val="24"/>
          <w:shd w:val="clear" w:color="auto" w:fill="auto"/>
          <w:lang w:val="en-US" w:eastAsia="zh-CN" w:bidi="ar-SA"/>
        </w:rPr>
      </w:pPr>
      <w:r>
        <w:rPr>
          <w:rFonts w:hint="eastAsia" w:ascii="Times New Roman" w:hAnsi="Times New Roman" w:cs="Times New Roman"/>
          <w:b/>
          <w:bCs/>
          <w:color w:val="auto"/>
          <w:kern w:val="2"/>
          <w:sz w:val="24"/>
          <w:szCs w:val="24"/>
          <w:shd w:val="clear" w:color="auto" w:fill="auto"/>
          <w:lang w:val="en-US" w:eastAsia="zh-CN" w:bidi="ar-SA"/>
        </w:rPr>
        <w:t>（4）</w:t>
      </w:r>
      <w:r>
        <w:rPr>
          <w:rFonts w:hint="eastAsia" w:ascii="Times New Roman" w:hAnsi="Times New Roman" w:eastAsia="宋体" w:cs="Times New Roman"/>
          <w:b/>
          <w:bCs/>
          <w:color w:val="auto"/>
          <w:kern w:val="2"/>
          <w:sz w:val="24"/>
          <w:szCs w:val="24"/>
          <w:shd w:val="clear" w:color="auto" w:fill="auto"/>
          <w:lang w:val="en-US" w:eastAsia="zh-CN" w:bidi="ar-SA"/>
        </w:rPr>
        <w:t>本项目建设是节约资源，绿色环保的需要</w:t>
      </w:r>
    </w:p>
    <w:p>
      <w:pPr>
        <w:spacing w:line="360" w:lineRule="auto"/>
        <w:ind w:firstLine="480" w:firstLineChars="200"/>
        <w:rPr>
          <w:rFonts w:hint="eastAsia" w:ascii="Times New Roman" w:hAnsi="Times New Roman" w:eastAsia="宋体" w:cs="Times New Roman"/>
          <w:b w:val="0"/>
          <w:color w:val="auto"/>
          <w:kern w:val="2"/>
          <w:sz w:val="24"/>
          <w:szCs w:val="24"/>
          <w:shd w:val="clear" w:color="auto" w:fill="auto"/>
          <w:lang w:val="en-US" w:eastAsia="zh-CN" w:bidi="ar-SA"/>
        </w:rPr>
      </w:pPr>
      <w:r>
        <w:rPr>
          <w:rFonts w:hint="eastAsia" w:ascii="Times New Roman" w:hAnsi="Times New Roman" w:eastAsia="宋体" w:cs="Times New Roman"/>
          <w:b w:val="0"/>
          <w:color w:val="auto"/>
          <w:kern w:val="2"/>
          <w:sz w:val="24"/>
          <w:szCs w:val="24"/>
          <w:shd w:val="clear" w:color="auto" w:fill="auto"/>
          <w:lang w:val="en-US" w:eastAsia="zh-CN" w:bidi="ar-SA"/>
        </w:rPr>
        <w:t>水路运输突出显示了资源利用方面的优势，是一种资源节约、环境友好型的绿色运输方式，符合国家关于建设节约型社会，实现可持续发展战略和循环经济的总体要求。近年来，铁路运输紧张，油价高涨和公路“治超”已带来水运货源的理性回归。水运具有运量大、低成本、低能耗、少占地、污染小等特点。本工程建设充分发挥了内河航运节能、改善环境的综合优势。</w:t>
      </w:r>
    </w:p>
    <w:p>
      <w:pPr>
        <w:tabs>
          <w:tab w:val="left" w:pos="480"/>
        </w:tabs>
        <w:spacing w:line="360" w:lineRule="auto"/>
        <w:ind w:firstLine="480" w:firstLineChars="200"/>
        <w:rPr>
          <w:rFonts w:hint="eastAsia" w:ascii="Times New Roman" w:hAnsi="Times New Roman" w:eastAsia="宋体" w:cs="Times New Roman"/>
          <w:b w:val="0"/>
          <w:bCs w:val="0"/>
          <w:color w:val="auto"/>
          <w:kern w:val="2"/>
          <w:sz w:val="24"/>
          <w:szCs w:val="24"/>
          <w:shd w:val="clear" w:color="auto" w:fill="auto"/>
          <w:lang w:val="en-US" w:eastAsia="zh-CN" w:bidi="ar-SA"/>
        </w:rPr>
      </w:pPr>
      <w:r>
        <w:rPr>
          <w:rFonts w:hint="eastAsia" w:ascii="Times New Roman" w:hAnsi="Times New Roman" w:eastAsia="宋体" w:cs="Times New Roman"/>
          <w:b w:val="0"/>
          <w:bCs w:val="0"/>
          <w:color w:val="auto"/>
          <w:kern w:val="2"/>
          <w:sz w:val="24"/>
          <w:szCs w:val="24"/>
          <w:shd w:val="clear" w:color="auto" w:fill="auto"/>
          <w:lang w:val="en-US" w:eastAsia="zh-CN" w:bidi="ar-SA"/>
        </w:rPr>
        <w:t>综上所述，本工程</w:t>
      </w:r>
      <w:r>
        <w:rPr>
          <w:rFonts w:hint="eastAsia" w:cs="Times New Roman"/>
          <w:b w:val="0"/>
          <w:bCs w:val="0"/>
          <w:color w:val="auto"/>
          <w:kern w:val="2"/>
          <w:sz w:val="24"/>
          <w:szCs w:val="24"/>
          <w:shd w:val="clear" w:color="auto" w:fill="auto"/>
          <w:lang w:val="en-US" w:eastAsia="zh-CN" w:bidi="ar-SA"/>
        </w:rPr>
        <w:t>的</w:t>
      </w:r>
      <w:r>
        <w:rPr>
          <w:rFonts w:hint="eastAsia" w:ascii="Times New Roman" w:hAnsi="Times New Roman" w:eastAsia="宋体" w:cs="Times New Roman"/>
          <w:b w:val="0"/>
          <w:bCs w:val="0"/>
          <w:color w:val="auto"/>
          <w:kern w:val="2"/>
          <w:sz w:val="24"/>
          <w:szCs w:val="24"/>
          <w:shd w:val="clear" w:color="auto" w:fill="auto"/>
          <w:lang w:val="en-US" w:eastAsia="zh-CN" w:bidi="ar-SA"/>
        </w:rPr>
        <w:t>建设是</w:t>
      </w:r>
      <w:r>
        <w:rPr>
          <w:rFonts w:hint="eastAsia" w:hAnsi="宋体"/>
          <w:color w:val="auto"/>
          <w:sz w:val="24"/>
        </w:rPr>
        <w:t>十分必要和迫切的</w:t>
      </w:r>
      <w:r>
        <w:rPr>
          <w:rFonts w:hint="eastAsia" w:cs="Times New Roman"/>
          <w:b w:val="0"/>
          <w:bCs w:val="0"/>
          <w:color w:val="auto"/>
          <w:kern w:val="2"/>
          <w:sz w:val="24"/>
          <w:szCs w:val="24"/>
          <w:shd w:val="clear" w:color="auto" w:fill="auto"/>
          <w:lang w:val="en-US" w:eastAsia="zh-CN" w:bidi="ar-SA"/>
        </w:rPr>
        <w:t>，符合</w:t>
      </w:r>
      <w:r>
        <w:rPr>
          <w:rFonts w:hint="eastAsia"/>
          <w:color w:val="auto"/>
          <w:shd w:val="clear" w:color="auto" w:fill="auto"/>
        </w:rPr>
        <w:t>《全面打造水清岸绿产业优美丽长江（安徽）经济带的实施意见》</w:t>
      </w:r>
      <w:r>
        <w:rPr>
          <w:rFonts w:hint="eastAsia"/>
          <w:color w:val="auto"/>
          <w:shd w:val="clear" w:color="auto" w:fill="auto"/>
          <w:lang w:eastAsia="zh-CN"/>
        </w:rPr>
        <w:t>的要求</w:t>
      </w:r>
      <w:r>
        <w:rPr>
          <w:rFonts w:hint="eastAsia" w:ascii="Times New Roman" w:hAnsi="Times New Roman" w:eastAsia="宋体" w:cs="Times New Roman"/>
          <w:b w:val="0"/>
          <w:bCs w:val="0"/>
          <w:color w:val="auto"/>
          <w:kern w:val="2"/>
          <w:sz w:val="24"/>
          <w:szCs w:val="24"/>
          <w:shd w:val="clear" w:color="auto" w:fill="auto"/>
          <w:lang w:val="en-US" w:eastAsia="zh-CN" w:bidi="ar-SA"/>
        </w:rPr>
        <w:t>。</w:t>
      </w:r>
    </w:p>
    <w:p>
      <w:pPr>
        <w:pStyle w:val="5"/>
        <w:rPr>
          <w:rFonts w:hint="eastAsia"/>
          <w:color w:val="auto"/>
          <w:highlight w:val="none"/>
          <w:shd w:val="clear" w:color="auto" w:fill="auto"/>
        </w:rPr>
      </w:pPr>
      <w:r>
        <w:rPr>
          <w:rFonts w:hint="eastAsia"/>
          <w:color w:val="auto"/>
          <w:highlight w:val="none"/>
          <w:shd w:val="clear" w:color="auto" w:fill="auto"/>
          <w:lang w:val="en-US" w:eastAsia="zh-CN"/>
        </w:rPr>
        <w:t>1.6</w:t>
      </w:r>
      <w:r>
        <w:rPr>
          <w:rFonts w:hint="eastAsia"/>
          <w:color w:val="auto"/>
          <w:highlight w:val="none"/>
          <w:shd w:val="clear" w:color="auto" w:fill="auto"/>
        </w:rPr>
        <w:t>.</w:t>
      </w:r>
      <w:r>
        <w:rPr>
          <w:rFonts w:hint="eastAsia"/>
          <w:color w:val="auto"/>
          <w:highlight w:val="none"/>
          <w:shd w:val="clear" w:color="auto" w:fill="auto"/>
          <w:lang w:val="en-US" w:eastAsia="zh-CN"/>
        </w:rPr>
        <w:t>3</w:t>
      </w:r>
      <w:r>
        <w:rPr>
          <w:rFonts w:hint="eastAsia"/>
          <w:color w:val="auto"/>
          <w:highlight w:val="none"/>
          <w:shd w:val="clear" w:color="auto" w:fill="auto"/>
        </w:rPr>
        <w:t xml:space="preserve"> </w:t>
      </w:r>
      <w:r>
        <w:rPr>
          <w:color w:val="auto"/>
          <w:highlight w:val="none"/>
          <w:shd w:val="clear" w:color="auto" w:fill="auto"/>
        </w:rPr>
        <w:t>与《</w:t>
      </w:r>
      <w:r>
        <w:rPr>
          <w:rFonts w:hint="eastAsia"/>
          <w:color w:val="auto"/>
          <w:highlight w:val="none"/>
          <w:shd w:val="clear" w:color="auto" w:fill="auto"/>
          <w:lang w:val="en-US" w:eastAsia="zh-CN"/>
        </w:rPr>
        <w:t>太和</w:t>
      </w:r>
      <w:r>
        <w:rPr>
          <w:rFonts w:hint="eastAsia"/>
          <w:color w:val="auto"/>
          <w:highlight w:val="none"/>
          <w:shd w:val="clear" w:color="auto" w:fill="auto"/>
        </w:rPr>
        <w:t>县总体规划（201</w:t>
      </w:r>
      <w:r>
        <w:rPr>
          <w:rFonts w:hint="eastAsia"/>
          <w:color w:val="auto"/>
          <w:highlight w:val="none"/>
          <w:shd w:val="clear" w:color="auto" w:fill="auto"/>
          <w:lang w:val="en-US" w:eastAsia="zh-CN"/>
        </w:rPr>
        <w:t>3</w:t>
      </w:r>
      <w:r>
        <w:rPr>
          <w:rFonts w:hint="eastAsia"/>
          <w:color w:val="auto"/>
          <w:highlight w:val="none"/>
          <w:shd w:val="clear" w:color="auto" w:fill="auto"/>
        </w:rPr>
        <w:t>-2030）》的相符性</w:t>
      </w:r>
      <w:bookmarkEnd w:id="91"/>
      <w:bookmarkEnd w:id="92"/>
    </w:p>
    <w:p>
      <w:pPr>
        <w:spacing w:line="360" w:lineRule="auto"/>
        <w:ind w:firstLine="480" w:firstLineChars="200"/>
        <w:rPr>
          <w:rFonts w:hint="default" w:cs="Times New Roman"/>
          <w:b/>
          <w:color w:val="auto"/>
          <w:kern w:val="2"/>
          <w:sz w:val="28"/>
          <w:szCs w:val="24"/>
          <w:highlight w:val="none"/>
          <w:shd w:val="clear" w:color="auto" w:fill="auto"/>
          <w:lang w:val="en-US" w:eastAsia="zh-CN" w:bidi="ar-SA"/>
        </w:rPr>
      </w:pPr>
      <w:r>
        <w:rPr>
          <w:rFonts w:hint="default" w:ascii="Times New Roman" w:hAnsi="Times New Roman" w:eastAsia="宋体" w:cs="Times New Roman"/>
          <w:color w:val="auto"/>
          <w:sz w:val="24"/>
          <w:szCs w:val="24"/>
          <w:shd w:val="clear" w:color="auto" w:fill="auto"/>
        </w:rPr>
        <w:t>本工程</w:t>
      </w:r>
      <w:r>
        <w:rPr>
          <w:rFonts w:hint="default" w:ascii="Times New Roman" w:hAnsi="Times New Roman" w:cs="Times New Roman"/>
          <w:color w:val="auto"/>
          <w:shd w:val="clear" w:color="auto" w:fill="auto"/>
        </w:rPr>
        <w:t>位于</w:t>
      </w:r>
      <w:r>
        <w:rPr>
          <w:rFonts w:hint="eastAsia" w:cs="Times New Roman"/>
          <w:color w:val="auto"/>
          <w:shd w:val="clear" w:color="auto" w:fill="auto"/>
          <w:lang w:eastAsia="zh-CN"/>
        </w:rPr>
        <w:t>城关镇陶桥村上游沙颍河北岸，上距太和二桥约1.8km</w:t>
      </w:r>
      <w:r>
        <w:rPr>
          <w:rFonts w:hint="default" w:ascii="Times New Roman" w:hAnsi="Times New Roman" w:cs="Times New Roman"/>
          <w:color w:val="auto"/>
          <w:shd w:val="clear" w:color="auto" w:fill="auto"/>
        </w:rPr>
        <w:t>。</w:t>
      </w:r>
      <w:r>
        <w:rPr>
          <w:rFonts w:hint="eastAsia"/>
          <w:color w:val="auto"/>
          <w:sz w:val="24"/>
          <w:shd w:val="clear" w:color="auto" w:fill="auto"/>
        </w:rPr>
        <w:t>根据《</w:t>
      </w:r>
      <w:r>
        <w:rPr>
          <w:rFonts w:hint="eastAsia"/>
          <w:color w:val="auto"/>
          <w:sz w:val="24"/>
          <w:shd w:val="clear" w:color="auto" w:fill="auto"/>
          <w:lang w:val="en-US" w:eastAsia="zh-CN"/>
        </w:rPr>
        <w:t>太和县总体规划（2013-2030）</w:t>
      </w:r>
      <w:r>
        <w:rPr>
          <w:rFonts w:hint="eastAsia"/>
          <w:color w:val="auto"/>
          <w:sz w:val="24"/>
          <w:shd w:val="clear" w:color="auto" w:fill="auto"/>
        </w:rPr>
        <w:t>》，本项目选址</w:t>
      </w:r>
      <w:r>
        <w:rPr>
          <w:color w:val="auto"/>
          <w:sz w:val="24"/>
          <w:shd w:val="clear" w:color="auto" w:fill="auto"/>
        </w:rPr>
        <w:t>不在</w:t>
      </w:r>
      <w:r>
        <w:rPr>
          <w:rFonts w:hint="eastAsia"/>
          <w:color w:val="auto"/>
          <w:sz w:val="24"/>
          <w:shd w:val="clear" w:color="auto" w:fill="auto"/>
          <w:lang w:val="en-US" w:eastAsia="zh-CN"/>
        </w:rPr>
        <w:t>太和县</w:t>
      </w:r>
      <w:r>
        <w:rPr>
          <w:rFonts w:hint="eastAsia"/>
          <w:color w:val="auto"/>
          <w:sz w:val="24"/>
          <w:shd w:val="clear" w:color="auto" w:fill="auto"/>
        </w:rPr>
        <w:t>城市建成区。根据</w:t>
      </w:r>
      <w:r>
        <w:rPr>
          <w:rFonts w:hint="eastAsia"/>
          <w:color w:val="auto"/>
          <w:sz w:val="24"/>
          <w:shd w:val="clear" w:color="auto" w:fill="auto"/>
          <w:lang w:eastAsia="zh-CN"/>
        </w:rPr>
        <w:t>《</w:t>
      </w:r>
      <w:r>
        <w:rPr>
          <w:rFonts w:hint="eastAsia"/>
          <w:color w:val="auto"/>
          <w:sz w:val="24"/>
          <w:shd w:val="clear" w:color="auto" w:fill="auto"/>
          <w:lang w:val="en-US" w:eastAsia="zh-CN"/>
        </w:rPr>
        <w:t>关于阜阳港太和港区陶庙作业区码头工程项目规划选址意见的复函</w:t>
      </w:r>
      <w:r>
        <w:rPr>
          <w:rFonts w:hint="eastAsia"/>
          <w:color w:val="auto"/>
          <w:sz w:val="24"/>
          <w:shd w:val="clear" w:color="auto" w:fill="auto"/>
          <w:lang w:eastAsia="zh-CN"/>
        </w:rPr>
        <w:t>》（附件</w:t>
      </w:r>
      <w:r>
        <w:rPr>
          <w:rFonts w:hint="eastAsia"/>
          <w:color w:val="auto"/>
          <w:sz w:val="24"/>
          <w:shd w:val="clear" w:color="auto" w:fill="auto"/>
          <w:lang w:val="en-US" w:eastAsia="zh-CN"/>
        </w:rPr>
        <w:t>5</w:t>
      </w:r>
      <w:r>
        <w:rPr>
          <w:rFonts w:hint="eastAsia"/>
          <w:color w:val="auto"/>
          <w:sz w:val="24"/>
          <w:shd w:val="clear" w:color="auto" w:fill="auto"/>
          <w:lang w:eastAsia="zh-CN"/>
        </w:rPr>
        <w:t>）</w:t>
      </w:r>
      <w:r>
        <w:rPr>
          <w:rFonts w:hint="eastAsia"/>
          <w:color w:val="auto"/>
          <w:sz w:val="24"/>
          <w:shd w:val="clear" w:color="auto" w:fill="auto"/>
          <w:lang w:val="en-US" w:eastAsia="zh-CN"/>
        </w:rPr>
        <w:t>、太和县自然资源和规划局太自然资管【2020】31号“关于阜阳港太和港区陶庙作业区码头工程项目用地审查意见”等文件意见，本项目符合太和县城总体规划。</w:t>
      </w:r>
    </w:p>
    <w:p>
      <w:pPr>
        <w:pStyle w:val="5"/>
        <w:rPr>
          <w:rFonts w:hint="eastAsia"/>
          <w:color w:val="auto"/>
          <w:highlight w:val="yellow"/>
          <w:shd w:val="clear" w:color="auto" w:fill="auto"/>
        </w:rPr>
      </w:pPr>
      <w:bookmarkStart w:id="93" w:name="_Toc3473_WPSOffice_Level2"/>
      <w:bookmarkStart w:id="94" w:name="_Toc2514_WPSOffice_Level2"/>
      <w:r>
        <w:rPr>
          <w:rFonts w:hint="eastAsia"/>
          <w:color w:val="auto"/>
          <w:highlight w:val="none"/>
          <w:shd w:val="clear" w:color="auto" w:fill="auto"/>
          <w:lang w:val="en-US" w:eastAsia="zh-CN"/>
        </w:rPr>
        <w:t>1.6</w:t>
      </w:r>
      <w:r>
        <w:rPr>
          <w:rFonts w:hint="eastAsia"/>
          <w:color w:val="auto"/>
          <w:highlight w:val="none"/>
          <w:shd w:val="clear" w:color="auto" w:fill="auto"/>
        </w:rPr>
        <w:t>.</w:t>
      </w:r>
      <w:r>
        <w:rPr>
          <w:rFonts w:hint="eastAsia"/>
          <w:color w:val="auto"/>
          <w:highlight w:val="none"/>
          <w:shd w:val="clear" w:color="auto" w:fill="auto"/>
          <w:lang w:val="en-US" w:eastAsia="zh-CN"/>
        </w:rPr>
        <w:t>4</w:t>
      </w:r>
      <w:r>
        <w:rPr>
          <w:rFonts w:hint="eastAsia"/>
          <w:color w:val="auto"/>
          <w:highlight w:val="none"/>
          <w:shd w:val="clear" w:color="auto" w:fill="auto"/>
        </w:rPr>
        <w:t xml:space="preserve"> </w:t>
      </w:r>
      <w:r>
        <w:rPr>
          <w:color w:val="auto"/>
          <w:highlight w:val="none"/>
          <w:shd w:val="clear" w:color="auto" w:fill="auto"/>
        </w:rPr>
        <w:t>与</w:t>
      </w:r>
      <w:r>
        <w:rPr>
          <w:rFonts w:hint="eastAsia"/>
          <w:color w:val="auto"/>
          <w:highlight w:val="none"/>
          <w:shd w:val="clear" w:color="auto" w:fill="auto"/>
        </w:rPr>
        <w:t>《</w:t>
      </w:r>
      <w:r>
        <w:rPr>
          <w:rFonts w:hint="eastAsia"/>
          <w:color w:val="auto"/>
          <w:highlight w:val="none"/>
          <w:shd w:val="clear" w:color="auto" w:fill="auto"/>
          <w:lang w:val="en-US" w:eastAsia="zh-CN"/>
        </w:rPr>
        <w:t>阜阳</w:t>
      </w:r>
      <w:r>
        <w:rPr>
          <w:rFonts w:hint="eastAsia"/>
          <w:color w:val="auto"/>
          <w:highlight w:val="none"/>
          <w:shd w:val="clear" w:color="auto" w:fill="auto"/>
        </w:rPr>
        <w:t>港总体规划（调整）》的相符性</w:t>
      </w:r>
      <w:bookmarkEnd w:id="93"/>
      <w:bookmarkEnd w:id="94"/>
    </w:p>
    <w:p>
      <w:pPr>
        <w:bidi w:val="0"/>
        <w:rPr>
          <w:rFonts w:hint="eastAsia"/>
          <w:color w:val="auto"/>
          <w:shd w:val="clear" w:color="auto" w:fill="auto"/>
          <w:lang w:val="en-US" w:eastAsia="zh-CN"/>
        </w:rPr>
      </w:pPr>
      <w:r>
        <w:rPr>
          <w:rFonts w:hint="eastAsia"/>
          <w:color w:val="auto"/>
          <w:shd w:val="clear" w:color="auto" w:fill="auto"/>
        </w:rPr>
        <w:t>根据</w:t>
      </w:r>
      <w:r>
        <w:rPr>
          <w:rFonts w:hint="eastAsia"/>
          <w:color w:val="auto"/>
          <w:shd w:val="clear" w:color="auto" w:fill="auto"/>
          <w:lang w:eastAsia="zh-CN"/>
        </w:rPr>
        <w:t>阜阳</w:t>
      </w:r>
      <w:r>
        <w:rPr>
          <w:rFonts w:hint="eastAsia"/>
          <w:color w:val="auto"/>
          <w:shd w:val="clear" w:color="auto" w:fill="auto"/>
        </w:rPr>
        <w:t>市人民政府文件批复的《</w:t>
      </w:r>
      <w:r>
        <w:rPr>
          <w:rFonts w:hint="eastAsia"/>
          <w:color w:val="auto"/>
          <w:shd w:val="clear" w:color="auto" w:fill="auto"/>
          <w:lang w:eastAsia="zh-CN"/>
        </w:rPr>
        <w:t>阜阳</w:t>
      </w:r>
      <w:r>
        <w:rPr>
          <w:rFonts w:hint="eastAsia"/>
          <w:color w:val="auto"/>
          <w:shd w:val="clear" w:color="auto" w:fill="auto"/>
        </w:rPr>
        <w:t>港总体规划（调整）》，</w:t>
      </w:r>
      <w:r>
        <w:rPr>
          <w:rFonts w:hint="eastAsia"/>
          <w:color w:val="auto"/>
          <w:shd w:val="clear" w:color="auto" w:fill="auto"/>
          <w:lang w:val="en-US" w:eastAsia="zh-CN"/>
        </w:rPr>
        <w:t>本项目位于阜阳港太和港区陶庙作业区。</w:t>
      </w:r>
    </w:p>
    <w:p>
      <w:pPr>
        <w:pStyle w:val="64"/>
        <w:keepNext w:val="0"/>
        <w:keepLines w:val="0"/>
        <w:pageBreakBefore w:val="0"/>
        <w:widowControl w:val="0"/>
        <w:tabs>
          <w:tab w:val="left" w:pos="4320"/>
        </w:tabs>
        <w:kinsoku/>
        <w:wordWrap/>
        <w:overflowPunct/>
        <w:topLinePunct w:val="0"/>
        <w:autoSpaceDE/>
        <w:autoSpaceDN/>
        <w:bidi w:val="0"/>
        <w:spacing w:beforeLines="0" w:afterLines="0"/>
        <w:ind w:left="0" w:leftChars="0" w:right="0" w:rightChars="0" w:firstLine="482" w:firstLineChars="200"/>
        <w:jc w:val="left"/>
        <w:rPr>
          <w:rFonts w:hint="eastAsia" w:ascii="Times New Roman" w:hAnsi="Times New Roman" w:eastAsia="宋体" w:cs="Times New Roman"/>
          <w:b/>
          <w:bCs/>
          <w:color w:val="auto"/>
          <w:kern w:val="2"/>
          <w:sz w:val="24"/>
          <w:szCs w:val="24"/>
          <w:shd w:val="clear" w:color="auto" w:fill="auto"/>
          <w:lang w:val="en-US" w:eastAsia="zh-CN" w:bidi="ar-SA"/>
        </w:rPr>
      </w:pPr>
      <w:r>
        <w:rPr>
          <w:rFonts w:hint="eastAsia" w:ascii="Times New Roman" w:hAnsi="Times New Roman" w:eastAsia="宋体" w:cs="Times New Roman"/>
          <w:b/>
          <w:bCs/>
          <w:color w:val="auto"/>
          <w:kern w:val="2"/>
          <w:sz w:val="24"/>
          <w:szCs w:val="24"/>
          <w:shd w:val="clear" w:color="auto" w:fill="auto"/>
          <w:lang w:val="en-US" w:eastAsia="zh-CN" w:bidi="ar-SA"/>
        </w:rPr>
        <w:t>1.岸线性质</w:t>
      </w:r>
    </w:p>
    <w:p>
      <w:pPr>
        <w:pStyle w:val="64"/>
        <w:keepNext w:val="0"/>
        <w:keepLines w:val="0"/>
        <w:pageBreakBefore w:val="0"/>
        <w:widowControl w:val="0"/>
        <w:tabs>
          <w:tab w:val="left" w:pos="4320"/>
        </w:tabs>
        <w:kinsoku/>
        <w:wordWrap/>
        <w:overflowPunct/>
        <w:topLinePunct w:val="0"/>
        <w:autoSpaceDE/>
        <w:autoSpaceDN/>
        <w:bidi w:val="0"/>
        <w:spacing w:beforeLines="0" w:afterLines="0"/>
        <w:ind w:left="0" w:leftChars="0" w:right="0" w:rightChars="0" w:firstLine="480" w:firstLineChars="200"/>
        <w:jc w:val="left"/>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阜阳港共布局6个港区，分别为阜阳港区、颍上港区、太和港区、界首港区、临泉和阜南六个港区。港区按主要港区和一般港区两个层次划分，阜阳港区和颍上港区为主要港区，其他港区为一般港区。</w:t>
      </w:r>
    </w:p>
    <w:p>
      <w:pPr>
        <w:pStyle w:val="64"/>
        <w:keepNext w:val="0"/>
        <w:keepLines w:val="0"/>
        <w:pageBreakBefore w:val="0"/>
        <w:widowControl w:val="0"/>
        <w:tabs>
          <w:tab w:val="left" w:pos="4320"/>
        </w:tabs>
        <w:kinsoku/>
        <w:wordWrap/>
        <w:overflowPunct/>
        <w:topLinePunct w:val="0"/>
        <w:autoSpaceDE/>
        <w:autoSpaceDN/>
        <w:bidi w:val="0"/>
        <w:spacing w:beforeLines="0" w:afterLines="0"/>
        <w:ind w:left="0" w:leftChars="0" w:right="0" w:rightChars="0" w:firstLine="480" w:firstLineChars="200"/>
        <w:jc w:val="left"/>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太和港区辖太和县辖区内所有港口作业区。所辖作业区均位于城关或临近城镇，主要集疏运通道有S308、S202、G05及京九、漯阜铁路，</w:t>
      </w:r>
    </w:p>
    <w:p>
      <w:pPr>
        <w:pStyle w:val="64"/>
        <w:keepNext w:val="0"/>
        <w:keepLines w:val="0"/>
        <w:pageBreakBefore w:val="0"/>
        <w:widowControl w:val="0"/>
        <w:tabs>
          <w:tab w:val="left" w:pos="4320"/>
        </w:tabs>
        <w:kinsoku/>
        <w:wordWrap/>
        <w:overflowPunct/>
        <w:topLinePunct w:val="0"/>
        <w:autoSpaceDE/>
        <w:autoSpaceDN/>
        <w:bidi w:val="0"/>
        <w:spacing w:beforeLines="0" w:afterLines="0"/>
        <w:ind w:left="0" w:leftChars="0" w:right="0" w:rightChars="0" w:firstLine="480" w:firstLineChars="200"/>
        <w:jc w:val="left"/>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集疏运条件便利。港区航道条件优良，可常年通航500t级船舶，经沙颍河入淮河可至京杭大运河到达苏南、上海等长三角地区。未来随着太和县经济发展和城镇化建设的加快，将有大量的矿建材料由该港区运入，同时部分河南煤炭也可以从该港区转运。规划该港区是以服务太和县及河南省相邻地区，主要承担矿建材料、煤炭等货种的装卸、储存和中转业务的综合性港区。</w:t>
      </w:r>
    </w:p>
    <w:p>
      <w:pPr>
        <w:pStyle w:val="64"/>
        <w:keepNext w:val="0"/>
        <w:keepLines w:val="0"/>
        <w:pageBreakBefore w:val="0"/>
        <w:widowControl w:val="0"/>
        <w:tabs>
          <w:tab w:val="left" w:pos="4320"/>
        </w:tabs>
        <w:kinsoku/>
        <w:wordWrap/>
        <w:overflowPunct/>
        <w:topLinePunct w:val="0"/>
        <w:autoSpaceDE/>
        <w:autoSpaceDN/>
        <w:bidi w:val="0"/>
        <w:spacing w:beforeLines="0" w:afterLines="0"/>
        <w:ind w:left="0" w:leftChars="0" w:right="0" w:rightChars="0" w:firstLine="480" w:firstLineChars="200"/>
        <w:jc w:val="left"/>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太和港区主要包含陶庙作业区、陶庙作业区、界牌作业区、关集作业区、原墙作业区及耿楼、三桥旅游码头。作业区按主要和一般两个层次划分，其中陶庙作业区为太和港区主要作业区，其余为一般作业区。</w:t>
      </w:r>
    </w:p>
    <w:p>
      <w:pPr>
        <w:pStyle w:val="64"/>
        <w:keepNext w:val="0"/>
        <w:keepLines w:val="0"/>
        <w:pageBreakBefore w:val="0"/>
        <w:widowControl w:val="0"/>
        <w:tabs>
          <w:tab w:val="left" w:pos="4320"/>
        </w:tabs>
        <w:kinsoku/>
        <w:wordWrap/>
        <w:overflowPunct/>
        <w:topLinePunct w:val="0"/>
        <w:autoSpaceDE/>
        <w:autoSpaceDN/>
        <w:bidi w:val="0"/>
        <w:spacing w:beforeLines="0" w:afterLines="0"/>
        <w:ind w:left="0" w:leftChars="0" w:right="0" w:rightChars="0" w:firstLine="480" w:firstLineChars="200"/>
        <w:jc w:val="left"/>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陶庙作业区位于阜阳市太和县太和二桥下游约350</w:t>
      </w:r>
      <w:r>
        <w:rPr>
          <w:rFonts w:hint="eastAsia" w:ascii="Times New Roman" w:cs="Times New Roman"/>
          <w:color w:val="auto"/>
          <w:kern w:val="2"/>
          <w:sz w:val="24"/>
          <w:szCs w:val="24"/>
          <w:shd w:val="clear" w:color="auto" w:fill="auto"/>
          <w:lang w:val="en-US" w:eastAsia="zh-CN" w:bidi="ar-SA"/>
        </w:rPr>
        <w:t>m</w:t>
      </w:r>
      <w:r>
        <w:rPr>
          <w:rFonts w:hint="eastAsia" w:ascii="Times New Roman" w:hAnsi="Times New Roman" w:eastAsia="宋体" w:cs="Times New Roman"/>
          <w:color w:val="auto"/>
          <w:kern w:val="2"/>
          <w:sz w:val="24"/>
          <w:szCs w:val="24"/>
          <w:shd w:val="clear" w:color="auto" w:fill="auto"/>
          <w:lang w:val="en-US" w:eastAsia="zh-CN" w:bidi="ar-SA"/>
        </w:rPr>
        <w:t>处，沙颍河左岸。</w:t>
      </w:r>
    </w:p>
    <w:p>
      <w:pPr>
        <w:pStyle w:val="64"/>
        <w:keepNext w:val="0"/>
        <w:keepLines w:val="0"/>
        <w:pageBreakBefore w:val="0"/>
        <w:widowControl w:val="0"/>
        <w:tabs>
          <w:tab w:val="left" w:pos="4320"/>
        </w:tabs>
        <w:kinsoku/>
        <w:wordWrap/>
        <w:overflowPunct/>
        <w:topLinePunct w:val="0"/>
        <w:autoSpaceDE/>
        <w:autoSpaceDN/>
        <w:bidi w:val="0"/>
        <w:spacing w:beforeLines="0" w:afterLines="0"/>
        <w:ind w:left="0" w:leftChars="0" w:right="0" w:rightChars="0" w:firstLine="480" w:firstLineChars="200"/>
        <w:jc w:val="left"/>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规划作业区沙颍河航道现状等级为Ⅳ级。该河段河道顺直，河道平均宽度约130</w:t>
      </w:r>
      <w:r>
        <w:rPr>
          <w:rFonts w:hint="eastAsia" w:ascii="Times New Roman" w:cs="Times New Roman"/>
          <w:color w:val="auto"/>
          <w:kern w:val="2"/>
          <w:sz w:val="24"/>
          <w:szCs w:val="24"/>
          <w:shd w:val="clear" w:color="auto" w:fill="auto"/>
          <w:lang w:val="en-US" w:eastAsia="zh-CN" w:bidi="ar-SA"/>
        </w:rPr>
        <w:t>m</w:t>
      </w:r>
      <w:r>
        <w:rPr>
          <w:rFonts w:hint="eastAsia" w:ascii="Times New Roman" w:hAnsi="Times New Roman" w:eastAsia="宋体" w:cs="Times New Roman"/>
          <w:color w:val="auto"/>
          <w:kern w:val="2"/>
          <w:sz w:val="24"/>
          <w:szCs w:val="24"/>
          <w:shd w:val="clear" w:color="auto" w:fill="auto"/>
          <w:lang w:val="en-US" w:eastAsia="zh-CN" w:bidi="ar-SA"/>
        </w:rPr>
        <w:t>，水深充裕，水流平稳；后方陆域主要为滩地和部分村庄， 地势平坦，陆域面积足够，高程适宜；后方与S308 省道相连，具有较好的交通、供电、供水等接线条件，具有一定的远景发展余地。</w:t>
      </w:r>
    </w:p>
    <w:p>
      <w:pPr>
        <w:pStyle w:val="64"/>
        <w:keepNext w:val="0"/>
        <w:keepLines w:val="0"/>
        <w:pageBreakBefore w:val="0"/>
        <w:widowControl w:val="0"/>
        <w:tabs>
          <w:tab w:val="left" w:pos="4320"/>
        </w:tabs>
        <w:kinsoku/>
        <w:wordWrap/>
        <w:overflowPunct/>
        <w:topLinePunct w:val="0"/>
        <w:autoSpaceDE/>
        <w:autoSpaceDN/>
        <w:bidi w:val="0"/>
        <w:spacing w:beforeLines="0" w:afterLines="0"/>
        <w:ind w:left="0" w:leftChars="0" w:right="0" w:rightChars="0" w:firstLine="482" w:firstLineChars="200"/>
        <w:jc w:val="left"/>
        <w:rPr>
          <w:rFonts w:hint="eastAsia" w:ascii="Times New Roman" w:hAnsi="Times New Roman" w:eastAsia="宋体" w:cs="Times New Roman"/>
          <w:b/>
          <w:bCs/>
          <w:color w:val="auto"/>
          <w:kern w:val="2"/>
          <w:sz w:val="24"/>
          <w:szCs w:val="24"/>
          <w:shd w:val="clear" w:color="auto" w:fill="auto"/>
          <w:lang w:val="en-US" w:eastAsia="zh-CN" w:bidi="ar-SA"/>
        </w:rPr>
      </w:pPr>
      <w:r>
        <w:rPr>
          <w:rFonts w:hint="eastAsia" w:ascii="Times New Roman" w:hAnsi="Times New Roman" w:eastAsia="宋体" w:cs="Times New Roman"/>
          <w:b/>
          <w:bCs/>
          <w:color w:val="auto"/>
          <w:kern w:val="2"/>
          <w:sz w:val="24"/>
          <w:szCs w:val="24"/>
          <w:shd w:val="clear" w:color="auto" w:fill="auto"/>
          <w:lang w:val="en-US" w:eastAsia="zh-CN" w:bidi="ar-SA"/>
        </w:rPr>
        <w:t>2.功能定位</w:t>
      </w:r>
    </w:p>
    <w:p>
      <w:pPr>
        <w:pStyle w:val="64"/>
        <w:keepNext w:val="0"/>
        <w:keepLines w:val="0"/>
        <w:pageBreakBefore w:val="0"/>
        <w:widowControl w:val="0"/>
        <w:tabs>
          <w:tab w:val="left" w:pos="4320"/>
        </w:tabs>
        <w:kinsoku/>
        <w:wordWrap/>
        <w:overflowPunct/>
        <w:topLinePunct w:val="0"/>
        <w:autoSpaceDE/>
        <w:autoSpaceDN/>
        <w:bidi w:val="0"/>
        <w:spacing w:beforeLines="0" w:afterLines="0"/>
        <w:ind w:left="0" w:leftChars="0" w:right="0" w:rightChars="0" w:firstLine="480" w:firstLineChars="200"/>
        <w:jc w:val="left"/>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太和港区是以服务太和县及河南省相邻地区，主要承担矿建材料、煤炭等货种的装卸、储存和中转业务的综合性港区。</w:t>
      </w:r>
    </w:p>
    <w:p>
      <w:pPr>
        <w:pStyle w:val="64"/>
        <w:keepNext w:val="0"/>
        <w:keepLines w:val="0"/>
        <w:pageBreakBefore w:val="0"/>
        <w:widowControl w:val="0"/>
        <w:tabs>
          <w:tab w:val="left" w:pos="4320"/>
        </w:tabs>
        <w:kinsoku/>
        <w:wordWrap/>
        <w:overflowPunct/>
        <w:topLinePunct w:val="0"/>
        <w:autoSpaceDE/>
        <w:autoSpaceDN/>
        <w:bidi w:val="0"/>
        <w:spacing w:beforeLines="0" w:afterLines="0"/>
        <w:ind w:left="0" w:leftChars="0" w:right="0" w:rightChars="0" w:firstLine="480" w:firstLineChars="200"/>
        <w:jc w:val="left"/>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根据作业区功能、预测吞吐量及建港条件，作业区规划500t（结构兼顾1000t）级泊位11个（其中危险品泊位1个），年通过能力270万吨；码头占用岸线长度900</w:t>
      </w:r>
      <w:r>
        <w:rPr>
          <w:rFonts w:hint="eastAsia" w:ascii="Times New Roman" w:cs="Times New Roman"/>
          <w:color w:val="auto"/>
          <w:kern w:val="2"/>
          <w:sz w:val="24"/>
          <w:szCs w:val="24"/>
          <w:shd w:val="clear" w:color="auto" w:fill="auto"/>
          <w:lang w:val="en-US" w:eastAsia="zh-CN" w:bidi="ar-SA"/>
        </w:rPr>
        <w:t>m</w:t>
      </w:r>
      <w:r>
        <w:rPr>
          <w:rFonts w:hint="eastAsia" w:ascii="Times New Roman" w:hAnsi="Times New Roman" w:eastAsia="宋体" w:cs="Times New Roman"/>
          <w:color w:val="auto"/>
          <w:kern w:val="2"/>
          <w:sz w:val="24"/>
          <w:szCs w:val="24"/>
          <w:shd w:val="clear" w:color="auto" w:fill="auto"/>
          <w:lang w:val="en-US" w:eastAsia="zh-CN" w:bidi="ar-SA"/>
        </w:rPr>
        <w:t>，泊位采用顺岸式布置，堤前布置临时堆场；作业区疏港道路与G105道路相连。</w:t>
      </w:r>
    </w:p>
    <w:p>
      <w:pPr>
        <w:pStyle w:val="64"/>
        <w:keepNext w:val="0"/>
        <w:keepLines w:val="0"/>
        <w:pageBreakBefore w:val="0"/>
        <w:widowControl w:val="0"/>
        <w:tabs>
          <w:tab w:val="left" w:pos="4320"/>
        </w:tabs>
        <w:kinsoku/>
        <w:wordWrap/>
        <w:overflowPunct/>
        <w:topLinePunct w:val="0"/>
        <w:autoSpaceDE/>
        <w:autoSpaceDN/>
        <w:bidi w:val="0"/>
        <w:spacing w:beforeLines="0" w:afterLines="0"/>
        <w:ind w:left="0" w:leftChars="0" w:right="0" w:rightChars="0" w:firstLine="480" w:firstLineChars="200"/>
        <w:jc w:val="left"/>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3.泊位类型、等级</w:t>
      </w:r>
    </w:p>
    <w:p>
      <w:pPr>
        <w:pStyle w:val="64"/>
        <w:keepNext w:val="0"/>
        <w:keepLines w:val="0"/>
        <w:pageBreakBefore w:val="0"/>
        <w:widowControl w:val="0"/>
        <w:tabs>
          <w:tab w:val="left" w:pos="4320"/>
        </w:tabs>
        <w:kinsoku/>
        <w:wordWrap/>
        <w:overflowPunct/>
        <w:topLinePunct w:val="0"/>
        <w:autoSpaceDE/>
        <w:autoSpaceDN/>
        <w:bidi w:val="0"/>
        <w:spacing w:beforeLines="0" w:afterLines="0"/>
        <w:ind w:left="0" w:leftChars="0" w:right="0" w:rightChars="0" w:firstLine="480" w:firstLineChars="200"/>
        <w:jc w:val="left"/>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根据港口规划，作业区规划500t（结构兼顾1000t）级泊位11个（其中危险品泊位1个），占用岸线 900</w:t>
      </w:r>
      <w:r>
        <w:rPr>
          <w:rFonts w:hint="eastAsia" w:ascii="Times New Roman" w:cs="Times New Roman"/>
          <w:color w:val="auto"/>
          <w:kern w:val="2"/>
          <w:sz w:val="24"/>
          <w:szCs w:val="24"/>
          <w:shd w:val="clear" w:color="auto" w:fill="auto"/>
          <w:lang w:val="en-US" w:eastAsia="zh-CN" w:bidi="ar-SA"/>
        </w:rPr>
        <w:t>m</w:t>
      </w:r>
      <w:r>
        <w:rPr>
          <w:rFonts w:hint="eastAsia" w:ascii="Times New Roman" w:hAnsi="Times New Roman" w:eastAsia="宋体" w:cs="Times New Roman"/>
          <w:color w:val="auto"/>
          <w:kern w:val="2"/>
          <w:sz w:val="24"/>
          <w:szCs w:val="24"/>
          <w:shd w:val="clear" w:color="auto" w:fill="auto"/>
          <w:lang w:val="en-US" w:eastAsia="zh-CN" w:bidi="ar-SA"/>
        </w:rPr>
        <w:t>。</w:t>
      </w:r>
    </w:p>
    <w:p>
      <w:pPr>
        <w:pStyle w:val="64"/>
        <w:keepNext w:val="0"/>
        <w:keepLines w:val="0"/>
        <w:pageBreakBefore w:val="0"/>
        <w:widowControl w:val="0"/>
        <w:tabs>
          <w:tab w:val="left" w:pos="4320"/>
        </w:tabs>
        <w:kinsoku/>
        <w:wordWrap/>
        <w:overflowPunct/>
        <w:topLinePunct w:val="0"/>
        <w:autoSpaceDE/>
        <w:autoSpaceDN/>
        <w:bidi w:val="0"/>
        <w:spacing w:beforeLines="0" w:afterLines="0"/>
        <w:ind w:left="0" w:leftChars="0" w:right="0" w:rightChars="0" w:firstLine="482" w:firstLineChars="200"/>
        <w:jc w:val="left"/>
        <w:rPr>
          <w:rFonts w:hint="eastAsia" w:ascii="Times New Roman" w:hAnsi="Times New Roman" w:eastAsia="宋体" w:cs="Times New Roman"/>
          <w:b/>
          <w:bCs/>
          <w:color w:val="auto"/>
          <w:kern w:val="2"/>
          <w:sz w:val="24"/>
          <w:szCs w:val="24"/>
          <w:shd w:val="clear" w:color="auto" w:fill="auto"/>
          <w:lang w:val="en-US" w:eastAsia="zh-CN" w:bidi="ar-SA"/>
        </w:rPr>
      </w:pPr>
      <w:r>
        <w:rPr>
          <w:rFonts w:hint="eastAsia" w:ascii="Times New Roman" w:hAnsi="Times New Roman" w:eastAsia="宋体" w:cs="Times New Roman"/>
          <w:b/>
          <w:bCs/>
          <w:color w:val="auto"/>
          <w:kern w:val="2"/>
          <w:sz w:val="24"/>
          <w:szCs w:val="24"/>
          <w:shd w:val="clear" w:color="auto" w:fill="auto"/>
          <w:lang w:val="en-US" w:eastAsia="zh-CN" w:bidi="ar-SA"/>
        </w:rPr>
        <w:t>4.建设项目与港口规划的符合性</w:t>
      </w:r>
    </w:p>
    <w:p>
      <w:pPr>
        <w:pStyle w:val="64"/>
        <w:keepNext w:val="0"/>
        <w:keepLines w:val="0"/>
        <w:pageBreakBefore w:val="0"/>
        <w:widowControl w:val="0"/>
        <w:tabs>
          <w:tab w:val="left" w:pos="4320"/>
        </w:tabs>
        <w:kinsoku/>
        <w:wordWrap/>
        <w:overflowPunct/>
        <w:topLinePunct w:val="0"/>
        <w:autoSpaceDE/>
        <w:autoSpaceDN/>
        <w:bidi w:val="0"/>
        <w:spacing w:beforeLines="0" w:afterLines="0"/>
        <w:ind w:left="0" w:leftChars="0" w:right="0" w:rightChars="0" w:firstLine="480" w:firstLineChars="200"/>
        <w:jc w:val="left"/>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根据现场情况及港口规划情况，本工程建设的3个泊位布置在规划货运港口岸线最下游侧，共使用岸线长度20</w:t>
      </w:r>
      <w:r>
        <w:rPr>
          <w:rFonts w:hint="eastAsia" w:ascii="Times New Roman" w:cs="Times New Roman"/>
          <w:color w:val="auto"/>
          <w:kern w:val="2"/>
          <w:sz w:val="24"/>
          <w:szCs w:val="24"/>
          <w:shd w:val="clear" w:color="auto" w:fill="auto"/>
          <w:lang w:val="en-US" w:eastAsia="zh-CN" w:bidi="ar-SA"/>
        </w:rPr>
        <w:t>m</w:t>
      </w:r>
      <w:r>
        <w:rPr>
          <w:rFonts w:hint="eastAsia" w:ascii="Times New Roman" w:hAnsi="Times New Roman" w:eastAsia="宋体" w:cs="Times New Roman"/>
          <w:color w:val="auto"/>
          <w:kern w:val="2"/>
          <w:sz w:val="24"/>
          <w:szCs w:val="24"/>
          <w:shd w:val="clear" w:color="auto" w:fill="auto"/>
          <w:lang w:val="en-US" w:eastAsia="zh-CN" w:bidi="ar-SA"/>
        </w:rPr>
        <w:t>，本工程在岸线性质、岸线长度和功能定位等方面与《阜阳港总体规划（调整）》相符。泊位等级方面与港口规划稍有出入，主要考虑到耿楼船闸现状过闸平均吨位842吨、内河船舶大型化发展趋势及规划航道常胜沟～沫河口段暂按三级标准控制等因素，拟建工程泊位等级按1000吨级船舶靠泊考虑较为合理。</w:t>
      </w:r>
    </w:p>
    <w:p>
      <w:pPr>
        <w:pStyle w:val="64"/>
        <w:keepNext w:val="0"/>
        <w:keepLines w:val="0"/>
        <w:pageBreakBefore w:val="0"/>
        <w:widowControl w:val="0"/>
        <w:tabs>
          <w:tab w:val="left" w:pos="4320"/>
        </w:tabs>
        <w:kinsoku/>
        <w:wordWrap/>
        <w:overflowPunct/>
        <w:topLinePunct w:val="0"/>
        <w:autoSpaceDE/>
        <w:autoSpaceDN/>
        <w:bidi w:val="0"/>
        <w:spacing w:beforeLines="0" w:afterLines="0"/>
        <w:ind w:left="0" w:leftChars="0" w:right="0" w:rightChars="0" w:firstLine="482" w:firstLineChars="200"/>
        <w:jc w:val="left"/>
        <w:rPr>
          <w:rFonts w:hint="eastAsia" w:ascii="Times New Roman" w:hAnsi="Times New Roman" w:eastAsia="宋体" w:cs="Times New Roman"/>
          <w:b/>
          <w:bCs/>
          <w:color w:val="auto"/>
          <w:kern w:val="2"/>
          <w:sz w:val="24"/>
          <w:szCs w:val="24"/>
          <w:shd w:val="clear" w:color="auto" w:fill="auto"/>
          <w:lang w:val="en-US" w:eastAsia="zh-CN" w:bidi="ar-SA"/>
        </w:rPr>
      </w:pPr>
      <w:r>
        <w:rPr>
          <w:rFonts w:hint="eastAsia" w:ascii="Times New Roman" w:hAnsi="Times New Roman" w:eastAsia="宋体" w:cs="Times New Roman"/>
          <w:b/>
          <w:bCs/>
          <w:color w:val="auto"/>
          <w:kern w:val="2"/>
          <w:sz w:val="24"/>
          <w:szCs w:val="24"/>
          <w:shd w:val="clear" w:color="auto" w:fill="auto"/>
          <w:lang w:val="en-US" w:eastAsia="zh-CN" w:bidi="ar-SA"/>
        </w:rPr>
        <w:t>5.建设项目对港口规划实施的影响分析</w:t>
      </w:r>
    </w:p>
    <w:p>
      <w:pPr>
        <w:pStyle w:val="64"/>
        <w:keepNext w:val="0"/>
        <w:keepLines w:val="0"/>
        <w:pageBreakBefore w:val="0"/>
        <w:widowControl w:val="0"/>
        <w:tabs>
          <w:tab w:val="left" w:pos="4320"/>
        </w:tabs>
        <w:kinsoku/>
        <w:wordWrap/>
        <w:overflowPunct/>
        <w:topLinePunct w:val="0"/>
        <w:autoSpaceDE/>
        <w:autoSpaceDN/>
        <w:bidi w:val="0"/>
        <w:spacing w:beforeLines="0" w:afterLines="0"/>
        <w:ind w:left="0" w:leftChars="0" w:right="0" w:rightChars="0" w:firstLine="480" w:firstLineChars="200"/>
        <w:jc w:val="left"/>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拟建工程建设3个泊位，位于规划货运岸线最下游侧，上游仍可布置码头，对后续码头建设影响较小。因此，本项目的建设是可以实现岸线资源合理性开发，不影响相邻岸线今后开发利用，对总体规划后续的执行没有影响。</w:t>
      </w:r>
    </w:p>
    <w:p>
      <w:pPr>
        <w:pStyle w:val="64"/>
        <w:keepNext w:val="0"/>
        <w:keepLines w:val="0"/>
        <w:pageBreakBefore w:val="0"/>
        <w:widowControl w:val="0"/>
        <w:tabs>
          <w:tab w:val="left" w:pos="4320"/>
        </w:tabs>
        <w:kinsoku/>
        <w:wordWrap/>
        <w:overflowPunct/>
        <w:topLinePunct w:val="0"/>
        <w:autoSpaceDE/>
        <w:autoSpaceDN/>
        <w:bidi w:val="0"/>
        <w:spacing w:beforeLines="0" w:afterLines="0"/>
        <w:ind w:left="0" w:leftChars="0" w:right="0" w:rightChars="0" w:firstLine="482" w:firstLineChars="200"/>
        <w:jc w:val="left"/>
        <w:rPr>
          <w:rFonts w:hint="eastAsia" w:ascii="Times New Roman" w:cs="Times New Roman"/>
          <w:b w:val="0"/>
          <w:bCs/>
          <w:color w:val="auto"/>
          <w:sz w:val="24"/>
          <w:szCs w:val="24"/>
          <w:shd w:val="clear" w:color="auto" w:fill="auto"/>
          <w:lang w:val="en-US" w:eastAsia="zh-CN"/>
        </w:rPr>
      </w:pPr>
      <w:r>
        <w:rPr>
          <w:rFonts w:hint="eastAsia" w:ascii="Times New Roman" w:cs="Times New Roman"/>
          <w:b/>
          <w:bCs w:val="0"/>
          <w:color w:val="auto"/>
          <w:sz w:val="24"/>
          <w:szCs w:val="24"/>
          <w:shd w:val="clear" w:color="auto" w:fill="auto"/>
          <w:lang w:val="en-US" w:eastAsia="zh-CN"/>
        </w:rPr>
        <w:t>根据阜阳市港航管理局“关于太和县鸿泰港口服务有限公司码头工程使用港口岸线选址意见的函”</w:t>
      </w:r>
      <w:r>
        <w:rPr>
          <w:rFonts w:hint="eastAsia" w:ascii="Times New Roman" w:cs="Times New Roman"/>
          <w:b/>
          <w:bCs w:val="0"/>
          <w:color w:val="auto"/>
          <w:sz w:val="24"/>
          <w:szCs w:val="24"/>
          <w:shd w:val="clear" w:color="auto" w:fill="auto"/>
          <w:lang w:eastAsia="zh-CN"/>
        </w:rPr>
        <w:t>，</w:t>
      </w:r>
      <w:r>
        <w:rPr>
          <w:rFonts w:hint="eastAsia" w:ascii="Times New Roman" w:cs="Times New Roman"/>
          <w:b/>
          <w:bCs w:val="0"/>
          <w:color w:val="auto"/>
          <w:sz w:val="24"/>
          <w:szCs w:val="24"/>
          <w:shd w:val="clear" w:color="auto" w:fill="auto"/>
          <w:lang w:val="en-US" w:eastAsia="zh-CN"/>
        </w:rPr>
        <w:t>原则同意建设。</w:t>
      </w:r>
      <w:r>
        <w:rPr>
          <w:rFonts w:hint="eastAsia" w:ascii="Times New Roman" w:cs="Times New Roman"/>
          <w:b w:val="0"/>
          <w:bCs/>
          <w:color w:val="auto"/>
          <w:sz w:val="24"/>
          <w:szCs w:val="24"/>
          <w:shd w:val="clear" w:color="auto" w:fill="auto"/>
          <w:lang w:val="en-US" w:eastAsia="zh-CN"/>
        </w:rPr>
        <w:t>（详见附件3）</w:t>
      </w:r>
    </w:p>
    <w:p>
      <w:pPr>
        <w:pStyle w:val="5"/>
        <w:rPr>
          <w:rFonts w:hint="eastAsia" w:ascii="Times New Roman" w:hAnsi="Times New Roman" w:eastAsia="宋体" w:cs="Times New Roman"/>
          <w:color w:val="auto"/>
          <w:highlight w:val="none"/>
          <w:shd w:val="clear" w:color="auto" w:fill="auto"/>
          <w:lang w:val="en-US" w:eastAsia="zh-CN"/>
        </w:rPr>
      </w:pPr>
      <w:r>
        <w:rPr>
          <w:rFonts w:hint="eastAsia" w:ascii="Times New Roman" w:hAnsi="Times New Roman" w:eastAsia="宋体" w:cs="Times New Roman"/>
          <w:color w:val="auto"/>
          <w:highlight w:val="none"/>
          <w:shd w:val="clear" w:color="auto" w:fill="auto"/>
          <w:lang w:val="en-US" w:eastAsia="zh-CN"/>
        </w:rPr>
        <w:t>1.6.</w:t>
      </w:r>
      <w:r>
        <w:rPr>
          <w:rFonts w:hint="eastAsia" w:cs="Times New Roman"/>
          <w:color w:val="auto"/>
          <w:highlight w:val="none"/>
          <w:shd w:val="clear" w:color="auto" w:fill="auto"/>
          <w:lang w:val="en-US" w:eastAsia="zh-CN"/>
        </w:rPr>
        <w:t>5</w:t>
      </w:r>
      <w:r>
        <w:rPr>
          <w:rFonts w:hint="eastAsia" w:ascii="Times New Roman" w:hAnsi="Times New Roman" w:eastAsia="宋体" w:cs="Times New Roman"/>
          <w:color w:val="auto"/>
          <w:highlight w:val="none"/>
          <w:shd w:val="clear" w:color="auto" w:fill="auto"/>
          <w:lang w:val="en-US" w:eastAsia="zh-CN"/>
        </w:rPr>
        <w:t xml:space="preserve"> 与《</w:t>
      </w:r>
      <w:r>
        <w:rPr>
          <w:rFonts w:hint="eastAsia" w:cs="Times New Roman"/>
          <w:color w:val="auto"/>
          <w:highlight w:val="none"/>
          <w:shd w:val="clear" w:color="auto" w:fill="auto"/>
          <w:lang w:val="en-US" w:eastAsia="zh-CN"/>
        </w:rPr>
        <w:t>阜阳</w:t>
      </w:r>
      <w:r>
        <w:rPr>
          <w:rFonts w:hint="eastAsia" w:ascii="Times New Roman" w:hAnsi="Times New Roman" w:eastAsia="宋体" w:cs="Times New Roman"/>
          <w:color w:val="auto"/>
          <w:highlight w:val="none"/>
          <w:shd w:val="clear" w:color="auto" w:fill="auto"/>
          <w:lang w:val="en-US" w:eastAsia="zh-CN"/>
        </w:rPr>
        <w:t>港总体规划（调整）环境影响报告书》及其审查意见的相符性</w:t>
      </w:r>
    </w:p>
    <w:p>
      <w:pPr>
        <w:pStyle w:val="2"/>
        <w:rPr>
          <w:rFonts w:hint="eastAsia" w:eastAsia="宋体"/>
          <w:color w:val="auto"/>
          <w:shd w:val="clear" w:color="auto" w:fill="auto"/>
          <w:lang w:val="en-US" w:eastAsia="zh-CN"/>
        </w:rPr>
      </w:pPr>
      <w:r>
        <w:rPr>
          <w:rFonts w:hint="eastAsia" w:cs="Times New Roman"/>
          <w:color w:val="auto"/>
          <w:highlight w:val="none"/>
          <w:shd w:val="clear" w:color="auto" w:fill="auto"/>
          <w:lang w:val="en-US" w:eastAsia="zh-CN"/>
        </w:rPr>
        <w:t>2017年9月24日，阜阳市环保局出具了</w:t>
      </w:r>
      <w:r>
        <w:rPr>
          <w:rFonts w:hint="eastAsia"/>
          <w:color w:val="auto"/>
          <w:shd w:val="clear" w:color="auto" w:fill="auto"/>
        </w:rPr>
        <w:t>《</w:t>
      </w:r>
      <w:r>
        <w:rPr>
          <w:rFonts w:hint="eastAsia"/>
          <w:color w:val="auto"/>
          <w:shd w:val="clear" w:color="auto" w:fill="auto"/>
          <w:lang w:eastAsia="zh-CN"/>
        </w:rPr>
        <w:t>关于</w:t>
      </w:r>
      <w:r>
        <w:rPr>
          <w:rFonts w:hint="eastAsia"/>
          <w:color w:val="auto"/>
          <w:shd w:val="clear" w:color="auto" w:fill="auto"/>
          <w:lang w:val="en-US" w:eastAsia="zh-CN"/>
        </w:rPr>
        <w:t>阜阳港总体规划（调整）环境影响报告书审查意见的函</w:t>
      </w:r>
      <w:r>
        <w:rPr>
          <w:rFonts w:hint="eastAsia"/>
          <w:color w:val="auto"/>
          <w:shd w:val="clear" w:color="auto" w:fill="auto"/>
        </w:rPr>
        <w:t>》</w:t>
      </w:r>
      <w:r>
        <w:rPr>
          <w:rFonts w:hint="eastAsia"/>
          <w:color w:val="auto"/>
          <w:shd w:val="clear" w:color="auto" w:fill="auto"/>
          <w:lang w:eastAsia="zh-CN"/>
        </w:rPr>
        <w:t>，审查结论：《报告书》编制较规范，采用的预测和分析方法基本合适，提出的预防和减缓措施基本可行，评价结论总体可信，可用于指导港口总体规划的实施。</w:t>
      </w:r>
    </w:p>
    <w:p>
      <w:pPr>
        <w:bidi w:val="0"/>
        <w:rPr>
          <w:rFonts w:hint="eastAsia"/>
          <w:color w:val="auto"/>
          <w:shd w:val="clear" w:color="auto" w:fill="auto"/>
          <w:lang w:val="en-US" w:eastAsia="zh-CN"/>
        </w:rPr>
      </w:pPr>
      <w:r>
        <w:rPr>
          <w:rFonts w:hint="eastAsia"/>
          <w:color w:val="auto"/>
          <w:shd w:val="clear" w:color="auto" w:fill="auto"/>
        </w:rPr>
        <w:t>本项目与《</w:t>
      </w:r>
      <w:r>
        <w:rPr>
          <w:rFonts w:hint="eastAsia"/>
          <w:color w:val="auto"/>
          <w:shd w:val="clear" w:color="auto" w:fill="auto"/>
          <w:lang w:val="en-US" w:eastAsia="zh-CN"/>
        </w:rPr>
        <w:t>阜阳港总体规划（调整）环境影响报告书</w:t>
      </w:r>
      <w:r>
        <w:rPr>
          <w:rFonts w:hint="eastAsia"/>
          <w:color w:val="auto"/>
          <w:shd w:val="clear" w:color="auto" w:fill="auto"/>
        </w:rPr>
        <w:t>》及其审查意见中的相关环保要求相符性情况见表</w:t>
      </w:r>
      <w:r>
        <w:rPr>
          <w:rFonts w:hint="eastAsia"/>
          <w:color w:val="auto"/>
          <w:shd w:val="clear" w:color="auto" w:fill="auto"/>
          <w:lang w:val="en-US" w:eastAsia="zh-CN"/>
        </w:rPr>
        <w:t>1.6</w:t>
      </w:r>
      <w:r>
        <w:rPr>
          <w:rFonts w:hint="default"/>
          <w:color w:val="auto"/>
          <w:shd w:val="clear" w:color="auto" w:fill="auto"/>
        </w:rPr>
        <w:t>-1</w:t>
      </w:r>
      <w:r>
        <w:rPr>
          <w:rFonts w:hint="eastAsia"/>
          <w:color w:val="auto"/>
          <w:shd w:val="clear" w:color="auto" w:fill="auto"/>
        </w:rPr>
        <w:t>。</w:t>
      </w:r>
    </w:p>
    <w:p>
      <w:pPr>
        <w:pStyle w:val="89"/>
        <w:rPr>
          <w:rFonts w:hint="default"/>
          <w:color w:val="auto"/>
          <w:shd w:val="clear" w:color="auto" w:fill="auto"/>
          <w:lang w:val="en-US" w:eastAsia="zh-CN"/>
        </w:rPr>
      </w:pPr>
      <w:r>
        <w:rPr>
          <w:rFonts w:hint="eastAsia"/>
          <w:color w:val="auto"/>
          <w:shd w:val="clear" w:color="auto" w:fill="auto"/>
          <w:lang w:val="en-US" w:eastAsia="zh-CN"/>
        </w:rPr>
        <w:t>表1.6-1  本项目与《阜阳港总体规划（调整）环境影响报告书》及其审查意见相符性一览表</w:t>
      </w:r>
    </w:p>
    <w:tbl>
      <w:tblPr>
        <w:tblStyle w:val="27"/>
        <w:tblW w:w="8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8"/>
        <w:gridCol w:w="4358"/>
        <w:gridCol w:w="3270"/>
        <w:gridCol w:w="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dxa"/>
            <w:vAlign w:val="center"/>
          </w:tcPr>
          <w:p>
            <w:pPr>
              <w:pStyle w:val="2"/>
              <w:keepNext w:val="0"/>
              <w:keepLines w:val="0"/>
              <w:pageBreakBefore w:val="0"/>
              <w:widowControl w:val="0"/>
              <w:kinsoku/>
              <w:wordWrap/>
              <w:overflowPunct/>
              <w:topLinePunct w:val="0"/>
              <w:autoSpaceDE/>
              <w:autoSpaceDN/>
              <w:bidi w:val="0"/>
              <w:adjustRightInd/>
              <w:snapToGrid/>
              <w:spacing w:line="288" w:lineRule="auto"/>
              <w:ind w:left="0" w:leftChars="0" w:firstLine="0" w:firstLineChars="0"/>
              <w:jc w:val="center"/>
              <w:textAlignment w:val="auto"/>
              <w:rPr>
                <w:rFonts w:hint="default"/>
                <w:color w:val="auto"/>
                <w:sz w:val="21"/>
                <w:szCs w:val="21"/>
                <w:shd w:val="clear" w:color="auto" w:fill="auto"/>
                <w:vertAlign w:val="baseline"/>
                <w:lang w:val="en-US" w:eastAsia="zh-CN"/>
              </w:rPr>
            </w:pPr>
            <w:r>
              <w:rPr>
                <w:rFonts w:hint="eastAsia"/>
                <w:color w:val="auto"/>
                <w:sz w:val="21"/>
                <w:szCs w:val="21"/>
                <w:shd w:val="clear" w:color="auto" w:fill="auto"/>
                <w:vertAlign w:val="baseline"/>
                <w:lang w:val="en-US" w:eastAsia="zh-CN"/>
              </w:rPr>
              <w:t>序号</w:t>
            </w:r>
          </w:p>
        </w:tc>
        <w:tc>
          <w:tcPr>
            <w:tcW w:w="4358" w:type="dxa"/>
            <w:vAlign w:val="center"/>
          </w:tcPr>
          <w:p>
            <w:pPr>
              <w:pStyle w:val="45"/>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shd w:val="clear" w:color="auto" w:fill="auto"/>
                <w:vertAlign w:val="baseline"/>
                <w:lang w:val="en-US" w:eastAsia="zh-CN"/>
              </w:rPr>
            </w:pPr>
            <w:r>
              <w:rPr>
                <w:rFonts w:hint="eastAsia"/>
                <w:color w:val="auto"/>
                <w:shd w:val="clear" w:color="auto" w:fill="auto"/>
                <w:lang w:val="en-US" w:eastAsia="zh-CN"/>
              </w:rPr>
              <w:t>规划环评审查见</w:t>
            </w:r>
          </w:p>
        </w:tc>
        <w:tc>
          <w:tcPr>
            <w:tcW w:w="3270" w:type="dxa"/>
            <w:vAlign w:val="center"/>
          </w:tcPr>
          <w:p>
            <w:pPr>
              <w:pStyle w:val="45"/>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shd w:val="clear" w:color="auto" w:fill="auto"/>
                <w:vertAlign w:val="baseline"/>
                <w:lang w:val="en-US" w:eastAsia="zh-CN"/>
              </w:rPr>
            </w:pPr>
            <w:r>
              <w:rPr>
                <w:rFonts w:hint="eastAsia"/>
                <w:color w:val="auto"/>
                <w:shd w:val="clear" w:color="auto" w:fill="auto"/>
                <w:lang w:val="en-US" w:eastAsia="zh-CN"/>
              </w:rPr>
              <w:t>本项目拟采取措施</w:t>
            </w:r>
          </w:p>
        </w:tc>
        <w:tc>
          <w:tcPr>
            <w:tcW w:w="910" w:type="dxa"/>
            <w:vAlign w:val="center"/>
          </w:tcPr>
          <w:p>
            <w:pPr>
              <w:pStyle w:val="45"/>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shd w:val="clear" w:color="auto" w:fill="auto"/>
                <w:vertAlign w:val="baseline"/>
                <w:lang w:val="en-US" w:eastAsia="zh-CN"/>
              </w:rPr>
            </w:pPr>
            <w:r>
              <w:rPr>
                <w:rFonts w:hint="eastAsia"/>
                <w:color w:val="auto"/>
                <w:shd w:val="clear" w:color="auto" w:fill="auto"/>
                <w:lang w:val="en-US" w:eastAsia="zh-CN"/>
              </w:rPr>
              <w:t>相符性分析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dxa"/>
            <w:vAlign w:val="center"/>
          </w:tcPr>
          <w:p>
            <w:pPr>
              <w:pStyle w:val="2"/>
              <w:keepNext w:val="0"/>
              <w:keepLines w:val="0"/>
              <w:pageBreakBefore w:val="0"/>
              <w:widowControl w:val="0"/>
              <w:kinsoku/>
              <w:wordWrap/>
              <w:overflowPunct/>
              <w:topLinePunct w:val="0"/>
              <w:autoSpaceDE/>
              <w:autoSpaceDN/>
              <w:bidi w:val="0"/>
              <w:adjustRightInd/>
              <w:snapToGrid/>
              <w:spacing w:line="288" w:lineRule="auto"/>
              <w:ind w:left="0" w:leftChars="0" w:firstLine="0" w:firstLineChars="0"/>
              <w:jc w:val="center"/>
              <w:textAlignment w:val="auto"/>
              <w:rPr>
                <w:rFonts w:hint="default" w:ascii="Times New Roman" w:hAnsi="Times New Roman" w:eastAsia="宋体" w:cs="Times New Roman"/>
                <w:color w:val="auto"/>
                <w:sz w:val="21"/>
                <w:szCs w:val="21"/>
                <w:shd w:val="clear" w:color="auto" w:fill="auto"/>
                <w:vertAlign w:val="baseline"/>
                <w:lang w:val="en-US" w:eastAsia="zh-CN"/>
              </w:rPr>
            </w:pPr>
            <w:r>
              <w:rPr>
                <w:rFonts w:hint="eastAsia" w:ascii="Times New Roman" w:hAnsi="Times New Roman" w:eastAsia="宋体" w:cs="Times New Roman"/>
                <w:color w:val="auto"/>
                <w:sz w:val="21"/>
                <w:szCs w:val="21"/>
                <w:shd w:val="clear" w:color="auto" w:fill="auto"/>
                <w:vertAlign w:val="baseline"/>
                <w:lang w:val="en-US" w:eastAsia="zh-CN"/>
              </w:rPr>
              <w:t>1</w:t>
            </w:r>
          </w:p>
        </w:tc>
        <w:tc>
          <w:tcPr>
            <w:tcW w:w="4358" w:type="dxa"/>
            <w:vAlign w:val="center"/>
          </w:tcPr>
          <w:p>
            <w:pPr>
              <w:pStyle w:val="2"/>
              <w:keepNext w:val="0"/>
              <w:keepLines w:val="0"/>
              <w:pageBreakBefore w:val="0"/>
              <w:widowControl w:val="0"/>
              <w:kinsoku/>
              <w:wordWrap/>
              <w:overflowPunct/>
              <w:topLinePunct w:val="0"/>
              <w:autoSpaceDE/>
              <w:autoSpaceDN/>
              <w:bidi w:val="0"/>
              <w:adjustRightInd/>
              <w:snapToGrid/>
              <w:spacing w:line="288" w:lineRule="auto"/>
              <w:ind w:left="0" w:leftChars="0" w:firstLine="0" w:firstLineChars="0"/>
              <w:jc w:val="center"/>
              <w:textAlignment w:val="auto"/>
              <w:rPr>
                <w:rFonts w:hint="default" w:ascii="Times New Roman" w:hAnsi="Times New Roman" w:eastAsia="宋体" w:cs="Times New Roman"/>
                <w:color w:val="auto"/>
                <w:sz w:val="21"/>
                <w:szCs w:val="21"/>
                <w:shd w:val="clear" w:color="auto" w:fill="auto"/>
                <w:vertAlign w:val="baseline"/>
                <w:lang w:val="en-US" w:eastAsia="zh-CN"/>
              </w:rPr>
            </w:pPr>
            <w:r>
              <w:rPr>
                <w:rFonts w:hint="eastAsia" w:ascii="Times New Roman" w:hAnsi="Times New Roman" w:eastAsia="宋体" w:cs="Times New Roman"/>
                <w:color w:val="auto"/>
                <w:sz w:val="21"/>
                <w:szCs w:val="21"/>
                <w:shd w:val="clear" w:color="auto" w:fill="auto"/>
                <w:vertAlign w:val="baseline"/>
                <w:lang w:val="en-US" w:eastAsia="zh-CN"/>
              </w:rPr>
              <w:t>坚持资源节约、集约利用原则，提高岸线利用效率。优化港区布局，整合新老港区功能，集中布置散货和危化品运输作业区。</w:t>
            </w:r>
          </w:p>
        </w:tc>
        <w:tc>
          <w:tcPr>
            <w:tcW w:w="3270" w:type="dxa"/>
            <w:vAlign w:val="center"/>
          </w:tcPr>
          <w:p>
            <w:pPr>
              <w:pStyle w:val="2"/>
              <w:keepNext w:val="0"/>
              <w:keepLines w:val="0"/>
              <w:pageBreakBefore w:val="0"/>
              <w:widowControl w:val="0"/>
              <w:kinsoku/>
              <w:wordWrap/>
              <w:overflowPunct/>
              <w:topLinePunct w:val="0"/>
              <w:autoSpaceDE/>
              <w:autoSpaceDN/>
              <w:bidi w:val="0"/>
              <w:adjustRightInd/>
              <w:snapToGrid/>
              <w:spacing w:line="288" w:lineRule="auto"/>
              <w:ind w:left="0" w:leftChars="0" w:firstLine="0" w:firstLineChars="0"/>
              <w:jc w:val="center"/>
              <w:textAlignment w:val="auto"/>
              <w:rPr>
                <w:rFonts w:hint="default" w:ascii="Times New Roman" w:hAnsi="Times New Roman" w:eastAsia="宋体" w:cs="Times New Roman"/>
                <w:color w:val="auto"/>
                <w:sz w:val="21"/>
                <w:szCs w:val="21"/>
                <w:shd w:val="clear" w:color="auto" w:fill="auto"/>
                <w:vertAlign w:val="baseline"/>
                <w:lang w:val="en-US" w:eastAsia="zh-CN"/>
              </w:rPr>
            </w:pPr>
            <w:r>
              <w:rPr>
                <w:rFonts w:hint="eastAsia" w:cs="Times New Roman"/>
                <w:color w:val="auto"/>
                <w:sz w:val="21"/>
                <w:szCs w:val="21"/>
                <w:shd w:val="clear" w:color="auto" w:fill="auto"/>
                <w:vertAlign w:val="baseline"/>
                <w:lang w:val="en-US" w:eastAsia="zh-CN"/>
              </w:rPr>
              <w:t>本工程</w:t>
            </w:r>
            <w:r>
              <w:rPr>
                <w:rFonts w:hint="eastAsia" w:ascii="Times New Roman" w:hAnsi="Times New Roman" w:eastAsia="宋体" w:cs="Times New Roman"/>
                <w:color w:val="auto"/>
                <w:sz w:val="21"/>
                <w:szCs w:val="21"/>
                <w:shd w:val="clear" w:color="auto" w:fill="auto"/>
                <w:vertAlign w:val="baseline"/>
                <w:lang w:val="en-US" w:eastAsia="zh-CN"/>
              </w:rPr>
              <w:t>位于</w:t>
            </w:r>
            <w:r>
              <w:rPr>
                <w:rFonts w:hint="eastAsia" w:cs="Times New Roman"/>
                <w:color w:val="auto"/>
                <w:sz w:val="21"/>
                <w:szCs w:val="21"/>
                <w:shd w:val="clear" w:color="auto" w:fill="auto"/>
                <w:vertAlign w:val="baseline"/>
                <w:lang w:val="en-US" w:eastAsia="zh-CN"/>
              </w:rPr>
              <w:t>太和</w:t>
            </w:r>
            <w:r>
              <w:rPr>
                <w:rFonts w:hint="eastAsia" w:ascii="Times New Roman" w:hAnsi="Times New Roman" w:eastAsia="宋体" w:cs="Times New Roman"/>
                <w:color w:val="auto"/>
                <w:sz w:val="21"/>
                <w:szCs w:val="21"/>
                <w:shd w:val="clear" w:color="auto" w:fill="auto"/>
                <w:vertAlign w:val="baseline"/>
                <w:lang w:val="en-US" w:eastAsia="zh-CN"/>
              </w:rPr>
              <w:t>港区</w:t>
            </w:r>
            <w:r>
              <w:rPr>
                <w:rFonts w:hint="eastAsia" w:cs="Times New Roman"/>
                <w:color w:val="auto"/>
                <w:sz w:val="21"/>
                <w:szCs w:val="21"/>
                <w:shd w:val="clear" w:color="auto" w:fill="auto"/>
                <w:vertAlign w:val="baseline"/>
                <w:lang w:val="en-US" w:eastAsia="zh-CN"/>
              </w:rPr>
              <w:t>陶庙</w:t>
            </w:r>
            <w:r>
              <w:rPr>
                <w:rFonts w:hint="eastAsia" w:ascii="Times New Roman" w:hAnsi="Times New Roman" w:eastAsia="宋体" w:cs="Times New Roman"/>
                <w:color w:val="auto"/>
                <w:sz w:val="21"/>
                <w:szCs w:val="21"/>
                <w:shd w:val="clear" w:color="auto" w:fill="auto"/>
                <w:vertAlign w:val="baseline"/>
                <w:lang w:val="en-US" w:eastAsia="zh-CN"/>
              </w:rPr>
              <w:t>作业区，拟</w:t>
            </w:r>
            <w:r>
              <w:rPr>
                <w:rFonts w:hint="default" w:ascii="Times New Roman" w:hAnsi="Times New Roman" w:eastAsia="宋体" w:cs="Times New Roman"/>
                <w:color w:val="auto"/>
                <w:sz w:val="21"/>
                <w:szCs w:val="21"/>
                <w:shd w:val="clear" w:color="auto" w:fill="auto"/>
                <w:vertAlign w:val="baseline"/>
                <w:lang w:val="en-US" w:eastAsia="zh-CN"/>
              </w:rPr>
              <w:t>新建3个</w:t>
            </w:r>
            <w:r>
              <w:rPr>
                <w:rFonts w:hint="eastAsia" w:cs="Times New Roman"/>
                <w:color w:val="auto"/>
                <w:sz w:val="21"/>
                <w:szCs w:val="21"/>
                <w:shd w:val="clear" w:color="auto" w:fill="auto"/>
                <w:vertAlign w:val="baseline"/>
                <w:lang w:val="en-US" w:eastAsia="zh-CN"/>
              </w:rPr>
              <w:t>1000</w:t>
            </w:r>
            <w:r>
              <w:rPr>
                <w:rFonts w:hint="default" w:ascii="Times New Roman" w:hAnsi="Times New Roman" w:eastAsia="宋体" w:cs="Times New Roman"/>
                <w:color w:val="auto"/>
                <w:sz w:val="21"/>
                <w:szCs w:val="21"/>
                <w:shd w:val="clear" w:color="auto" w:fill="auto"/>
                <w:vertAlign w:val="baseline"/>
                <w:lang w:val="en-US" w:eastAsia="zh-CN"/>
              </w:rPr>
              <w:t>吨级散货泊位，共使用岸线长度</w:t>
            </w:r>
            <w:r>
              <w:rPr>
                <w:rFonts w:hint="eastAsia" w:cs="Times New Roman"/>
                <w:color w:val="auto"/>
                <w:sz w:val="21"/>
                <w:szCs w:val="21"/>
                <w:shd w:val="clear" w:color="auto" w:fill="auto"/>
                <w:vertAlign w:val="baseline"/>
                <w:lang w:val="en-US" w:eastAsia="zh-CN"/>
              </w:rPr>
              <w:t>220m，</w:t>
            </w:r>
            <w:r>
              <w:rPr>
                <w:rFonts w:hint="eastAsia" w:ascii="Times New Roman" w:hAnsi="Times New Roman" w:eastAsia="宋体" w:cs="Times New Roman"/>
                <w:color w:val="auto"/>
                <w:sz w:val="21"/>
                <w:szCs w:val="21"/>
                <w:shd w:val="clear" w:color="auto" w:fill="auto"/>
                <w:vertAlign w:val="baseline"/>
                <w:lang w:val="en-US" w:eastAsia="zh-CN"/>
              </w:rPr>
              <w:t>符合《</w:t>
            </w:r>
            <w:r>
              <w:rPr>
                <w:rFonts w:hint="eastAsia" w:cs="Times New Roman"/>
                <w:color w:val="auto"/>
                <w:sz w:val="21"/>
                <w:szCs w:val="21"/>
                <w:shd w:val="clear" w:color="auto" w:fill="auto"/>
                <w:vertAlign w:val="baseline"/>
                <w:lang w:val="en-US" w:eastAsia="zh-CN"/>
              </w:rPr>
              <w:t>阜阳</w:t>
            </w:r>
            <w:r>
              <w:rPr>
                <w:rFonts w:hint="eastAsia" w:ascii="Times New Roman" w:hAnsi="Times New Roman" w:eastAsia="宋体" w:cs="Times New Roman"/>
                <w:color w:val="auto"/>
                <w:sz w:val="21"/>
                <w:szCs w:val="21"/>
                <w:shd w:val="clear" w:color="auto" w:fill="auto"/>
                <w:vertAlign w:val="baseline"/>
                <w:lang w:val="en-US" w:eastAsia="zh-CN"/>
              </w:rPr>
              <w:t>港总体规划（调整）》；使用土地现状为建设用地，符合土地规划。</w:t>
            </w:r>
            <w:r>
              <w:rPr>
                <w:rFonts w:hint="eastAsia" w:cs="Times New Roman"/>
                <w:color w:val="auto"/>
                <w:sz w:val="21"/>
                <w:szCs w:val="21"/>
                <w:shd w:val="clear" w:color="auto" w:fill="auto"/>
                <w:vertAlign w:val="baseline"/>
                <w:lang w:val="en-US" w:eastAsia="zh-CN"/>
              </w:rPr>
              <w:t>体现了</w:t>
            </w:r>
            <w:r>
              <w:rPr>
                <w:rFonts w:hint="eastAsia" w:ascii="Times New Roman" w:hAnsi="Times New Roman" w:eastAsia="宋体" w:cs="Times New Roman"/>
                <w:color w:val="auto"/>
                <w:sz w:val="21"/>
                <w:szCs w:val="21"/>
                <w:shd w:val="clear" w:color="auto" w:fill="auto"/>
                <w:vertAlign w:val="baseline"/>
                <w:lang w:val="en-US" w:eastAsia="zh-CN"/>
              </w:rPr>
              <w:t>坚持环保优先、资源节约使用的原则，提高</w:t>
            </w:r>
            <w:r>
              <w:rPr>
                <w:rFonts w:hint="eastAsia" w:cs="Times New Roman"/>
                <w:color w:val="auto"/>
                <w:sz w:val="21"/>
                <w:szCs w:val="21"/>
                <w:shd w:val="clear" w:color="auto" w:fill="auto"/>
                <w:vertAlign w:val="baseline"/>
                <w:lang w:val="en-US" w:eastAsia="zh-CN"/>
              </w:rPr>
              <w:t>了</w:t>
            </w:r>
            <w:r>
              <w:rPr>
                <w:rFonts w:hint="eastAsia" w:ascii="Times New Roman" w:hAnsi="Times New Roman" w:eastAsia="宋体" w:cs="Times New Roman"/>
                <w:color w:val="auto"/>
                <w:sz w:val="21"/>
                <w:szCs w:val="21"/>
                <w:shd w:val="clear" w:color="auto" w:fill="auto"/>
                <w:vertAlign w:val="baseline"/>
                <w:lang w:val="en-US" w:eastAsia="zh-CN"/>
              </w:rPr>
              <w:t>土地利用效率</w:t>
            </w:r>
            <w:r>
              <w:rPr>
                <w:rFonts w:hint="eastAsia" w:cs="Times New Roman"/>
                <w:color w:val="auto"/>
                <w:sz w:val="21"/>
                <w:szCs w:val="21"/>
                <w:shd w:val="clear" w:color="auto" w:fill="auto"/>
                <w:vertAlign w:val="baseline"/>
                <w:lang w:val="en-US" w:eastAsia="zh-CN"/>
              </w:rPr>
              <w:t>。</w:t>
            </w:r>
          </w:p>
        </w:tc>
        <w:tc>
          <w:tcPr>
            <w:tcW w:w="910" w:type="dxa"/>
            <w:vAlign w:val="center"/>
          </w:tcPr>
          <w:p>
            <w:pPr>
              <w:pStyle w:val="2"/>
              <w:keepNext w:val="0"/>
              <w:keepLines w:val="0"/>
              <w:pageBreakBefore w:val="0"/>
              <w:widowControl w:val="0"/>
              <w:kinsoku/>
              <w:wordWrap/>
              <w:overflowPunct/>
              <w:topLinePunct w:val="0"/>
              <w:autoSpaceDE/>
              <w:autoSpaceDN/>
              <w:bidi w:val="0"/>
              <w:adjustRightInd/>
              <w:snapToGrid/>
              <w:spacing w:line="288" w:lineRule="auto"/>
              <w:ind w:left="0" w:leftChars="0" w:firstLine="0" w:firstLineChars="0"/>
              <w:jc w:val="center"/>
              <w:textAlignment w:val="auto"/>
              <w:rPr>
                <w:rFonts w:hint="default" w:ascii="Times New Roman" w:hAnsi="Times New Roman" w:eastAsia="宋体" w:cs="Times New Roman"/>
                <w:color w:val="auto"/>
                <w:sz w:val="21"/>
                <w:szCs w:val="21"/>
                <w:shd w:val="clear" w:color="auto" w:fill="auto"/>
                <w:vertAlign w:val="baseline"/>
                <w:lang w:val="en-US" w:eastAsia="zh-CN"/>
              </w:rPr>
            </w:pPr>
            <w:r>
              <w:rPr>
                <w:rFonts w:hint="eastAsia" w:cs="Times New Roman"/>
                <w:color w:val="auto"/>
                <w:sz w:val="21"/>
                <w:szCs w:val="21"/>
                <w:shd w:val="clear" w:color="auto" w:fill="auto"/>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7" w:hRule="atLeast"/>
          <w:jc w:val="center"/>
        </w:trPr>
        <w:tc>
          <w:tcPr>
            <w:tcW w:w="408" w:type="dxa"/>
            <w:vAlign w:val="center"/>
          </w:tcPr>
          <w:p>
            <w:pPr>
              <w:pStyle w:val="2"/>
              <w:keepNext w:val="0"/>
              <w:keepLines w:val="0"/>
              <w:pageBreakBefore w:val="0"/>
              <w:widowControl w:val="0"/>
              <w:kinsoku/>
              <w:wordWrap/>
              <w:overflowPunct/>
              <w:topLinePunct w:val="0"/>
              <w:autoSpaceDE/>
              <w:autoSpaceDN/>
              <w:bidi w:val="0"/>
              <w:adjustRightInd/>
              <w:snapToGrid/>
              <w:spacing w:line="288" w:lineRule="auto"/>
              <w:ind w:left="0" w:leftChars="0" w:firstLine="0" w:firstLineChars="0"/>
              <w:jc w:val="center"/>
              <w:textAlignment w:val="auto"/>
              <w:rPr>
                <w:rFonts w:hint="default" w:ascii="Times New Roman" w:hAnsi="Times New Roman" w:eastAsia="宋体" w:cs="Times New Roman"/>
                <w:color w:val="0000FF"/>
                <w:sz w:val="21"/>
                <w:szCs w:val="21"/>
                <w:shd w:val="clear" w:color="auto" w:fill="auto"/>
                <w:vertAlign w:val="baseline"/>
                <w:lang w:val="en-US" w:eastAsia="zh-CN"/>
              </w:rPr>
            </w:pPr>
            <w:r>
              <w:rPr>
                <w:rFonts w:hint="eastAsia" w:ascii="Times New Roman" w:hAnsi="Times New Roman" w:eastAsia="宋体" w:cs="Times New Roman"/>
                <w:color w:val="0000FF"/>
                <w:sz w:val="21"/>
                <w:szCs w:val="21"/>
                <w:shd w:val="clear" w:color="auto" w:fill="auto"/>
                <w:vertAlign w:val="baseline"/>
                <w:lang w:val="en-US" w:eastAsia="zh-CN"/>
              </w:rPr>
              <w:t>2</w:t>
            </w:r>
          </w:p>
        </w:tc>
        <w:tc>
          <w:tcPr>
            <w:tcW w:w="4358" w:type="dxa"/>
            <w:vAlign w:val="center"/>
          </w:tcPr>
          <w:p>
            <w:pPr>
              <w:pStyle w:val="2"/>
              <w:keepNext w:val="0"/>
              <w:keepLines w:val="0"/>
              <w:pageBreakBefore w:val="0"/>
              <w:widowControl w:val="0"/>
              <w:kinsoku/>
              <w:wordWrap/>
              <w:overflowPunct/>
              <w:topLinePunct w:val="0"/>
              <w:autoSpaceDE/>
              <w:autoSpaceDN/>
              <w:bidi w:val="0"/>
              <w:adjustRightInd/>
              <w:snapToGrid/>
              <w:spacing w:line="288" w:lineRule="auto"/>
              <w:ind w:left="0" w:leftChars="0" w:firstLine="0" w:firstLineChars="0"/>
              <w:jc w:val="center"/>
              <w:textAlignment w:val="auto"/>
              <w:rPr>
                <w:rFonts w:hint="default" w:ascii="Times New Roman" w:hAnsi="Times New Roman" w:eastAsia="宋体" w:cs="Times New Roman"/>
                <w:color w:val="auto"/>
                <w:sz w:val="21"/>
                <w:szCs w:val="21"/>
                <w:shd w:val="clear" w:color="auto" w:fill="auto"/>
                <w:vertAlign w:val="baseline"/>
                <w:lang w:val="en-US" w:eastAsia="zh-CN"/>
              </w:rPr>
            </w:pPr>
            <w:r>
              <w:rPr>
                <w:rFonts w:hint="eastAsia" w:ascii="Times New Roman" w:hAnsi="Times New Roman" w:eastAsia="宋体" w:cs="Times New Roman"/>
                <w:color w:val="auto"/>
                <w:sz w:val="21"/>
                <w:szCs w:val="21"/>
                <w:shd w:val="clear" w:color="auto" w:fill="auto"/>
                <w:vertAlign w:val="baseline"/>
                <w:lang w:val="en-US" w:eastAsia="zh-CN"/>
              </w:rPr>
              <w:t>统筹新老港区规划。新建规划港区的同时，加快解决现有港区存在的重污染码头分散且紧邻主城区、环保设施欠缺或不健全等问题。</w:t>
            </w:r>
          </w:p>
        </w:tc>
        <w:tc>
          <w:tcPr>
            <w:tcW w:w="3270" w:type="dxa"/>
            <w:vAlign w:val="center"/>
          </w:tcPr>
          <w:p>
            <w:pPr>
              <w:pStyle w:val="2"/>
              <w:keepNext w:val="0"/>
              <w:keepLines w:val="0"/>
              <w:pageBreakBefore w:val="0"/>
              <w:widowControl w:val="0"/>
              <w:kinsoku/>
              <w:wordWrap/>
              <w:overflowPunct/>
              <w:topLinePunct w:val="0"/>
              <w:autoSpaceDE/>
              <w:autoSpaceDN/>
              <w:bidi w:val="0"/>
              <w:adjustRightInd/>
              <w:snapToGrid/>
              <w:spacing w:line="288" w:lineRule="auto"/>
              <w:ind w:left="0" w:leftChars="0" w:firstLine="0" w:firstLineChars="0"/>
              <w:jc w:val="center"/>
              <w:textAlignment w:val="auto"/>
              <w:rPr>
                <w:rFonts w:hint="default" w:ascii="Times New Roman" w:hAnsi="Times New Roman" w:eastAsia="宋体" w:cs="Times New Roman"/>
                <w:color w:val="auto"/>
                <w:sz w:val="21"/>
                <w:szCs w:val="21"/>
                <w:shd w:val="clear" w:color="auto" w:fill="auto"/>
                <w:vertAlign w:val="baseline"/>
                <w:lang w:val="en-US" w:eastAsia="zh-CN"/>
              </w:rPr>
            </w:pPr>
            <w:r>
              <w:rPr>
                <w:rFonts w:hint="eastAsia" w:ascii="Times New Roman" w:hAnsi="Times New Roman" w:eastAsia="宋体" w:cs="Times New Roman"/>
                <w:color w:val="auto"/>
                <w:sz w:val="21"/>
                <w:szCs w:val="21"/>
                <w:shd w:val="clear" w:color="auto" w:fill="auto"/>
                <w:vertAlign w:val="baseline"/>
                <w:lang w:val="en-US" w:eastAsia="zh-CN"/>
              </w:rPr>
              <w:t>为加强环保整治工作，</w:t>
            </w:r>
            <w:r>
              <w:rPr>
                <w:rFonts w:hint="eastAsia" w:cs="Times New Roman"/>
                <w:color w:val="auto"/>
                <w:sz w:val="21"/>
                <w:szCs w:val="21"/>
                <w:shd w:val="clear" w:color="auto" w:fill="auto"/>
                <w:vertAlign w:val="baseline"/>
                <w:lang w:val="en-US" w:eastAsia="zh-CN"/>
              </w:rPr>
              <w:t>阜阳</w:t>
            </w:r>
            <w:r>
              <w:rPr>
                <w:rFonts w:hint="eastAsia" w:ascii="Times New Roman" w:hAnsi="Times New Roman" w:eastAsia="宋体" w:cs="Times New Roman"/>
                <w:color w:val="auto"/>
                <w:sz w:val="21"/>
                <w:szCs w:val="21"/>
                <w:shd w:val="clear" w:color="auto" w:fill="auto"/>
                <w:vertAlign w:val="baseline"/>
                <w:lang w:val="en-US" w:eastAsia="zh-CN"/>
              </w:rPr>
              <w:t>市依法拆除了大量的无证经营码头，加强了港口岸线资源管理工作，使岸线资源得到了集约高效利用。由于这些码头的拆除，</w:t>
            </w:r>
            <w:r>
              <w:rPr>
                <w:rFonts w:hint="eastAsia" w:cs="Times New Roman"/>
                <w:color w:val="auto"/>
                <w:sz w:val="21"/>
                <w:szCs w:val="21"/>
                <w:shd w:val="clear" w:color="auto" w:fill="auto"/>
                <w:vertAlign w:val="baseline"/>
                <w:lang w:val="en-US" w:eastAsia="zh-CN"/>
              </w:rPr>
              <w:t>阜阳</w:t>
            </w:r>
            <w:r>
              <w:rPr>
                <w:rFonts w:hint="eastAsia" w:ascii="Times New Roman" w:hAnsi="Times New Roman" w:eastAsia="宋体" w:cs="Times New Roman"/>
                <w:color w:val="auto"/>
                <w:sz w:val="21"/>
                <w:szCs w:val="21"/>
                <w:shd w:val="clear" w:color="auto" w:fill="auto"/>
                <w:vertAlign w:val="baseline"/>
                <w:lang w:val="en-US" w:eastAsia="zh-CN"/>
              </w:rPr>
              <w:t>水路运力出现了较大的缺口</w:t>
            </w:r>
            <w:r>
              <w:rPr>
                <w:rFonts w:hint="eastAsia" w:cs="Times New Roman"/>
                <w:color w:val="auto"/>
                <w:sz w:val="21"/>
                <w:szCs w:val="21"/>
                <w:shd w:val="clear" w:color="auto" w:fill="auto"/>
                <w:vertAlign w:val="baseline"/>
                <w:lang w:val="en-US" w:eastAsia="zh-CN"/>
              </w:rPr>
              <w:t>。本工程的建设</w:t>
            </w:r>
            <w:r>
              <w:rPr>
                <w:rFonts w:hint="eastAsia" w:ascii="Times New Roman" w:hAnsi="Times New Roman" w:eastAsia="宋体" w:cs="Times New Roman"/>
                <w:color w:val="auto"/>
                <w:sz w:val="21"/>
                <w:szCs w:val="21"/>
                <w:shd w:val="clear" w:color="auto" w:fill="auto"/>
                <w:vertAlign w:val="baseline"/>
                <w:lang w:val="en-US" w:eastAsia="zh-CN"/>
              </w:rPr>
              <w:t>填补</w:t>
            </w:r>
            <w:r>
              <w:rPr>
                <w:rFonts w:hint="eastAsia" w:cs="Times New Roman"/>
                <w:color w:val="auto"/>
                <w:sz w:val="21"/>
                <w:szCs w:val="21"/>
                <w:shd w:val="clear" w:color="auto" w:fill="auto"/>
                <w:vertAlign w:val="baseline"/>
                <w:lang w:val="en-US" w:eastAsia="zh-CN"/>
              </w:rPr>
              <w:t>了太和水上</w:t>
            </w:r>
            <w:r>
              <w:rPr>
                <w:rFonts w:hint="eastAsia" w:ascii="Times New Roman" w:hAnsi="Times New Roman" w:eastAsia="宋体" w:cs="Times New Roman"/>
                <w:color w:val="auto"/>
                <w:sz w:val="21"/>
                <w:szCs w:val="21"/>
                <w:shd w:val="clear" w:color="auto" w:fill="auto"/>
                <w:vertAlign w:val="baseline"/>
                <w:lang w:val="en-US" w:eastAsia="zh-CN"/>
              </w:rPr>
              <w:t>运</w:t>
            </w:r>
            <w:r>
              <w:rPr>
                <w:rFonts w:hint="eastAsia" w:cs="Times New Roman"/>
                <w:color w:val="auto"/>
                <w:sz w:val="21"/>
                <w:szCs w:val="21"/>
                <w:shd w:val="clear" w:color="auto" w:fill="auto"/>
                <w:vertAlign w:val="baseline"/>
                <w:lang w:val="en-US" w:eastAsia="zh-CN"/>
              </w:rPr>
              <w:t>输的</w:t>
            </w:r>
            <w:r>
              <w:rPr>
                <w:rFonts w:hint="eastAsia" w:ascii="Times New Roman" w:hAnsi="Times New Roman" w:eastAsia="宋体" w:cs="Times New Roman"/>
                <w:color w:val="auto"/>
                <w:sz w:val="21"/>
                <w:szCs w:val="21"/>
                <w:shd w:val="clear" w:color="auto" w:fill="auto"/>
                <w:vertAlign w:val="baseline"/>
                <w:lang w:val="en-US" w:eastAsia="zh-CN"/>
              </w:rPr>
              <w:t>缺口</w:t>
            </w:r>
            <w:r>
              <w:rPr>
                <w:rFonts w:hint="eastAsia" w:cs="Times New Roman"/>
                <w:color w:val="auto"/>
                <w:sz w:val="21"/>
                <w:szCs w:val="21"/>
                <w:shd w:val="clear" w:color="auto" w:fill="auto"/>
                <w:vertAlign w:val="baseline"/>
                <w:lang w:val="en-US" w:eastAsia="zh-CN"/>
              </w:rPr>
              <w:t>，以</w:t>
            </w:r>
            <w:r>
              <w:rPr>
                <w:rFonts w:hint="eastAsia" w:ascii="Times New Roman" w:hAnsi="Times New Roman" w:eastAsia="宋体" w:cs="Times New Roman"/>
                <w:color w:val="auto"/>
                <w:sz w:val="21"/>
                <w:szCs w:val="21"/>
                <w:shd w:val="clear" w:color="auto" w:fill="auto"/>
                <w:vertAlign w:val="baseline"/>
                <w:lang w:val="en-US" w:eastAsia="zh-CN"/>
              </w:rPr>
              <w:t>确保</w:t>
            </w:r>
            <w:r>
              <w:rPr>
                <w:rFonts w:hint="eastAsia" w:cs="Times New Roman"/>
                <w:color w:val="auto"/>
                <w:sz w:val="21"/>
                <w:szCs w:val="21"/>
                <w:shd w:val="clear" w:color="auto" w:fill="auto"/>
                <w:vertAlign w:val="baseline"/>
                <w:lang w:val="en-US" w:eastAsia="zh-CN"/>
              </w:rPr>
              <w:t>太和</w:t>
            </w:r>
            <w:r>
              <w:rPr>
                <w:rFonts w:hint="eastAsia" w:ascii="Times New Roman" w:hAnsi="Times New Roman" w:eastAsia="宋体" w:cs="Times New Roman"/>
                <w:color w:val="auto"/>
                <w:sz w:val="21"/>
                <w:szCs w:val="21"/>
                <w:shd w:val="clear" w:color="auto" w:fill="auto"/>
                <w:vertAlign w:val="baseline"/>
                <w:lang w:val="en-US" w:eastAsia="zh-CN"/>
              </w:rPr>
              <w:t>地区砂石的正常供应，维持市场稳定，保障地方经济的正常发展。</w:t>
            </w:r>
          </w:p>
        </w:tc>
        <w:tc>
          <w:tcPr>
            <w:tcW w:w="910" w:type="dxa"/>
            <w:vAlign w:val="center"/>
          </w:tcPr>
          <w:p>
            <w:pPr>
              <w:pStyle w:val="2"/>
              <w:keepNext w:val="0"/>
              <w:keepLines w:val="0"/>
              <w:pageBreakBefore w:val="0"/>
              <w:widowControl w:val="0"/>
              <w:kinsoku/>
              <w:wordWrap/>
              <w:overflowPunct/>
              <w:topLinePunct w:val="0"/>
              <w:autoSpaceDE/>
              <w:autoSpaceDN/>
              <w:bidi w:val="0"/>
              <w:adjustRightInd/>
              <w:snapToGrid/>
              <w:spacing w:line="288" w:lineRule="auto"/>
              <w:ind w:left="0" w:leftChars="0" w:firstLine="0" w:firstLineChars="0"/>
              <w:jc w:val="center"/>
              <w:textAlignment w:val="auto"/>
              <w:rPr>
                <w:rFonts w:hint="default" w:ascii="Times New Roman" w:hAnsi="Times New Roman" w:eastAsia="宋体" w:cs="Times New Roman"/>
                <w:color w:val="auto"/>
                <w:sz w:val="21"/>
                <w:szCs w:val="21"/>
                <w:shd w:val="clear" w:color="auto" w:fill="auto"/>
                <w:vertAlign w:val="baseline"/>
                <w:lang w:val="en-US" w:eastAsia="zh-CN"/>
              </w:rPr>
            </w:pPr>
            <w:r>
              <w:rPr>
                <w:rFonts w:hint="eastAsia" w:cs="Times New Roman"/>
                <w:color w:val="auto"/>
                <w:sz w:val="21"/>
                <w:szCs w:val="21"/>
                <w:shd w:val="clear" w:color="auto" w:fill="auto"/>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2" w:hRule="atLeast"/>
          <w:jc w:val="center"/>
        </w:trPr>
        <w:tc>
          <w:tcPr>
            <w:tcW w:w="408" w:type="dxa"/>
            <w:vAlign w:val="center"/>
          </w:tcPr>
          <w:p>
            <w:pPr>
              <w:pStyle w:val="2"/>
              <w:keepNext w:val="0"/>
              <w:keepLines w:val="0"/>
              <w:pageBreakBefore w:val="0"/>
              <w:widowControl w:val="0"/>
              <w:kinsoku/>
              <w:wordWrap/>
              <w:overflowPunct/>
              <w:topLinePunct w:val="0"/>
              <w:autoSpaceDE/>
              <w:autoSpaceDN/>
              <w:bidi w:val="0"/>
              <w:adjustRightInd/>
              <w:snapToGrid/>
              <w:spacing w:line="288" w:lineRule="auto"/>
              <w:ind w:left="0" w:leftChars="0" w:firstLine="0" w:firstLineChars="0"/>
              <w:jc w:val="center"/>
              <w:textAlignment w:val="auto"/>
              <w:rPr>
                <w:rFonts w:hint="default" w:ascii="Times New Roman" w:hAnsi="Times New Roman" w:eastAsia="宋体" w:cs="Times New Roman"/>
                <w:color w:val="0000FF"/>
                <w:sz w:val="21"/>
                <w:szCs w:val="21"/>
                <w:shd w:val="clear" w:color="auto" w:fill="auto"/>
                <w:vertAlign w:val="baseline"/>
                <w:lang w:val="en-US" w:eastAsia="zh-CN"/>
              </w:rPr>
            </w:pPr>
            <w:r>
              <w:rPr>
                <w:rFonts w:hint="eastAsia" w:ascii="Times New Roman" w:hAnsi="Times New Roman" w:eastAsia="宋体" w:cs="Times New Roman"/>
                <w:color w:val="0000FF"/>
                <w:sz w:val="21"/>
                <w:szCs w:val="21"/>
                <w:shd w:val="clear" w:color="auto" w:fill="auto"/>
                <w:vertAlign w:val="baseline"/>
                <w:lang w:val="en-US" w:eastAsia="zh-CN"/>
              </w:rPr>
              <w:t>3</w:t>
            </w:r>
          </w:p>
        </w:tc>
        <w:tc>
          <w:tcPr>
            <w:tcW w:w="4358" w:type="dxa"/>
            <w:vAlign w:val="center"/>
          </w:tcPr>
          <w:p>
            <w:pPr>
              <w:pStyle w:val="2"/>
              <w:keepNext w:val="0"/>
              <w:keepLines w:val="0"/>
              <w:pageBreakBefore w:val="0"/>
              <w:widowControl w:val="0"/>
              <w:kinsoku/>
              <w:wordWrap/>
              <w:overflowPunct/>
              <w:topLinePunct w:val="0"/>
              <w:autoSpaceDE/>
              <w:autoSpaceDN/>
              <w:bidi w:val="0"/>
              <w:adjustRightInd/>
              <w:snapToGrid/>
              <w:spacing w:line="288" w:lineRule="auto"/>
              <w:ind w:left="0" w:leftChars="0" w:firstLine="0" w:firstLineChars="0"/>
              <w:jc w:val="center"/>
              <w:textAlignment w:val="auto"/>
              <w:rPr>
                <w:rFonts w:hint="default" w:ascii="Times New Roman" w:hAnsi="Times New Roman" w:eastAsia="宋体" w:cs="Times New Roman"/>
                <w:color w:val="0000FF"/>
                <w:sz w:val="21"/>
                <w:szCs w:val="21"/>
                <w:shd w:val="clear" w:color="auto" w:fill="auto"/>
                <w:vertAlign w:val="baseline"/>
                <w:lang w:val="en-US" w:eastAsia="zh-CN"/>
              </w:rPr>
            </w:pPr>
            <w:r>
              <w:rPr>
                <w:rFonts w:hint="eastAsia" w:ascii="Times New Roman" w:hAnsi="Times New Roman" w:eastAsia="宋体" w:cs="Times New Roman"/>
                <w:color w:val="auto"/>
                <w:sz w:val="21"/>
                <w:szCs w:val="21"/>
                <w:shd w:val="clear" w:color="auto" w:fill="auto"/>
                <w:vertAlign w:val="baseline"/>
                <w:lang w:val="en-US" w:eastAsia="zh-CN"/>
              </w:rPr>
              <w:t>《规划》应结合</w:t>
            </w:r>
            <w:r>
              <w:rPr>
                <w:rFonts w:hint="eastAsia" w:cs="Times New Roman"/>
                <w:color w:val="auto"/>
                <w:sz w:val="21"/>
                <w:szCs w:val="21"/>
                <w:shd w:val="clear" w:color="auto" w:fill="auto"/>
                <w:vertAlign w:val="baseline"/>
                <w:lang w:val="en-US" w:eastAsia="zh-CN"/>
              </w:rPr>
              <w:t>阜阳</w:t>
            </w:r>
            <w:r>
              <w:rPr>
                <w:rFonts w:hint="eastAsia" w:ascii="Times New Roman" w:hAnsi="Times New Roman" w:eastAsia="宋体" w:cs="Times New Roman"/>
                <w:color w:val="auto"/>
                <w:sz w:val="21"/>
                <w:szCs w:val="21"/>
                <w:shd w:val="clear" w:color="auto" w:fill="auto"/>
                <w:vertAlign w:val="baseline"/>
                <w:lang w:val="en-US" w:eastAsia="zh-CN"/>
              </w:rPr>
              <w:t>市城市总体规划及其修订版，调整规划货运岸线布局，阜阳市城市总体规划区内不得扩建和新增货运岸线;规划货运(危险品)岸线应综合布局、集中设置，确保引江济淮水质安全;饮用水水源保护区范围内(包括一级保护区、二级保护区和准保护区)不得设立规划岸线饮用水水源保护区上游可能对保护区造成影响的规划岸线建议经论证后调整，以确保饮用水水源保护区安全;水环境质量监测考核断面点位上游规划岸线调整建议参照饮用水水源保护区要求，重点关注阜阳出境断面监测点上游规划岸线，确保考核断面监测数据稳定;生态红线内不得设立规划岸线;涉及行蓄洪区内岸线建议调整。</w:t>
            </w:r>
          </w:p>
        </w:tc>
        <w:tc>
          <w:tcPr>
            <w:tcW w:w="3270" w:type="dxa"/>
            <w:vAlign w:val="center"/>
          </w:tcPr>
          <w:p>
            <w:pPr>
              <w:pStyle w:val="2"/>
              <w:keepNext w:val="0"/>
              <w:keepLines w:val="0"/>
              <w:pageBreakBefore w:val="0"/>
              <w:widowControl w:val="0"/>
              <w:kinsoku/>
              <w:wordWrap/>
              <w:overflowPunct/>
              <w:topLinePunct w:val="0"/>
              <w:autoSpaceDE/>
              <w:autoSpaceDN/>
              <w:bidi w:val="0"/>
              <w:adjustRightInd/>
              <w:snapToGrid/>
              <w:spacing w:line="288" w:lineRule="auto"/>
              <w:ind w:left="0" w:leftChars="0" w:firstLine="0" w:firstLineChars="0"/>
              <w:jc w:val="center"/>
              <w:textAlignment w:val="auto"/>
              <w:rPr>
                <w:rFonts w:hint="default" w:ascii="Times New Roman" w:hAnsi="Times New Roman" w:eastAsia="宋体" w:cs="Times New Roman"/>
                <w:color w:val="0000FF"/>
                <w:sz w:val="21"/>
                <w:szCs w:val="21"/>
                <w:shd w:val="clear" w:color="auto" w:fill="auto"/>
                <w:vertAlign w:val="baseline"/>
                <w:lang w:val="en-US" w:eastAsia="zh-CN"/>
              </w:rPr>
            </w:pPr>
            <w:r>
              <w:rPr>
                <w:rFonts w:hint="eastAsia" w:cs="Times New Roman"/>
                <w:color w:val="auto"/>
                <w:sz w:val="21"/>
                <w:szCs w:val="21"/>
                <w:shd w:val="clear" w:color="auto" w:fill="auto"/>
                <w:vertAlign w:val="baseline"/>
                <w:lang w:val="en-US" w:eastAsia="zh-CN"/>
              </w:rPr>
              <w:t>本工程位于本工程位于阜阳市太和县城关镇境内，阜阳港太和港区陶庙作业区，距上游太和二桥约 1.1km，距上游太和锚地约280m，距下游危化品码头约200m。</w:t>
            </w:r>
            <w:r>
              <w:rPr>
                <w:rFonts w:hint="eastAsia" w:ascii="Times New Roman" w:hAnsi="Times New Roman" w:eastAsia="宋体" w:cs="Times New Roman"/>
                <w:color w:val="auto"/>
                <w:sz w:val="21"/>
                <w:szCs w:val="21"/>
                <w:shd w:val="clear" w:color="auto" w:fill="auto"/>
                <w:vertAlign w:val="baseline"/>
                <w:lang w:val="en-US" w:eastAsia="zh-CN"/>
              </w:rPr>
              <w:t>根据调查，项目评价范围内不涉及饮用水</w:t>
            </w:r>
            <w:r>
              <w:rPr>
                <w:rFonts w:hint="eastAsia" w:cs="Times New Roman"/>
                <w:color w:val="auto"/>
                <w:sz w:val="21"/>
                <w:szCs w:val="21"/>
                <w:shd w:val="clear" w:color="auto" w:fill="auto"/>
                <w:vertAlign w:val="baseline"/>
                <w:lang w:val="en-US" w:eastAsia="zh-CN"/>
              </w:rPr>
              <w:t>水</w:t>
            </w:r>
            <w:r>
              <w:rPr>
                <w:rFonts w:hint="eastAsia" w:ascii="Times New Roman" w:hAnsi="Times New Roman" w:eastAsia="宋体" w:cs="Times New Roman"/>
                <w:color w:val="auto"/>
                <w:sz w:val="21"/>
                <w:szCs w:val="21"/>
                <w:shd w:val="clear" w:color="auto" w:fill="auto"/>
                <w:vertAlign w:val="baseline"/>
                <w:lang w:val="en-US" w:eastAsia="zh-CN"/>
              </w:rPr>
              <w:t>源保护区</w:t>
            </w:r>
            <w:r>
              <w:rPr>
                <w:rFonts w:hint="eastAsia" w:cs="Times New Roman"/>
                <w:color w:val="auto"/>
                <w:sz w:val="21"/>
                <w:szCs w:val="21"/>
                <w:shd w:val="clear" w:color="auto" w:fill="auto"/>
                <w:vertAlign w:val="baseline"/>
                <w:lang w:val="en-US" w:eastAsia="zh-CN"/>
              </w:rPr>
              <w:t>、不涉及</w:t>
            </w:r>
            <w:r>
              <w:rPr>
                <w:rFonts w:hint="eastAsia" w:ascii="Times New Roman" w:hAnsi="Times New Roman" w:eastAsia="宋体" w:cs="Times New Roman"/>
                <w:color w:val="auto"/>
                <w:sz w:val="21"/>
                <w:szCs w:val="21"/>
                <w:shd w:val="clear" w:color="auto" w:fill="auto"/>
                <w:vertAlign w:val="baseline"/>
                <w:lang w:val="en-US" w:eastAsia="zh-CN"/>
              </w:rPr>
              <w:t>生态敏感区</w:t>
            </w:r>
            <w:r>
              <w:rPr>
                <w:rFonts w:hint="eastAsia" w:ascii="Times New Roman" w:hAnsi="Times New Roman" w:eastAsia="宋体" w:cs="Times New Roman"/>
                <w:color w:val="auto"/>
                <w:sz w:val="21"/>
                <w:szCs w:val="21"/>
                <w:shd w:val="clear" w:color="auto" w:fill="auto"/>
                <w:vertAlign w:val="baseline"/>
                <w:lang w:val="en-US" w:eastAsia="zh-CN"/>
              </w:rPr>
              <w:t>。</w:t>
            </w:r>
          </w:p>
        </w:tc>
        <w:tc>
          <w:tcPr>
            <w:tcW w:w="910" w:type="dxa"/>
            <w:vAlign w:val="center"/>
          </w:tcPr>
          <w:p>
            <w:pPr>
              <w:keepNext w:val="0"/>
              <w:keepLines w:val="0"/>
              <w:pageBreakBefore w:val="0"/>
              <w:widowControl w:val="0"/>
              <w:kinsoku/>
              <w:wordWrap/>
              <w:overflowPunct/>
              <w:topLinePunct w:val="0"/>
              <w:autoSpaceDE/>
              <w:autoSpaceDN/>
              <w:bidi w:val="0"/>
              <w:adjustRightInd/>
              <w:snapToGrid/>
              <w:spacing w:line="288" w:lineRule="auto"/>
              <w:ind w:left="0" w:leftChars="0" w:firstLine="0" w:firstLineChars="0"/>
              <w:jc w:val="center"/>
              <w:textAlignment w:val="auto"/>
              <w:rPr>
                <w:rFonts w:hint="default" w:ascii="Times New Roman" w:hAnsi="Times New Roman" w:eastAsia="宋体" w:cs="Times New Roman"/>
                <w:color w:val="auto"/>
                <w:sz w:val="21"/>
                <w:szCs w:val="21"/>
                <w:shd w:val="clear" w:color="auto" w:fill="auto"/>
                <w:vertAlign w:val="baseline"/>
                <w:lang w:val="en-US" w:eastAsia="zh-CN"/>
              </w:rPr>
            </w:pPr>
            <w:r>
              <w:rPr>
                <w:rFonts w:hint="eastAsia" w:cs="Times New Roman"/>
                <w:color w:val="auto"/>
                <w:sz w:val="21"/>
                <w:szCs w:val="21"/>
                <w:shd w:val="clear" w:color="auto" w:fill="auto"/>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dxa"/>
            <w:vAlign w:val="center"/>
          </w:tcPr>
          <w:p>
            <w:pPr>
              <w:pStyle w:val="2"/>
              <w:keepNext w:val="0"/>
              <w:keepLines w:val="0"/>
              <w:pageBreakBefore w:val="0"/>
              <w:widowControl w:val="0"/>
              <w:kinsoku/>
              <w:wordWrap/>
              <w:overflowPunct/>
              <w:topLinePunct w:val="0"/>
              <w:autoSpaceDE/>
              <w:autoSpaceDN/>
              <w:bidi w:val="0"/>
              <w:adjustRightInd/>
              <w:snapToGrid/>
              <w:spacing w:line="288" w:lineRule="auto"/>
              <w:ind w:left="0" w:leftChars="0" w:firstLine="0" w:firstLineChars="0"/>
              <w:jc w:val="center"/>
              <w:textAlignment w:val="auto"/>
              <w:rPr>
                <w:rFonts w:hint="default" w:ascii="Times New Roman" w:hAnsi="Times New Roman" w:eastAsia="宋体" w:cs="Times New Roman"/>
                <w:color w:val="0000FF"/>
                <w:sz w:val="21"/>
                <w:szCs w:val="21"/>
                <w:shd w:val="clear" w:color="auto" w:fill="auto"/>
                <w:vertAlign w:val="baseline"/>
                <w:lang w:val="en-US" w:eastAsia="zh-CN"/>
              </w:rPr>
            </w:pPr>
            <w:r>
              <w:rPr>
                <w:rFonts w:hint="eastAsia" w:ascii="Times New Roman" w:hAnsi="Times New Roman" w:eastAsia="宋体" w:cs="Times New Roman"/>
                <w:color w:val="0000FF"/>
                <w:sz w:val="21"/>
                <w:szCs w:val="21"/>
                <w:shd w:val="clear" w:color="auto" w:fill="auto"/>
                <w:vertAlign w:val="baseline"/>
                <w:lang w:val="en-US" w:eastAsia="zh-CN"/>
              </w:rPr>
              <w:t>4</w:t>
            </w:r>
          </w:p>
        </w:tc>
        <w:tc>
          <w:tcPr>
            <w:tcW w:w="4358" w:type="dxa"/>
            <w:vAlign w:val="center"/>
          </w:tcPr>
          <w:p>
            <w:pPr>
              <w:pStyle w:val="2"/>
              <w:keepNext w:val="0"/>
              <w:keepLines w:val="0"/>
              <w:pageBreakBefore w:val="0"/>
              <w:widowControl w:val="0"/>
              <w:kinsoku/>
              <w:wordWrap/>
              <w:overflowPunct/>
              <w:topLinePunct w:val="0"/>
              <w:autoSpaceDE/>
              <w:autoSpaceDN/>
              <w:bidi w:val="0"/>
              <w:adjustRightInd/>
              <w:snapToGrid/>
              <w:spacing w:line="288" w:lineRule="auto"/>
              <w:ind w:left="0" w:leftChars="0" w:firstLine="0" w:firstLineChars="0"/>
              <w:jc w:val="center"/>
              <w:textAlignment w:val="auto"/>
              <w:rPr>
                <w:rFonts w:hint="default" w:ascii="Times New Roman" w:hAnsi="Times New Roman" w:eastAsia="宋体" w:cs="Times New Roman"/>
                <w:color w:val="0000FF"/>
                <w:sz w:val="21"/>
                <w:szCs w:val="21"/>
                <w:shd w:val="clear" w:color="auto" w:fill="auto"/>
                <w:vertAlign w:val="baseline"/>
                <w:lang w:val="en-US" w:eastAsia="zh-CN"/>
              </w:rPr>
            </w:pPr>
            <w:r>
              <w:rPr>
                <w:rFonts w:hint="eastAsia" w:ascii="Times New Roman" w:hAnsi="Times New Roman" w:eastAsia="宋体" w:cs="Times New Roman"/>
                <w:color w:val="auto"/>
                <w:sz w:val="21"/>
                <w:szCs w:val="21"/>
                <w:shd w:val="clear" w:color="auto" w:fill="auto"/>
                <w:vertAlign w:val="baseline"/>
                <w:lang w:val="en-US" w:eastAsia="zh-CN"/>
              </w:rPr>
              <w:t>强化环境保护措施。应统筹布置船舶污染物处理设施;严格落实全覆盖、全喷淋、全水洗要求。各散货堆场应采取密闭、加设防风抑尘网、洒水、四周建设绿化带、设置车辆自动冲洗平台、跟踪监测等综合措施，油品和化工品等危化品码头应采取浮顶罐储存技术、密闭装车技术、挥发性有机废气回收技术、降温技术、高位储存技术、机械清罐技术等;具备纳管条件的港区污水须送至污水处理厂处理，不具备纳管条件的港区须自建污水处理设施与主体工程同步建设;生态敏感区内的旅游码头须建立船舶生活污水及垃圾收集处理设施</w:t>
            </w:r>
          </w:p>
        </w:tc>
        <w:tc>
          <w:tcPr>
            <w:tcW w:w="3270" w:type="dxa"/>
            <w:vAlign w:val="center"/>
          </w:tcPr>
          <w:p>
            <w:pPr>
              <w:pStyle w:val="2"/>
              <w:keepNext w:val="0"/>
              <w:keepLines w:val="0"/>
              <w:pageBreakBefore w:val="0"/>
              <w:widowControl w:val="0"/>
              <w:kinsoku/>
              <w:wordWrap/>
              <w:overflowPunct/>
              <w:topLinePunct w:val="0"/>
              <w:autoSpaceDE/>
              <w:autoSpaceDN/>
              <w:bidi w:val="0"/>
              <w:adjustRightInd/>
              <w:snapToGrid/>
              <w:spacing w:line="288" w:lineRule="auto"/>
              <w:ind w:left="0" w:leftChars="0" w:firstLine="0" w:firstLineChars="0"/>
              <w:jc w:val="center"/>
              <w:textAlignment w:val="auto"/>
              <w:rPr>
                <w:rFonts w:hint="default" w:ascii="Times New Roman" w:hAnsi="Times New Roman" w:eastAsia="宋体" w:cs="Times New Roman"/>
                <w:color w:val="0000FF"/>
                <w:sz w:val="21"/>
                <w:szCs w:val="21"/>
                <w:shd w:val="clear" w:color="auto" w:fill="auto"/>
                <w:vertAlign w:val="baseline"/>
                <w:lang w:val="en-US" w:eastAsia="zh-CN"/>
              </w:rPr>
            </w:pPr>
            <w:r>
              <w:rPr>
                <w:rFonts w:hint="eastAsia" w:cs="Times New Roman"/>
                <w:color w:val="auto"/>
                <w:sz w:val="21"/>
                <w:szCs w:val="21"/>
                <w:shd w:val="clear" w:color="auto" w:fill="auto"/>
                <w:vertAlign w:val="baseline"/>
                <w:lang w:val="en-US" w:eastAsia="zh-CN"/>
              </w:rPr>
              <w:t>本项目散货堆场应采取密闭、加设防风抑尘网、洒水、四周建设绿化带、设置车辆自动冲洗平台、跟踪监测等综合措施，港区及陆域生活污水由移动厕所收集储存，定期由清掏车外运至相关接收处理单位</w:t>
            </w:r>
          </w:p>
        </w:tc>
        <w:tc>
          <w:tcPr>
            <w:tcW w:w="910" w:type="dxa"/>
            <w:vAlign w:val="center"/>
          </w:tcPr>
          <w:p>
            <w:pPr>
              <w:keepNext w:val="0"/>
              <w:keepLines w:val="0"/>
              <w:pageBreakBefore w:val="0"/>
              <w:widowControl w:val="0"/>
              <w:kinsoku/>
              <w:wordWrap/>
              <w:overflowPunct/>
              <w:topLinePunct w:val="0"/>
              <w:autoSpaceDE/>
              <w:autoSpaceDN/>
              <w:bidi w:val="0"/>
              <w:adjustRightInd/>
              <w:snapToGrid/>
              <w:spacing w:line="288" w:lineRule="auto"/>
              <w:ind w:left="0" w:leftChars="0" w:firstLine="0" w:firstLineChars="0"/>
              <w:jc w:val="center"/>
              <w:textAlignment w:val="auto"/>
              <w:rPr>
                <w:rFonts w:hint="default" w:ascii="Times New Roman" w:hAnsi="Times New Roman" w:eastAsia="宋体" w:cs="Times New Roman"/>
                <w:color w:val="auto"/>
                <w:sz w:val="21"/>
                <w:szCs w:val="21"/>
                <w:shd w:val="clear" w:color="auto" w:fill="auto"/>
                <w:vertAlign w:val="baseline"/>
                <w:lang w:val="en-US" w:eastAsia="zh-CN"/>
              </w:rPr>
            </w:pPr>
            <w:r>
              <w:rPr>
                <w:rFonts w:hint="eastAsia" w:cs="Times New Roman"/>
                <w:color w:val="auto"/>
                <w:sz w:val="21"/>
                <w:szCs w:val="21"/>
                <w:shd w:val="clear" w:color="auto" w:fill="auto"/>
                <w:vertAlign w:val="baseline"/>
                <w:lang w:val="en-US" w:eastAsia="zh-CN"/>
              </w:rPr>
              <w:t>符合</w:t>
            </w:r>
          </w:p>
        </w:tc>
      </w:tr>
    </w:tbl>
    <w:p>
      <w:pPr>
        <w:pStyle w:val="5"/>
        <w:rPr>
          <w:color w:val="auto"/>
          <w:shd w:val="clear" w:color="auto" w:fill="auto"/>
        </w:rPr>
      </w:pPr>
      <w:r>
        <w:rPr>
          <w:rFonts w:hint="eastAsia"/>
          <w:color w:val="auto"/>
          <w:shd w:val="clear" w:color="auto" w:fill="auto"/>
          <w:lang w:val="en-US" w:eastAsia="zh-CN"/>
        </w:rPr>
        <w:t xml:space="preserve">1.6.6 </w:t>
      </w:r>
      <w:r>
        <w:rPr>
          <w:rFonts w:hint="eastAsia"/>
          <w:color w:val="auto"/>
          <w:shd w:val="clear" w:color="auto" w:fill="auto"/>
        </w:rPr>
        <w:t>“三线一单”符合性分析</w:t>
      </w:r>
    </w:p>
    <w:p>
      <w:pPr>
        <w:rPr>
          <w:color w:val="auto"/>
          <w:shd w:val="clear" w:color="auto" w:fill="auto"/>
        </w:rPr>
      </w:pPr>
      <w:r>
        <w:rPr>
          <w:rFonts w:hint="eastAsia"/>
          <w:color w:val="auto"/>
          <w:shd w:val="clear" w:color="auto" w:fill="auto"/>
        </w:rPr>
        <w:t>根据环境保护部2016年10月27日下发的《关于以改善环境质量为核心加强环境影响评价管理的通知》(环环评[2016]150号)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p>
    <w:p>
      <w:pPr>
        <w:rPr>
          <w:color w:val="auto"/>
          <w:shd w:val="clear" w:color="auto" w:fill="auto"/>
        </w:rPr>
      </w:pPr>
      <w:r>
        <w:rPr>
          <w:color w:val="auto"/>
          <w:shd w:val="clear" w:color="auto" w:fill="auto"/>
        </w:rPr>
        <w:t>本项目与“三线一单”符合性分析见表</w:t>
      </w:r>
      <w:r>
        <w:rPr>
          <w:rFonts w:hint="eastAsia"/>
          <w:color w:val="auto"/>
          <w:shd w:val="clear" w:color="auto" w:fill="auto"/>
          <w:lang w:val="en-US" w:eastAsia="zh-CN"/>
        </w:rPr>
        <w:t>1.6-2</w:t>
      </w:r>
      <w:r>
        <w:rPr>
          <w:color w:val="auto"/>
          <w:shd w:val="clear" w:color="auto" w:fill="auto"/>
        </w:rPr>
        <w:t>。</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outlineLvl w:val="9"/>
        <w:rPr>
          <w:rFonts w:hint="default" w:ascii="Times New Roman" w:hAnsi="Times New Roman" w:eastAsia="黑体" w:cs="Times New Roman"/>
          <w:bCs/>
          <w:color w:val="auto"/>
          <w:shd w:val="clear" w:color="auto" w:fill="auto"/>
          <w:lang w:val="en-US" w:eastAsia="zh-CN"/>
        </w:rPr>
      </w:pPr>
      <w:r>
        <w:rPr>
          <w:rFonts w:hint="default" w:ascii="Times New Roman" w:hAnsi="Times New Roman" w:eastAsia="黑体" w:cs="Times New Roman"/>
          <w:bCs/>
          <w:color w:val="auto"/>
          <w:shd w:val="clear" w:color="auto" w:fill="auto"/>
          <w:lang w:val="en-US" w:eastAsia="zh-CN"/>
        </w:rPr>
        <w:t>表</w:t>
      </w:r>
      <w:r>
        <w:rPr>
          <w:rFonts w:hint="eastAsia" w:ascii="Times New Roman" w:hAnsi="Times New Roman" w:eastAsia="黑体" w:cs="Times New Roman"/>
          <w:bCs/>
          <w:color w:val="auto"/>
          <w:shd w:val="clear" w:color="auto" w:fill="auto"/>
          <w:lang w:val="en-US" w:eastAsia="zh-CN"/>
        </w:rPr>
        <w:t xml:space="preserve">1.6-2 </w:t>
      </w:r>
      <w:r>
        <w:rPr>
          <w:rFonts w:hint="default" w:ascii="Times New Roman" w:hAnsi="Times New Roman" w:eastAsia="黑体" w:cs="Times New Roman"/>
          <w:bCs/>
          <w:color w:val="auto"/>
          <w:shd w:val="clear" w:color="auto" w:fill="auto"/>
          <w:lang w:val="en-US" w:eastAsia="zh-CN"/>
        </w:rPr>
        <w:t>项目与“三线一单”符合性分析</w:t>
      </w:r>
    </w:p>
    <w:tbl>
      <w:tblPr>
        <w:tblStyle w:val="27"/>
        <w:tblW w:w="8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3"/>
        <w:gridCol w:w="7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vAlign w:val="center"/>
          </w:tcPr>
          <w:p>
            <w:pPr>
              <w:pStyle w:val="56"/>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rFonts w:cs="Times New Roman"/>
                <w:bCs/>
                <w:color w:val="auto"/>
                <w:kern w:val="0"/>
                <w:sz w:val="21"/>
                <w:szCs w:val="21"/>
                <w:shd w:val="clear" w:color="auto" w:fill="auto"/>
              </w:rPr>
            </w:pPr>
            <w:r>
              <w:rPr>
                <w:rFonts w:cs="Times New Roman"/>
                <w:bCs/>
                <w:color w:val="auto"/>
                <w:kern w:val="0"/>
                <w:sz w:val="21"/>
                <w:szCs w:val="21"/>
                <w:shd w:val="clear" w:color="auto" w:fill="auto"/>
              </w:rPr>
              <w:t>内容</w:t>
            </w:r>
          </w:p>
        </w:tc>
        <w:tc>
          <w:tcPr>
            <w:tcW w:w="7833" w:type="dxa"/>
            <w:vAlign w:val="center"/>
          </w:tcPr>
          <w:p>
            <w:pPr>
              <w:pStyle w:val="56"/>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rFonts w:cs="Times New Roman"/>
                <w:bCs/>
                <w:color w:val="auto"/>
                <w:kern w:val="0"/>
                <w:sz w:val="21"/>
                <w:szCs w:val="21"/>
                <w:shd w:val="clear" w:color="auto" w:fill="auto"/>
              </w:rPr>
            </w:pPr>
            <w:r>
              <w:rPr>
                <w:rFonts w:cs="Times New Roman"/>
                <w:bCs/>
                <w:color w:val="auto"/>
                <w:kern w:val="0"/>
                <w:sz w:val="21"/>
                <w:szCs w:val="21"/>
                <w:shd w:val="clear" w:color="auto" w:fill="auto"/>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vAlign w:val="center"/>
          </w:tcPr>
          <w:p>
            <w:pPr>
              <w:pStyle w:val="56"/>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rFonts w:cs="Times New Roman"/>
                <w:bCs/>
                <w:color w:val="auto"/>
                <w:kern w:val="0"/>
                <w:sz w:val="21"/>
                <w:szCs w:val="21"/>
                <w:shd w:val="clear" w:color="auto" w:fill="auto"/>
              </w:rPr>
            </w:pPr>
            <w:r>
              <w:rPr>
                <w:rFonts w:cs="Times New Roman"/>
                <w:bCs/>
                <w:color w:val="auto"/>
                <w:kern w:val="0"/>
                <w:sz w:val="21"/>
                <w:szCs w:val="21"/>
                <w:shd w:val="clear" w:color="auto" w:fill="auto"/>
              </w:rPr>
              <w:t>生态保护红线</w:t>
            </w:r>
          </w:p>
        </w:tc>
        <w:tc>
          <w:tcPr>
            <w:tcW w:w="7833" w:type="dxa"/>
            <w:vAlign w:val="center"/>
          </w:tcPr>
          <w:p>
            <w:pPr>
              <w:pStyle w:val="56"/>
              <w:keepNext w:val="0"/>
              <w:keepLines w:val="0"/>
              <w:pageBreakBefore w:val="0"/>
              <w:widowControl w:val="0"/>
              <w:kinsoku/>
              <w:wordWrap/>
              <w:overflowPunct/>
              <w:topLinePunct w:val="0"/>
              <w:autoSpaceDE/>
              <w:autoSpaceDN/>
              <w:bidi w:val="0"/>
              <w:adjustRightInd/>
              <w:snapToGrid/>
              <w:spacing w:line="288" w:lineRule="auto"/>
              <w:ind w:firstLine="0" w:firstLineChars="0"/>
              <w:jc w:val="left"/>
              <w:textAlignment w:val="auto"/>
              <w:rPr>
                <w:rFonts w:hint="default" w:ascii="Times New Roman" w:hAnsi="Times New Roman" w:cs="Times New Roman"/>
                <w:bCs/>
                <w:color w:val="auto"/>
                <w:kern w:val="0"/>
                <w:sz w:val="21"/>
                <w:szCs w:val="21"/>
                <w:shd w:val="clear" w:color="auto" w:fill="auto"/>
              </w:rPr>
            </w:pPr>
            <w:r>
              <w:rPr>
                <w:rFonts w:hint="default" w:ascii="Times New Roman" w:hAnsi="Times New Roman" w:cs="Times New Roman"/>
                <w:bCs/>
                <w:color w:val="auto"/>
                <w:kern w:val="0"/>
                <w:sz w:val="21"/>
                <w:szCs w:val="21"/>
                <w:shd w:val="clear" w:color="auto" w:fill="auto"/>
                <w:lang w:val="en-US" w:eastAsia="zh-CN"/>
              </w:rPr>
              <w:t>本项目</w:t>
            </w:r>
            <w:r>
              <w:rPr>
                <w:rFonts w:hint="default" w:ascii="Times New Roman" w:hAnsi="Times New Roman" w:cs="Times New Roman"/>
                <w:bCs/>
                <w:color w:val="auto"/>
                <w:kern w:val="0"/>
                <w:sz w:val="21"/>
                <w:szCs w:val="21"/>
                <w:shd w:val="clear" w:color="auto" w:fill="auto"/>
                <w:lang w:eastAsia="zh-CN"/>
              </w:rPr>
              <w:t>位于</w:t>
            </w:r>
            <w:r>
              <w:rPr>
                <w:rFonts w:hint="eastAsia" w:ascii="Times New Roman" w:hAnsi="Times New Roman" w:cs="Times New Roman"/>
                <w:bCs/>
                <w:color w:val="auto"/>
                <w:kern w:val="0"/>
                <w:sz w:val="21"/>
                <w:szCs w:val="21"/>
                <w:shd w:val="clear" w:color="auto" w:fill="auto"/>
                <w:lang w:eastAsia="zh-CN"/>
              </w:rPr>
              <w:t>城关镇陶桥村上游沙颍河北岸，上距太和二桥约1.8km</w:t>
            </w:r>
            <w:r>
              <w:rPr>
                <w:rFonts w:hint="default" w:ascii="Times New Roman" w:hAnsi="Times New Roman" w:cs="Times New Roman"/>
                <w:bCs/>
                <w:color w:val="auto"/>
                <w:kern w:val="0"/>
                <w:sz w:val="21"/>
                <w:szCs w:val="21"/>
                <w:shd w:val="clear" w:color="auto" w:fill="auto"/>
                <w:lang w:eastAsia="zh-CN"/>
              </w:rPr>
              <w:t>。项目不涉及自然保护区、饮用水源保护区等生态保护目标，不在</w:t>
            </w:r>
            <w:r>
              <w:rPr>
                <w:rFonts w:hint="default" w:ascii="Times New Roman" w:hAnsi="Times New Roman" w:cs="Times New Roman"/>
                <w:bCs/>
                <w:color w:val="auto"/>
                <w:kern w:val="0"/>
                <w:sz w:val="21"/>
                <w:szCs w:val="21"/>
                <w:shd w:val="clear" w:color="auto" w:fill="auto"/>
                <w:lang w:val="en-US" w:eastAsia="zh-CN"/>
              </w:rPr>
              <w:t>安徽</w:t>
            </w:r>
            <w:r>
              <w:rPr>
                <w:rFonts w:hint="default" w:ascii="Times New Roman" w:hAnsi="Times New Roman" w:cs="Times New Roman"/>
                <w:bCs/>
                <w:color w:val="auto"/>
                <w:kern w:val="0"/>
                <w:sz w:val="21"/>
                <w:szCs w:val="21"/>
                <w:shd w:val="clear" w:color="auto" w:fill="auto"/>
                <w:lang w:eastAsia="zh-CN"/>
              </w:rPr>
              <w:t>省生态</w:t>
            </w:r>
            <w:r>
              <w:rPr>
                <w:rFonts w:hint="default" w:ascii="Times New Roman" w:hAnsi="Times New Roman" w:cs="Times New Roman"/>
                <w:bCs/>
                <w:color w:val="auto"/>
                <w:kern w:val="0"/>
                <w:sz w:val="21"/>
                <w:szCs w:val="21"/>
                <w:shd w:val="clear" w:color="auto" w:fill="auto"/>
                <w:lang w:val="en-US" w:eastAsia="zh-CN"/>
              </w:rPr>
              <w:t>保护</w:t>
            </w:r>
            <w:r>
              <w:rPr>
                <w:rFonts w:hint="default" w:ascii="Times New Roman" w:hAnsi="Times New Roman" w:cs="Times New Roman"/>
                <w:bCs/>
                <w:color w:val="auto"/>
                <w:kern w:val="0"/>
                <w:sz w:val="21"/>
                <w:szCs w:val="21"/>
                <w:shd w:val="clear" w:color="auto" w:fill="auto"/>
                <w:lang w:eastAsia="zh-CN"/>
              </w:rPr>
              <w:t>红线</w:t>
            </w:r>
            <w:r>
              <w:rPr>
                <w:rFonts w:hint="eastAsia" w:ascii="Times New Roman" w:hAnsi="Times New Roman" w:cs="Times New Roman"/>
                <w:bCs/>
                <w:color w:val="auto"/>
                <w:kern w:val="0"/>
                <w:sz w:val="21"/>
                <w:szCs w:val="21"/>
                <w:shd w:val="clear" w:color="auto" w:fill="auto"/>
                <w:lang w:eastAsia="zh-CN"/>
              </w:rPr>
              <w:t>及</w:t>
            </w:r>
            <w:r>
              <w:rPr>
                <w:rFonts w:hint="eastAsia" w:ascii="Times New Roman" w:hAnsi="Times New Roman" w:cs="Times New Roman"/>
                <w:bCs/>
                <w:color w:val="auto"/>
                <w:kern w:val="0"/>
                <w:sz w:val="21"/>
                <w:szCs w:val="21"/>
                <w:shd w:val="clear" w:color="auto" w:fill="auto"/>
                <w:lang w:val="en-US" w:eastAsia="zh-CN"/>
              </w:rPr>
              <w:t>阜阳</w:t>
            </w:r>
            <w:r>
              <w:rPr>
                <w:rFonts w:hint="eastAsia" w:ascii="Times New Roman" w:hAnsi="Times New Roman" w:cs="Times New Roman"/>
                <w:bCs/>
                <w:color w:val="auto"/>
                <w:kern w:val="0"/>
                <w:sz w:val="21"/>
                <w:szCs w:val="21"/>
                <w:shd w:val="clear" w:color="auto" w:fill="auto"/>
                <w:lang w:eastAsia="zh-CN"/>
              </w:rPr>
              <w:t>市生态保护红线</w:t>
            </w:r>
            <w:r>
              <w:rPr>
                <w:rFonts w:hint="default" w:ascii="Times New Roman" w:hAnsi="Times New Roman" w:cs="Times New Roman"/>
                <w:bCs/>
                <w:color w:val="auto"/>
                <w:kern w:val="0"/>
                <w:sz w:val="21"/>
                <w:szCs w:val="21"/>
                <w:shd w:val="clear" w:color="auto" w:fill="auto"/>
                <w:lang w:eastAsia="zh-CN"/>
              </w:rPr>
              <w:t>范围内</w:t>
            </w:r>
            <w:r>
              <w:rPr>
                <w:rFonts w:hint="eastAsia" w:ascii="Times New Roman" w:hAnsi="Times New Roman" w:cs="Times New Roman"/>
                <w:bCs/>
                <w:color w:val="auto"/>
                <w:kern w:val="0"/>
                <w:sz w:val="21"/>
                <w:szCs w:val="21"/>
                <w:shd w:val="clear" w:color="auto" w:fill="auto"/>
                <w:lang w:eastAsia="zh-CN"/>
              </w:rPr>
              <w:t>，</w:t>
            </w:r>
            <w:r>
              <w:rPr>
                <w:rFonts w:hint="default" w:ascii="Times New Roman" w:hAnsi="Times New Roman" w:cs="Times New Roman"/>
                <w:bCs/>
                <w:color w:val="auto"/>
                <w:kern w:val="0"/>
                <w:sz w:val="21"/>
                <w:szCs w:val="21"/>
                <w:shd w:val="clear" w:color="auto" w:fill="auto"/>
                <w:lang w:eastAsia="zh-CN"/>
              </w:rPr>
              <w:t>符合生态保护红线要求。</w:t>
            </w:r>
            <w:r>
              <w:rPr>
                <w:rFonts w:hint="default" w:ascii="Times New Roman" w:hAnsi="Times New Roman" w:cs="Times New Roman"/>
                <w:bCs/>
                <w:color w:val="auto"/>
                <w:kern w:val="0"/>
                <w:sz w:val="21"/>
                <w:szCs w:val="21"/>
                <w:shd w:val="clear" w:color="auto" w:fill="auto"/>
                <w:lang w:val="en-US" w:eastAsia="zh-CN"/>
              </w:rPr>
              <w:t>安徽</w:t>
            </w:r>
            <w:r>
              <w:rPr>
                <w:rFonts w:hint="default" w:ascii="Times New Roman" w:hAnsi="Times New Roman" w:cs="Times New Roman"/>
                <w:bCs/>
                <w:color w:val="auto"/>
                <w:kern w:val="0"/>
                <w:sz w:val="21"/>
                <w:szCs w:val="21"/>
                <w:shd w:val="clear" w:color="auto" w:fill="auto"/>
                <w:lang w:eastAsia="zh-CN"/>
              </w:rPr>
              <w:t>省</w:t>
            </w:r>
            <w:r>
              <w:rPr>
                <w:rFonts w:hint="eastAsia" w:ascii="Times New Roman" w:hAnsi="Times New Roman" w:cs="Times New Roman"/>
                <w:bCs/>
                <w:color w:val="auto"/>
                <w:kern w:val="0"/>
                <w:sz w:val="21"/>
                <w:szCs w:val="21"/>
                <w:shd w:val="clear" w:color="auto" w:fill="auto"/>
                <w:lang w:eastAsia="zh-CN"/>
              </w:rPr>
              <w:t>、</w:t>
            </w:r>
            <w:r>
              <w:rPr>
                <w:rFonts w:hint="eastAsia" w:ascii="Times New Roman" w:hAnsi="Times New Roman" w:cs="Times New Roman"/>
                <w:bCs/>
                <w:color w:val="auto"/>
                <w:kern w:val="0"/>
                <w:sz w:val="21"/>
                <w:szCs w:val="21"/>
                <w:shd w:val="clear" w:color="auto" w:fill="auto"/>
                <w:lang w:val="en-US" w:eastAsia="zh-CN"/>
              </w:rPr>
              <w:t>阜阳</w:t>
            </w:r>
            <w:r>
              <w:rPr>
                <w:rFonts w:hint="default" w:ascii="Times New Roman" w:hAnsi="Times New Roman" w:cs="Times New Roman"/>
                <w:bCs/>
                <w:color w:val="auto"/>
                <w:kern w:val="0"/>
                <w:sz w:val="21"/>
                <w:szCs w:val="21"/>
                <w:shd w:val="clear" w:color="auto" w:fill="auto"/>
                <w:lang w:eastAsia="zh-CN"/>
              </w:rPr>
              <w:t>市生态保护红线图</w:t>
            </w:r>
            <w:r>
              <w:rPr>
                <w:rFonts w:hint="eastAsia" w:ascii="Times New Roman" w:hAnsi="Times New Roman" w:cs="Times New Roman"/>
                <w:bCs/>
                <w:color w:val="auto"/>
                <w:kern w:val="0"/>
                <w:sz w:val="21"/>
                <w:szCs w:val="21"/>
                <w:shd w:val="clear" w:color="auto" w:fill="auto"/>
                <w:lang w:eastAsia="zh-CN"/>
              </w:rPr>
              <w:t>分别</w:t>
            </w:r>
            <w:r>
              <w:rPr>
                <w:rFonts w:hint="default" w:ascii="Times New Roman" w:hAnsi="Times New Roman" w:cs="Times New Roman"/>
                <w:bCs/>
                <w:color w:val="auto"/>
                <w:kern w:val="0"/>
                <w:sz w:val="21"/>
                <w:szCs w:val="21"/>
                <w:shd w:val="clear" w:color="auto" w:fill="auto"/>
                <w:lang w:eastAsia="zh-CN"/>
              </w:rPr>
              <w:t>见图</w:t>
            </w:r>
            <w:r>
              <w:rPr>
                <w:rFonts w:hint="eastAsia" w:ascii="Times New Roman" w:hAnsi="Times New Roman" w:cs="Times New Roman"/>
                <w:bCs/>
                <w:color w:val="auto"/>
                <w:kern w:val="0"/>
                <w:sz w:val="21"/>
                <w:szCs w:val="21"/>
                <w:shd w:val="clear" w:color="auto" w:fill="auto"/>
                <w:lang w:val="en-US" w:eastAsia="zh-CN"/>
              </w:rPr>
              <w:t>1.6-1和图</w:t>
            </w:r>
            <w:r>
              <w:rPr>
                <w:rFonts w:hint="default" w:ascii="Times New Roman" w:hAnsi="Times New Roman" w:cs="Times New Roman"/>
                <w:bCs/>
                <w:color w:val="auto"/>
                <w:kern w:val="0"/>
                <w:sz w:val="21"/>
                <w:szCs w:val="21"/>
                <w:shd w:val="clear" w:color="auto" w:fill="auto"/>
                <w:lang w:val="en-US" w:eastAsia="zh-CN"/>
              </w:rPr>
              <w:t>1.6-</w:t>
            </w:r>
            <w:r>
              <w:rPr>
                <w:rFonts w:hint="eastAsia" w:ascii="Times New Roman" w:hAnsi="Times New Roman" w:cs="Times New Roman"/>
                <w:bCs/>
                <w:color w:val="auto"/>
                <w:kern w:val="0"/>
                <w:sz w:val="21"/>
                <w:szCs w:val="21"/>
                <w:shd w:val="clear" w:color="auto" w:fill="auto"/>
                <w:lang w:val="en-US" w:eastAsia="zh-CN"/>
              </w:rPr>
              <w:t>2</w:t>
            </w:r>
            <w:r>
              <w:rPr>
                <w:rFonts w:hint="default" w:ascii="Times New Roman" w:hAnsi="Times New Roman" w:cs="Times New Roman"/>
                <w:bCs/>
                <w:color w:val="auto"/>
                <w:kern w:val="0"/>
                <w:sz w:val="21"/>
                <w:szCs w:val="21"/>
                <w:shd w:val="clear" w:color="auto" w:fil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1113" w:type="dxa"/>
            <w:vAlign w:val="center"/>
          </w:tcPr>
          <w:p>
            <w:pPr>
              <w:pStyle w:val="56"/>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rFonts w:cs="Times New Roman"/>
                <w:bCs/>
                <w:color w:val="auto"/>
                <w:kern w:val="0"/>
                <w:sz w:val="21"/>
                <w:szCs w:val="21"/>
                <w:shd w:val="clear" w:color="auto" w:fill="auto"/>
              </w:rPr>
            </w:pPr>
            <w:r>
              <w:rPr>
                <w:rFonts w:cs="Times New Roman"/>
                <w:bCs/>
                <w:color w:val="auto"/>
                <w:kern w:val="0"/>
                <w:sz w:val="21"/>
                <w:szCs w:val="21"/>
                <w:shd w:val="clear" w:color="auto" w:fill="auto"/>
              </w:rPr>
              <w:t>资源利用上线</w:t>
            </w:r>
          </w:p>
        </w:tc>
        <w:tc>
          <w:tcPr>
            <w:tcW w:w="7833" w:type="dxa"/>
            <w:vAlign w:val="center"/>
          </w:tcPr>
          <w:p>
            <w:pPr>
              <w:pStyle w:val="56"/>
              <w:keepNext w:val="0"/>
              <w:keepLines w:val="0"/>
              <w:pageBreakBefore w:val="0"/>
              <w:widowControl w:val="0"/>
              <w:kinsoku/>
              <w:wordWrap/>
              <w:overflowPunct/>
              <w:topLinePunct w:val="0"/>
              <w:autoSpaceDE/>
              <w:autoSpaceDN/>
              <w:bidi w:val="0"/>
              <w:adjustRightInd/>
              <w:snapToGrid/>
              <w:spacing w:line="288" w:lineRule="auto"/>
              <w:ind w:firstLine="0" w:firstLineChars="0"/>
              <w:jc w:val="left"/>
              <w:textAlignment w:val="auto"/>
              <w:rPr>
                <w:rFonts w:hint="default" w:ascii="Times New Roman" w:hAnsi="Times New Roman" w:cs="Times New Roman"/>
                <w:bCs/>
                <w:color w:val="auto"/>
                <w:kern w:val="0"/>
                <w:sz w:val="21"/>
                <w:szCs w:val="21"/>
                <w:shd w:val="clear" w:color="auto" w:fill="auto"/>
              </w:rPr>
            </w:pPr>
            <w:r>
              <w:rPr>
                <w:rFonts w:hint="default" w:ascii="Times New Roman" w:hAnsi="Times New Roman" w:cs="Times New Roman"/>
                <w:bCs/>
                <w:color w:val="auto"/>
                <w:kern w:val="0"/>
                <w:sz w:val="21"/>
                <w:szCs w:val="21"/>
                <w:shd w:val="clear" w:color="auto" w:fill="auto"/>
              </w:rPr>
              <w:t>本项目营运过程中会消耗一定量的电源、水资源，项目资源消耗量相对区域资源利用总量较少，符合资源利用上线的要求。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vAlign w:val="center"/>
          </w:tcPr>
          <w:p>
            <w:pPr>
              <w:pStyle w:val="56"/>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rFonts w:cs="Times New Roman"/>
                <w:bCs/>
                <w:color w:val="auto"/>
                <w:kern w:val="0"/>
                <w:sz w:val="21"/>
                <w:szCs w:val="21"/>
                <w:shd w:val="clear" w:color="auto" w:fill="auto"/>
              </w:rPr>
            </w:pPr>
            <w:r>
              <w:rPr>
                <w:rFonts w:cs="Times New Roman"/>
                <w:bCs/>
                <w:color w:val="auto"/>
                <w:kern w:val="0"/>
                <w:sz w:val="21"/>
                <w:szCs w:val="21"/>
                <w:shd w:val="clear" w:color="auto" w:fill="auto"/>
              </w:rPr>
              <w:t>环境质量底线</w:t>
            </w:r>
          </w:p>
        </w:tc>
        <w:tc>
          <w:tcPr>
            <w:tcW w:w="7833" w:type="dxa"/>
            <w:vAlign w:val="center"/>
          </w:tcPr>
          <w:p>
            <w:pPr>
              <w:pStyle w:val="56"/>
              <w:keepNext w:val="0"/>
              <w:keepLines w:val="0"/>
              <w:pageBreakBefore w:val="0"/>
              <w:widowControl w:val="0"/>
              <w:kinsoku/>
              <w:wordWrap/>
              <w:overflowPunct/>
              <w:topLinePunct w:val="0"/>
              <w:autoSpaceDE/>
              <w:autoSpaceDN/>
              <w:bidi w:val="0"/>
              <w:adjustRightInd/>
              <w:snapToGrid/>
              <w:spacing w:line="288" w:lineRule="auto"/>
              <w:ind w:firstLine="0" w:firstLineChars="0"/>
              <w:jc w:val="left"/>
              <w:textAlignment w:val="auto"/>
              <w:rPr>
                <w:rFonts w:hint="default" w:ascii="Times New Roman" w:hAnsi="Times New Roman" w:cs="Times New Roman"/>
                <w:bCs/>
                <w:color w:val="auto"/>
                <w:kern w:val="0"/>
                <w:sz w:val="21"/>
                <w:szCs w:val="21"/>
                <w:shd w:val="clear" w:color="auto" w:fill="auto"/>
                <w:lang w:val="en-US" w:eastAsia="zh-CN"/>
              </w:rPr>
            </w:pPr>
            <w:r>
              <w:rPr>
                <w:rFonts w:hint="default" w:ascii="Times New Roman" w:hAnsi="Times New Roman" w:cs="Times New Roman"/>
                <w:bCs/>
                <w:color w:val="auto"/>
                <w:kern w:val="0"/>
                <w:sz w:val="21"/>
                <w:szCs w:val="21"/>
                <w:shd w:val="clear" w:color="auto" w:fill="auto"/>
                <w:lang w:val="en-US" w:eastAsia="zh-CN"/>
              </w:rPr>
              <w:t>本项目区域地表水环境、声环境</w:t>
            </w:r>
            <w:r>
              <w:rPr>
                <w:rFonts w:hint="eastAsia" w:ascii="Times New Roman" w:hAnsi="Times New Roman" w:cs="Times New Roman"/>
                <w:bCs/>
                <w:color w:val="auto"/>
                <w:kern w:val="0"/>
                <w:sz w:val="21"/>
                <w:szCs w:val="21"/>
                <w:shd w:val="clear" w:color="auto" w:fill="auto"/>
                <w:lang w:val="en-US" w:eastAsia="zh-CN"/>
              </w:rPr>
              <w:t>等</w:t>
            </w:r>
            <w:r>
              <w:rPr>
                <w:rFonts w:hint="default" w:ascii="Times New Roman" w:hAnsi="Times New Roman" w:cs="Times New Roman"/>
                <w:bCs/>
                <w:color w:val="auto"/>
                <w:kern w:val="0"/>
                <w:sz w:val="21"/>
                <w:szCs w:val="21"/>
                <w:shd w:val="clear" w:color="auto" w:fill="auto"/>
                <w:lang w:val="en-US" w:eastAsia="zh-CN"/>
              </w:rPr>
              <w:t>能够满足相应的标准要求</w:t>
            </w:r>
            <w:r>
              <w:rPr>
                <w:rFonts w:hint="eastAsia" w:ascii="Times New Roman" w:hAnsi="Times New Roman" w:cs="Times New Roman"/>
                <w:bCs/>
                <w:color w:val="auto"/>
                <w:kern w:val="0"/>
                <w:sz w:val="21"/>
                <w:szCs w:val="21"/>
                <w:shd w:val="clear" w:color="auto" w:fill="auto"/>
                <w:lang w:val="en-US" w:eastAsia="zh-CN"/>
              </w:rPr>
              <w:t>，根据环境质量公报，本项目区域空气环境质量为不达标区。</w:t>
            </w:r>
            <w:r>
              <w:rPr>
                <w:rFonts w:hint="default" w:ascii="Times New Roman" w:hAnsi="Times New Roman" w:cs="Times New Roman"/>
                <w:bCs/>
                <w:color w:val="auto"/>
                <w:kern w:val="0"/>
                <w:sz w:val="21"/>
                <w:szCs w:val="21"/>
                <w:shd w:val="clear" w:color="auto" w:fill="auto"/>
                <w:lang w:val="en-US" w:eastAsia="zh-CN"/>
              </w:rPr>
              <w:t>由工程</w:t>
            </w:r>
            <w:r>
              <w:rPr>
                <w:rFonts w:hint="eastAsia" w:ascii="Times New Roman" w:hAnsi="Times New Roman" w:cs="Times New Roman"/>
                <w:bCs/>
                <w:color w:val="auto"/>
                <w:kern w:val="0"/>
                <w:sz w:val="21"/>
                <w:szCs w:val="21"/>
                <w:shd w:val="clear" w:color="auto" w:fill="auto"/>
                <w:lang w:val="en-US" w:eastAsia="zh-CN"/>
              </w:rPr>
              <w:t>分析</w:t>
            </w:r>
            <w:r>
              <w:rPr>
                <w:rFonts w:hint="default" w:ascii="Times New Roman" w:hAnsi="Times New Roman" w:cs="Times New Roman"/>
                <w:bCs/>
                <w:color w:val="auto"/>
                <w:kern w:val="0"/>
                <w:sz w:val="21"/>
                <w:szCs w:val="21"/>
                <w:shd w:val="clear" w:color="auto" w:fill="auto"/>
                <w:lang w:val="en-US" w:eastAsia="zh-CN"/>
              </w:rPr>
              <w:t>内容可知，本项目为</w:t>
            </w:r>
            <w:r>
              <w:rPr>
                <w:rFonts w:hint="eastAsia" w:ascii="Times New Roman" w:hAnsi="Times New Roman" w:cs="Times New Roman"/>
                <w:bCs/>
                <w:color w:val="auto"/>
                <w:kern w:val="0"/>
                <w:sz w:val="21"/>
                <w:szCs w:val="21"/>
                <w:shd w:val="clear" w:color="auto" w:fill="auto"/>
                <w:lang w:val="en-US" w:eastAsia="zh-CN"/>
              </w:rPr>
              <w:t>码头</w:t>
            </w:r>
            <w:r>
              <w:rPr>
                <w:rFonts w:hint="default" w:ascii="Times New Roman" w:hAnsi="Times New Roman" w:cs="Times New Roman"/>
                <w:bCs/>
                <w:color w:val="auto"/>
                <w:kern w:val="0"/>
                <w:sz w:val="21"/>
                <w:szCs w:val="21"/>
                <w:shd w:val="clear" w:color="auto" w:fill="auto"/>
                <w:lang w:val="en-US" w:eastAsia="zh-CN"/>
              </w:rPr>
              <w:t>建设，工程产生的大气、水</w:t>
            </w:r>
            <w:r>
              <w:rPr>
                <w:rFonts w:hint="eastAsia" w:ascii="Times New Roman" w:hAnsi="Times New Roman" w:cs="Times New Roman"/>
                <w:bCs/>
                <w:color w:val="auto"/>
                <w:kern w:val="0"/>
                <w:sz w:val="21"/>
                <w:szCs w:val="21"/>
                <w:shd w:val="clear" w:color="auto" w:fill="auto"/>
                <w:lang w:val="en-US" w:eastAsia="zh-CN"/>
              </w:rPr>
              <w:t>、噪声等</w:t>
            </w:r>
            <w:r>
              <w:rPr>
                <w:rFonts w:hint="default" w:ascii="Times New Roman" w:hAnsi="Times New Roman" w:cs="Times New Roman"/>
                <w:bCs/>
                <w:color w:val="auto"/>
                <w:kern w:val="0"/>
                <w:sz w:val="21"/>
                <w:szCs w:val="21"/>
                <w:shd w:val="clear" w:color="auto" w:fill="auto"/>
                <w:lang w:val="en-US" w:eastAsia="zh-CN"/>
              </w:rPr>
              <w:t>污染物都采取了适当的污染防治措施，对周围环境影响很小，环境质量可以保持现有水平，符合环境质量底线要求。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1113" w:type="dxa"/>
            <w:vAlign w:val="center"/>
          </w:tcPr>
          <w:p>
            <w:pPr>
              <w:pStyle w:val="56"/>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rFonts w:cs="Times New Roman"/>
                <w:bCs/>
                <w:color w:val="auto"/>
                <w:kern w:val="0"/>
                <w:sz w:val="21"/>
                <w:szCs w:val="21"/>
                <w:shd w:val="clear" w:color="auto" w:fill="auto"/>
              </w:rPr>
            </w:pPr>
            <w:r>
              <w:rPr>
                <w:rFonts w:cs="Times New Roman"/>
                <w:bCs/>
                <w:color w:val="auto"/>
                <w:kern w:val="0"/>
                <w:sz w:val="21"/>
                <w:szCs w:val="21"/>
                <w:shd w:val="clear" w:color="auto" w:fill="auto"/>
              </w:rPr>
              <w:t>环境准入负面清单</w:t>
            </w:r>
          </w:p>
        </w:tc>
        <w:tc>
          <w:tcPr>
            <w:tcW w:w="7833" w:type="dxa"/>
            <w:vAlign w:val="center"/>
          </w:tcPr>
          <w:p>
            <w:pPr>
              <w:pStyle w:val="56"/>
              <w:keepNext w:val="0"/>
              <w:keepLines w:val="0"/>
              <w:pageBreakBefore w:val="0"/>
              <w:widowControl w:val="0"/>
              <w:kinsoku/>
              <w:wordWrap/>
              <w:overflowPunct/>
              <w:topLinePunct w:val="0"/>
              <w:autoSpaceDE/>
              <w:autoSpaceDN/>
              <w:bidi w:val="0"/>
              <w:adjustRightInd/>
              <w:snapToGrid/>
              <w:spacing w:line="288" w:lineRule="auto"/>
              <w:ind w:firstLine="0" w:firstLineChars="0"/>
              <w:jc w:val="left"/>
              <w:textAlignment w:val="auto"/>
              <w:rPr>
                <w:rFonts w:hint="default" w:ascii="Times New Roman" w:hAnsi="Times New Roman" w:cs="Times New Roman"/>
                <w:bCs/>
                <w:color w:val="auto"/>
                <w:kern w:val="0"/>
                <w:sz w:val="21"/>
                <w:szCs w:val="21"/>
                <w:shd w:val="clear" w:color="auto" w:fill="auto"/>
                <w:lang w:val="en-US" w:eastAsia="zh-CN"/>
              </w:rPr>
            </w:pPr>
            <w:r>
              <w:rPr>
                <w:rFonts w:hint="eastAsia" w:ascii="Times New Roman" w:hAnsi="Times New Roman" w:cs="Times New Roman"/>
                <w:bCs/>
                <w:color w:val="auto"/>
                <w:kern w:val="0"/>
                <w:sz w:val="21"/>
                <w:szCs w:val="21"/>
                <w:shd w:val="clear" w:color="auto" w:fill="auto"/>
                <w:lang w:val="en-US" w:eastAsia="zh-CN"/>
              </w:rPr>
              <w:t>本项目城关镇陶桥村上游沙颍河北岸，上距太和二桥约1.8km，项目所在区域目前没有环境功能负面清单列表。</w:t>
            </w:r>
          </w:p>
        </w:tc>
      </w:tr>
    </w:tbl>
    <w:p>
      <w:pPr>
        <w:spacing w:line="360" w:lineRule="auto"/>
        <w:ind w:firstLine="480" w:firstLineChars="200"/>
        <w:rPr>
          <w:rFonts w:hint="default"/>
          <w:color w:val="auto"/>
          <w:shd w:val="clear" w:color="auto" w:fill="auto"/>
        </w:rPr>
      </w:pPr>
    </w:p>
    <w:p>
      <w:pPr>
        <w:spacing w:line="360" w:lineRule="auto"/>
        <w:ind w:firstLine="0" w:firstLineChars="0"/>
        <w:rPr>
          <w:rFonts w:hint="eastAsia"/>
          <w:color w:val="auto"/>
          <w:shd w:val="clear" w:color="auto" w:fill="auto"/>
          <w:lang w:val="en-US" w:eastAsia="zh-CN"/>
        </w:rPr>
        <w:sectPr>
          <w:footerReference r:id="rId7" w:type="default"/>
          <w:pgSz w:w="11906" w:h="16838"/>
          <w:pgMar w:top="1418" w:right="1588" w:bottom="1418" w:left="1588" w:header="850" w:footer="850" w:gutter="0"/>
          <w:pgBorders>
            <w:top w:val="none" w:sz="0" w:space="0"/>
            <w:left w:val="none" w:sz="0" w:space="0"/>
            <w:bottom w:val="none" w:sz="0" w:space="0"/>
            <w:right w:val="none" w:sz="0" w:space="0"/>
          </w:pgBorders>
          <w:pgNumType w:fmt="decimal" w:start="1"/>
          <w:cols w:space="425" w:num="1"/>
          <w:docGrid w:linePitch="312" w:charSpace="0"/>
        </w:sectPr>
      </w:pPr>
    </w:p>
    <w:p>
      <w:pPr>
        <w:spacing w:line="360" w:lineRule="auto"/>
        <w:ind w:firstLine="0" w:firstLineChars="0"/>
        <w:rPr>
          <w:color w:val="auto"/>
          <w:sz w:val="24"/>
          <w:shd w:val="clear" w:color="auto" w:fill="auto"/>
        </w:rPr>
      </w:pPr>
      <w:r>
        <w:rPr>
          <w:color w:val="auto"/>
          <w:sz w:val="24"/>
          <w:shd w:val="clear" w:color="auto" w:fill="auto"/>
        </w:rPr>
        <mc:AlternateContent>
          <mc:Choice Requires="wps">
            <w:drawing>
              <wp:anchor distT="0" distB="0" distL="114300" distR="114300" simplePos="0" relativeHeight="3835886592" behindDoc="0" locked="0" layoutInCell="1" allowOverlap="1">
                <wp:simplePos x="0" y="0"/>
                <wp:positionH relativeFrom="column">
                  <wp:posOffset>1673860</wp:posOffset>
                </wp:positionH>
                <wp:positionV relativeFrom="paragraph">
                  <wp:posOffset>2222500</wp:posOffset>
                </wp:positionV>
                <wp:extent cx="1184910" cy="294640"/>
                <wp:effectExtent l="542290" t="6350" r="6350" b="22860"/>
                <wp:wrapNone/>
                <wp:docPr id="74" name="矩形标注 74"/>
                <wp:cNvGraphicFramePr/>
                <a:graphic xmlns:a="http://schemas.openxmlformats.org/drawingml/2006/main">
                  <a:graphicData uri="http://schemas.microsoft.com/office/word/2010/wordprocessingShape">
                    <wps:wsp>
                      <wps:cNvSpPr/>
                      <wps:spPr>
                        <a:xfrm>
                          <a:off x="3122930" y="2999105"/>
                          <a:ext cx="1184910" cy="294640"/>
                        </a:xfrm>
                        <a:prstGeom prst="wedgeRectCallout">
                          <a:avLst>
                            <a:gd name="adj1" fmla="val -91479"/>
                            <a:gd name="adj2" fmla="val 29073"/>
                          </a:avLst>
                        </a:prstGeom>
                        <a:solidFill>
                          <a:schemeClr val="bg1"/>
                        </a:solidFill>
                      </wps:spPr>
                      <wps:style>
                        <a:lnRef idx="2">
                          <a:schemeClr val="accent5"/>
                        </a:lnRef>
                        <a:fillRef idx="1">
                          <a:schemeClr val="lt1"/>
                        </a:fillRef>
                        <a:effectRef idx="0">
                          <a:schemeClr val="accent5"/>
                        </a:effectRef>
                        <a:fontRef idx="minor">
                          <a:schemeClr val="dk1"/>
                        </a:fontRef>
                      </wps:style>
                      <wps:txbx>
                        <w:txbxContent>
                          <w:p>
                            <w:pPr>
                              <w:ind w:left="0" w:leftChars="0" w:firstLine="0" w:firstLineChars="0"/>
                              <w:jc w:val="both"/>
                              <w:rPr>
                                <w:rFonts w:hint="eastAsia" w:eastAsia="宋体"/>
                                <w:b/>
                                <w:bCs/>
                                <w:color w:val="auto"/>
                                <w:lang w:eastAsia="zh-CN"/>
                              </w:rPr>
                            </w:pPr>
                            <w:r>
                              <w:rPr>
                                <w:rFonts w:hint="eastAsia"/>
                                <w:b/>
                                <w:bCs/>
                                <w:color w:val="auto"/>
                                <w:lang w:eastAsia="zh-CN"/>
                              </w:rPr>
                              <w:t>拟建项目位置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31.8pt;margin-top:175pt;height:23.2pt;width:93.3pt;z-index:-459080704;v-text-anchor:middle;mso-width-relative:page;mso-height-relative:page;" fillcolor="#FFFFFF [3212]" filled="t" stroked="t" coordsize="21600,21600" o:gfxdata="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D0JPTfcAAAACwEAAA8AAAAAAAAAAQAgAAAAIgAAAGRycy9kb3ducmV2&#10;LnhtbFBLAQIUABQAAAAIAIdO4kBO97ckowIAACMFAAAOAAAAAAAAAAEAIAAAACsBAABkcnMvZTJv&#10;RG9jLnhtbFBLBQYAAAAABgAGAFkBAABABgAAAAA=&#10;" adj="-8959,17080">
                <v:fill on="t" focussize="0,0"/>
                <v:stroke weight="1pt" color="#4472C4 [3208]" miterlimit="8" joinstyle="miter"/>
                <v:imagedata o:title=""/>
                <o:lock v:ext="edit" aspectratio="f"/>
                <v:textbox>
                  <w:txbxContent>
                    <w:p>
                      <w:pPr>
                        <w:ind w:left="0" w:leftChars="0" w:firstLine="0" w:firstLineChars="0"/>
                        <w:jc w:val="both"/>
                        <w:rPr>
                          <w:rFonts w:hint="eastAsia" w:eastAsia="宋体"/>
                          <w:b/>
                          <w:bCs/>
                          <w:color w:val="auto"/>
                          <w:lang w:eastAsia="zh-CN"/>
                        </w:rPr>
                      </w:pPr>
                      <w:r>
                        <w:rPr>
                          <w:rFonts w:hint="eastAsia"/>
                          <w:b/>
                          <w:bCs/>
                          <w:color w:val="auto"/>
                          <w:lang w:eastAsia="zh-CN"/>
                        </w:rPr>
                        <w:t>拟建项目位置</w:t>
                      </w:r>
                    </w:p>
                  </w:txbxContent>
                </v:textbox>
              </v:shape>
            </w:pict>
          </mc:Fallback>
        </mc:AlternateContent>
      </w:r>
      <w:r>
        <w:rPr>
          <w:sz w:val="24"/>
        </w:rPr>
        <mc:AlternateContent>
          <mc:Choice Requires="wps">
            <w:drawing>
              <wp:anchor distT="0" distB="0" distL="114300" distR="114300" simplePos="0" relativeHeight="1395241984" behindDoc="0" locked="0" layoutInCell="1" allowOverlap="1">
                <wp:simplePos x="0" y="0"/>
                <wp:positionH relativeFrom="column">
                  <wp:posOffset>1021715</wp:posOffset>
                </wp:positionH>
                <wp:positionV relativeFrom="paragraph">
                  <wp:posOffset>2409825</wp:posOffset>
                </wp:positionV>
                <wp:extent cx="112395" cy="103505"/>
                <wp:effectExtent l="20320" t="19685" r="19685" b="29210"/>
                <wp:wrapNone/>
                <wp:docPr id="65" name="五角星 65"/>
                <wp:cNvGraphicFramePr/>
                <a:graphic xmlns:a="http://schemas.openxmlformats.org/drawingml/2006/main">
                  <a:graphicData uri="http://schemas.microsoft.com/office/word/2010/wordprocessingShape">
                    <wps:wsp>
                      <wps:cNvSpPr/>
                      <wps:spPr>
                        <a:xfrm>
                          <a:off x="2063115" y="3326765"/>
                          <a:ext cx="112395" cy="103505"/>
                        </a:xfrm>
                        <a:prstGeom prst="star5">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80.45pt;margin-top:189.75pt;height:8.15pt;width:8.85pt;z-index:1395241984;v-text-anchor:middle;mso-width-relative:page;mso-height-relative:page;" fillcolor="#000000 [3200]" filled="t" stroked="t" coordsize="112395,103505" o:gfxdata="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EoUVEbcAAAACwEAAA8AAAAAAAAAAQAgAAAAIgAAAGRy&#10;cy9kb3ducmV2LnhtbFBLAQIUABQAAAAIAIdO4kCSqKAwcwIAANgEAAAOAAAAAAAAAAEAIAAAACsB&#10;AABkcnMvZTJvRG9jLnhtbFBLBQYAAAAABgAGAFkBAAAQBgAAAAA=&#10;" path="m0,39535l42931,39535,56197,0,69463,39535,112394,39535,77662,63969,90929,103504,56197,79070,21465,103504,34732,63969xe">
                <v:path o:connectlocs="56197,0;0,39535;21465,103504;90929,103504;112394,39535" o:connectangles="247,164,82,82,0"/>
                <v:fill on="t" focussize="0,0"/>
                <v:stroke weight="1pt" color="#000000 [3200]" miterlimit="8" joinstyle="miter"/>
                <v:imagedata o:title=""/>
                <o:lock v:ext="edit" aspectratio="f"/>
              </v:shape>
            </w:pict>
          </mc:Fallback>
        </mc:AlternateContent>
      </w:r>
      <w:r>
        <w:rPr>
          <w:color w:val="auto"/>
          <w:sz w:val="24"/>
          <w:shd w:val="clear" w:color="auto" w:fill="auto"/>
        </w:rPr>
        <w:drawing>
          <wp:inline distT="0" distB="0" distL="114300" distR="114300">
            <wp:extent cx="5548630" cy="7917180"/>
            <wp:effectExtent l="0" t="0" r="13970" b="7620"/>
            <wp:docPr id="48" name="图片 48" descr="安徽省生态红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安徽省生态红线图"/>
                    <pic:cNvPicPr>
                      <a:picLocks noChangeAspect="1"/>
                    </pic:cNvPicPr>
                  </pic:nvPicPr>
                  <pic:blipFill>
                    <a:blip r:embed="rId14"/>
                    <a:stretch>
                      <a:fillRect/>
                    </a:stretch>
                  </pic:blipFill>
                  <pic:spPr>
                    <a:xfrm>
                      <a:off x="0" y="0"/>
                      <a:ext cx="5548630" cy="7917180"/>
                    </a:xfrm>
                    <a:prstGeom prst="rect">
                      <a:avLst/>
                    </a:prstGeom>
                  </pic:spPr>
                </pic:pic>
              </a:graphicData>
            </a:graphic>
          </wp:inline>
        </w:drawing>
      </w:r>
    </w:p>
    <w:p>
      <w:pPr>
        <w:bidi w:val="0"/>
      </w:pPr>
      <w:r>
        <w:rPr>
          <w:color w:val="auto"/>
          <w:sz w:val="24"/>
          <w:shd w:val="clear" w:color="auto" w:fill="auto"/>
        </w:rPr>
        <mc:AlternateContent>
          <mc:Choice Requires="wps">
            <w:drawing>
              <wp:anchor distT="0" distB="0" distL="114300" distR="114300" simplePos="0" relativeHeight="1395237888" behindDoc="0" locked="0" layoutInCell="1" allowOverlap="1">
                <wp:simplePos x="0" y="0"/>
                <wp:positionH relativeFrom="column">
                  <wp:posOffset>1423670</wp:posOffset>
                </wp:positionH>
                <wp:positionV relativeFrom="paragraph">
                  <wp:posOffset>-69215</wp:posOffset>
                </wp:positionV>
                <wp:extent cx="2485390" cy="294640"/>
                <wp:effectExtent l="0" t="0" r="10160" b="10160"/>
                <wp:wrapNone/>
                <wp:docPr id="7" name="文本框 7"/>
                <wp:cNvGraphicFramePr/>
                <a:graphic xmlns:a="http://schemas.openxmlformats.org/drawingml/2006/main">
                  <a:graphicData uri="http://schemas.microsoft.com/office/word/2010/wordprocessingShape">
                    <wps:wsp>
                      <wps:cNvSpPr txBox="1"/>
                      <wps:spPr>
                        <a:xfrm>
                          <a:off x="0" y="0"/>
                          <a:ext cx="2485390" cy="294640"/>
                        </a:xfrm>
                        <a:prstGeom prst="rect">
                          <a:avLst/>
                        </a:prstGeom>
                        <a:solidFill>
                          <a:srgbClr val="FFFFFF"/>
                        </a:solidFill>
                        <a:ln w="9525">
                          <a:noFill/>
                        </a:ln>
                        <a:effectLst/>
                      </wps:spPr>
                      <wps:txbx>
                        <w:txbxContent>
                          <w:p>
                            <w:pPr>
                              <w:spacing w:line="240" w:lineRule="auto"/>
                              <w:ind w:firstLine="0" w:firstLineChars="0"/>
                              <w:jc w:val="center"/>
                              <w:rPr>
                                <w:b/>
                                <w:bCs/>
                              </w:rPr>
                            </w:pPr>
                            <w:r>
                              <w:rPr>
                                <w:rFonts w:hint="eastAsia" w:eastAsia="黑体" w:cs="Times New Roman"/>
                                <w:b w:val="0"/>
                                <w:bCs w:val="0"/>
                                <w:color w:val="auto"/>
                                <w:sz w:val="24"/>
                                <w:szCs w:val="24"/>
                                <w:lang w:val="en-US" w:eastAsia="zh-CN"/>
                              </w:rPr>
                              <w:t>图1.6-1</w:t>
                            </w:r>
                            <w:r>
                              <w:rPr>
                                <w:rFonts w:hint="default" w:ascii="Times New Roman" w:hAnsi="Times New Roman" w:eastAsia="黑体" w:cs="Times New Roman"/>
                                <w:b w:val="0"/>
                                <w:bCs w:val="0"/>
                                <w:color w:val="auto"/>
                                <w:sz w:val="24"/>
                                <w:szCs w:val="24"/>
                                <w:lang w:val="en-US" w:eastAsia="zh-CN"/>
                              </w:rPr>
                              <w:t xml:space="preserve"> 安徽省生态保护红线图</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12.1pt;margin-top:-5.45pt;height:23.2pt;width:195.7pt;z-index:1395237888;mso-width-relative:page;mso-height-relative:page;" fillcolor="#FFFFFF" filled="t" stroked="f" coordsize="21600,21600" o:gfxdata="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ooYPD2QAAAAoBAAAPAAAAAAAAAAEAIAAA&#10;ACIAAABkcnMvZG93bnJldi54bWxQSwECFAAUAAAACACHTuJAD5/VY0QCAABbBAAADgAAAAAAAAAB&#10;ACAAAAAoAQAAZHJzL2Uyb0RvYy54bWxQSwUGAAAAAAYABgBZAQAA3gUAAAAA&#10;">
                <v:fill on="t" focussize="0,0"/>
                <v:stroke on="f"/>
                <v:imagedata o:title=""/>
                <o:lock v:ext="edit" aspectratio="f"/>
                <v:textbox>
                  <w:txbxContent>
                    <w:p>
                      <w:pPr>
                        <w:spacing w:line="240" w:lineRule="auto"/>
                        <w:ind w:firstLine="0" w:firstLineChars="0"/>
                        <w:jc w:val="center"/>
                        <w:rPr>
                          <w:b/>
                          <w:bCs/>
                        </w:rPr>
                      </w:pPr>
                      <w:r>
                        <w:rPr>
                          <w:rFonts w:hint="eastAsia" w:eastAsia="黑体" w:cs="Times New Roman"/>
                          <w:b w:val="0"/>
                          <w:bCs w:val="0"/>
                          <w:color w:val="auto"/>
                          <w:sz w:val="24"/>
                          <w:szCs w:val="24"/>
                          <w:lang w:val="en-US" w:eastAsia="zh-CN"/>
                        </w:rPr>
                        <w:t>图1.6-1</w:t>
                      </w:r>
                      <w:r>
                        <w:rPr>
                          <w:rFonts w:hint="default" w:ascii="Times New Roman" w:hAnsi="Times New Roman" w:eastAsia="黑体" w:cs="Times New Roman"/>
                          <w:b w:val="0"/>
                          <w:bCs w:val="0"/>
                          <w:color w:val="auto"/>
                          <w:sz w:val="24"/>
                          <w:szCs w:val="24"/>
                          <w:lang w:val="en-US" w:eastAsia="zh-CN"/>
                        </w:rPr>
                        <w:t xml:space="preserve"> 安徽省生态保护红线图</w:t>
                      </w:r>
                    </w:p>
                  </w:txbxContent>
                </v:textbox>
              </v:shape>
            </w:pict>
          </mc:Fallback>
        </mc:AlternateContent>
      </w:r>
    </w:p>
    <w:p>
      <w:pPr>
        <w:bidi w:val="0"/>
        <w:sectPr>
          <w:pgSz w:w="11906" w:h="16838"/>
          <w:pgMar w:top="1418" w:right="1588" w:bottom="1418" w:left="1588" w:header="850" w:footer="850" w:gutter="0"/>
          <w:pgBorders>
            <w:top w:val="none" w:sz="0" w:space="0"/>
            <w:left w:val="none" w:sz="0" w:space="0"/>
            <w:bottom w:val="none" w:sz="0" w:space="0"/>
            <w:right w:val="none" w:sz="0" w:space="0"/>
          </w:pgBorders>
          <w:pgNumType w:fmt="decimal"/>
          <w:cols w:space="425" w:num="1"/>
          <w:docGrid w:linePitch="312" w:charSpace="0"/>
        </w:sectPr>
      </w:pPr>
    </w:p>
    <w:p>
      <w:pPr>
        <w:spacing w:line="360" w:lineRule="auto"/>
        <w:ind w:firstLine="0" w:firstLineChars="0"/>
        <w:jc w:val="center"/>
        <w:rPr>
          <w:rFonts w:hint="eastAsia" w:eastAsia="宋体"/>
          <w:color w:val="auto"/>
          <w:sz w:val="24"/>
          <w:shd w:val="clear" w:color="auto" w:fill="auto"/>
          <w:lang w:eastAsia="zh-CN"/>
        </w:rPr>
      </w:pPr>
      <w:r>
        <w:rPr>
          <w:sz w:val="24"/>
        </w:rPr>
        <mc:AlternateContent>
          <mc:Choice Requires="wps">
            <w:drawing>
              <wp:anchor distT="0" distB="0" distL="114300" distR="114300" simplePos="0" relativeHeight="1395240960" behindDoc="0" locked="0" layoutInCell="1" allowOverlap="1">
                <wp:simplePos x="0" y="0"/>
                <wp:positionH relativeFrom="column">
                  <wp:posOffset>8157845</wp:posOffset>
                </wp:positionH>
                <wp:positionV relativeFrom="paragraph">
                  <wp:posOffset>2513330</wp:posOffset>
                </wp:positionV>
                <wp:extent cx="138430" cy="112395"/>
                <wp:effectExtent l="22225" t="17780" r="29845" b="22225"/>
                <wp:wrapNone/>
                <wp:docPr id="64" name="五角星 64"/>
                <wp:cNvGraphicFramePr/>
                <a:graphic xmlns:a="http://schemas.openxmlformats.org/drawingml/2006/main">
                  <a:graphicData uri="http://schemas.microsoft.com/office/word/2010/wordprocessingShape">
                    <wps:wsp>
                      <wps:cNvSpPr/>
                      <wps:spPr>
                        <a:xfrm>
                          <a:off x="9058275" y="3521710"/>
                          <a:ext cx="138430" cy="112395"/>
                        </a:xfrm>
                        <a:prstGeom prst="star5">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642.35pt;margin-top:197.9pt;height:8.85pt;width:10.9pt;z-index:1395240960;v-text-anchor:middle;mso-width-relative:page;mso-height-relative:page;" fillcolor="#000000 [3200]" filled="t" stroked="t" coordsize="138430,112395" o:gfxdata="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jv6KFdoAAAANAQAADwAAAAAAAAABACAAAAAiAAAAZHJz&#10;L2Rvd25yZXYueG1sUEsBAhQAFAAAAAgAh07iQHXWHUR0AgAA2AQAAA4AAAAAAAAAAQAgAAAAKQEA&#10;AGRycy9lMm9Eb2MueG1sUEsFBgAAAAAGAAYAWQEAAA8GAAAAAA==&#10;" path="m0,42930l52875,42931,69215,0,85554,42931,138429,42930,95652,69463,111992,112394,69215,85861,26437,112394,42777,69463xe">
                <v:path o:connectlocs="69215,0;0,42930;26437,112394;111992,112394;138429,42930" o:connectangles="247,164,82,82,0"/>
                <v:fill on="t" focussize="0,0"/>
                <v:stroke weight="1pt" color="#000000 [3200]" miterlimit="8" joinstyle="miter"/>
                <v:imagedata o:title=""/>
                <o:lock v:ext="edit" aspectratio="f"/>
              </v:shape>
            </w:pict>
          </mc:Fallback>
        </mc:AlternateContent>
      </w:r>
      <w:r>
        <w:rPr>
          <w:sz w:val="24"/>
        </w:rPr>
        <mc:AlternateContent>
          <mc:Choice Requires="wps">
            <w:drawing>
              <wp:anchor distT="0" distB="0" distL="114300" distR="114300" simplePos="0" relativeHeight="1395239936" behindDoc="0" locked="0" layoutInCell="1" allowOverlap="1">
                <wp:simplePos x="0" y="0"/>
                <wp:positionH relativeFrom="column">
                  <wp:posOffset>7075170</wp:posOffset>
                </wp:positionH>
                <wp:positionV relativeFrom="paragraph">
                  <wp:posOffset>1691005</wp:posOffset>
                </wp:positionV>
                <wp:extent cx="1974850" cy="1567180"/>
                <wp:effectExtent l="0" t="0" r="0" b="0"/>
                <wp:wrapNone/>
                <wp:docPr id="60" name="文本框 60"/>
                <wp:cNvGraphicFramePr/>
                <a:graphic xmlns:a="http://schemas.openxmlformats.org/drawingml/2006/main">
                  <a:graphicData uri="http://schemas.microsoft.com/office/word/2010/wordprocessingShape">
                    <wps:wsp>
                      <wps:cNvSpPr txBox="1"/>
                      <wps:spPr>
                        <a:xfrm>
                          <a:off x="7975600" y="2699385"/>
                          <a:ext cx="1974850" cy="1567180"/>
                        </a:xfrm>
                        <a:prstGeom prst="rect">
                          <a:avLst/>
                        </a:prstGeom>
                        <a:noFill/>
                        <a:ln w="9525">
                          <a:noFill/>
                        </a:ln>
                      </wps:spPr>
                      <wps:txbx>
                        <w:txbxContent>
                          <w:p>
                            <w:pPr>
                              <w:ind w:left="0" w:leftChars="0" w:firstLine="0" w:firstLineChars="0"/>
                            </w:pPr>
                            <w:r>
                              <w:drawing>
                                <wp:inline distT="0" distB="0" distL="114300" distR="114300">
                                  <wp:extent cx="1846580" cy="1460500"/>
                                  <wp:effectExtent l="0" t="0" r="1270" b="6350"/>
                                  <wp:docPr id="61" name="图片 10" descr="&amp;pfm111&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 descr="&amp;pfm111&amp;"/>
                                          <pic:cNvPicPr>
                                            <a:picLocks noChangeAspect="1"/>
                                          </pic:cNvPicPr>
                                        </pic:nvPicPr>
                                        <pic:blipFill>
                                          <a:blip r:embed="rId15">
                                            <a:extLst>
                                              <a:ext uri="{BEBA8EAE-BF5A-486C-A8C5-ECC9F3942E4B}">
                                                <a14:imgProps xmlns:a14="http://schemas.microsoft.com/office/drawing/2010/main">
                                                  <a14:imgLayer r:embed="rId16"/>
                                                </a14:imgProps>
                                              </a:ext>
                                            </a:extLst>
                                          </a:blip>
                                          <a:srcRect/>
                                          <a:stretch>
                                            <a:fillRect/>
                                          </a:stretch>
                                        </pic:blipFill>
                                        <pic:spPr>
                                          <a:xfrm>
                                            <a:off x="0" y="0"/>
                                            <a:ext cx="1846580" cy="1460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557.1pt;margin-top:133.15pt;height:123.4pt;width:155.5pt;z-index:1395239936;mso-width-relative:page;mso-height-relative:page;" filled="f" stroked="f" coordsize="21600,21600" o:gfxdata="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BK3cuNkAAAANAQAADwAAAAAAAAABACAAAAAiAAAAZHJzL2Rvd25y&#10;ZXYueG1sUEsBAhQAFAAAAAgAh07iQHQ/W642AgAAMwQAAA4AAAAAAAAAAQAgAAAAKAEAAGRycy9l&#10;Mm9Eb2MueG1sUEsFBgAAAAAGAAYAWQEAANAFAAAAAA==&#10;">
                <v:fill on="f" focussize="0,0"/>
                <v:stroke on="f"/>
                <v:imagedata o:title=""/>
                <o:lock v:ext="edit" aspectratio="f"/>
                <v:textbox>
                  <w:txbxContent>
                    <w:p>
                      <w:pPr>
                        <w:ind w:left="0" w:leftChars="0" w:firstLine="0" w:firstLineChars="0"/>
                      </w:pPr>
                      <w:r>
                        <w:drawing>
                          <wp:inline distT="0" distB="0" distL="114300" distR="114300">
                            <wp:extent cx="1846580" cy="1460500"/>
                            <wp:effectExtent l="0" t="0" r="1270" b="6350"/>
                            <wp:docPr id="61" name="图片 10" descr="&amp;pfm111&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 descr="&amp;pfm111&amp;"/>
                                    <pic:cNvPicPr>
                                      <a:picLocks noChangeAspect="1"/>
                                    </pic:cNvPicPr>
                                  </pic:nvPicPr>
                                  <pic:blipFill>
                                    <a:blip r:embed="rId15">
                                      <a:extLst>
                                        <a:ext uri="{BEBA8EAE-BF5A-486C-A8C5-ECC9F3942E4B}">
                                          <a14:imgProps xmlns:a14="http://schemas.microsoft.com/office/drawing/2010/main">
                                            <a14:imgLayer r:embed="rId16"/>
                                          </a14:imgProps>
                                        </a:ext>
                                      </a:extLst>
                                    </a:blip>
                                    <a:srcRect/>
                                    <a:stretch>
                                      <a:fillRect/>
                                    </a:stretch>
                                  </pic:blipFill>
                                  <pic:spPr>
                                    <a:xfrm>
                                      <a:off x="0" y="0"/>
                                      <a:ext cx="1846580" cy="1460500"/>
                                    </a:xfrm>
                                    <a:prstGeom prst="rect">
                                      <a:avLst/>
                                    </a:prstGeom>
                                    <a:noFill/>
                                    <a:ln>
                                      <a:noFill/>
                                    </a:ln>
                                  </pic:spPr>
                                </pic:pic>
                              </a:graphicData>
                            </a:graphic>
                          </wp:inline>
                        </w:drawing>
                      </w:r>
                    </w:p>
                  </w:txbxContent>
                </v:textbox>
              </v:shape>
            </w:pict>
          </mc:Fallback>
        </mc:AlternateContent>
      </w:r>
      <w:r>
        <w:rPr>
          <w:color w:val="auto"/>
          <w:sz w:val="24"/>
          <w:shd w:val="clear" w:color="auto" w:fill="auto"/>
        </w:rPr>
        <mc:AlternateContent>
          <mc:Choice Requires="wps">
            <w:drawing>
              <wp:anchor distT="0" distB="0" distL="114300" distR="114300" simplePos="0" relativeHeight="1345469440" behindDoc="0" locked="0" layoutInCell="1" allowOverlap="1">
                <wp:simplePos x="0" y="0"/>
                <wp:positionH relativeFrom="column">
                  <wp:posOffset>4059555</wp:posOffset>
                </wp:positionH>
                <wp:positionV relativeFrom="paragraph">
                  <wp:posOffset>1464310</wp:posOffset>
                </wp:positionV>
                <wp:extent cx="1133475" cy="295275"/>
                <wp:effectExtent l="6350" t="6350" r="22225" b="250825"/>
                <wp:wrapNone/>
                <wp:docPr id="58" name="矩形标注 58"/>
                <wp:cNvGraphicFramePr/>
                <a:graphic xmlns:a="http://schemas.openxmlformats.org/drawingml/2006/main">
                  <a:graphicData uri="http://schemas.microsoft.com/office/word/2010/wordprocessingShape">
                    <wps:wsp>
                      <wps:cNvSpPr/>
                      <wps:spPr>
                        <a:xfrm>
                          <a:off x="0" y="0"/>
                          <a:ext cx="1133475" cy="295275"/>
                        </a:xfrm>
                        <a:prstGeom prst="wedgeRectCallout">
                          <a:avLst>
                            <a:gd name="adj1" fmla="val -43333"/>
                            <a:gd name="adj2" fmla="val 126904"/>
                          </a:avLst>
                        </a:prstGeom>
                        <a:solidFill>
                          <a:schemeClr val="bg1"/>
                        </a:solidFill>
                      </wps:spPr>
                      <wps:style>
                        <a:lnRef idx="2">
                          <a:schemeClr val="accent5"/>
                        </a:lnRef>
                        <a:fillRef idx="1">
                          <a:schemeClr val="lt1"/>
                        </a:fillRef>
                        <a:effectRef idx="0">
                          <a:schemeClr val="accent5"/>
                        </a:effectRef>
                        <a:fontRef idx="minor">
                          <a:schemeClr val="dk1"/>
                        </a:fontRef>
                      </wps:style>
                      <wps:txbx>
                        <w:txbxContent>
                          <w:p>
                            <w:pPr>
                              <w:ind w:left="0" w:leftChars="0" w:firstLine="0" w:firstLineChars="0"/>
                              <w:jc w:val="both"/>
                              <w:rPr>
                                <w:rFonts w:hint="eastAsia" w:eastAsia="宋体"/>
                                <w:b/>
                                <w:bCs/>
                                <w:color w:val="auto"/>
                                <w:lang w:eastAsia="zh-CN"/>
                              </w:rPr>
                            </w:pPr>
                            <w:r>
                              <w:rPr>
                                <w:rFonts w:hint="eastAsia"/>
                                <w:b/>
                                <w:bCs/>
                                <w:color w:val="auto"/>
                                <w:lang w:eastAsia="zh-CN"/>
                              </w:rPr>
                              <w:t>拟建项目位置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19.65pt;margin-top:115.3pt;height:23.25pt;width:89.25pt;z-index:1345469440;v-text-anchor:middle;mso-width-relative:page;mso-height-relative:page;" fillcolor="#FFFFFF [3212]" filled="t" stroked="t" coordsize="21600,21600" o:gfxdata="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rb+gddkAAAALAQAADwAAAAAAAAABACAAAAAiAAAAZHJzL2Rvd25yZXYueG1sUEsBAhQAFAAAAAgA&#10;h07iQEbZm9aWAgAAGAUAAA4AAAAAAAAAAQAgAAAAKAEAAGRycy9lMm9Eb2MueG1sUEsFBgAAAAAG&#10;AAYAWQEAADAGAAAAAA==&#10;" adj="1440,38211">
                <v:fill on="t" focussize="0,0"/>
                <v:stroke weight="1pt" color="#4472C4 [3208]" miterlimit="8" joinstyle="miter"/>
                <v:imagedata o:title=""/>
                <o:lock v:ext="edit" aspectratio="f"/>
                <v:textbox>
                  <w:txbxContent>
                    <w:p>
                      <w:pPr>
                        <w:ind w:left="0" w:leftChars="0" w:firstLine="0" w:firstLineChars="0"/>
                        <w:jc w:val="both"/>
                        <w:rPr>
                          <w:rFonts w:hint="eastAsia" w:eastAsia="宋体"/>
                          <w:b/>
                          <w:bCs/>
                          <w:color w:val="auto"/>
                          <w:lang w:eastAsia="zh-CN"/>
                        </w:rPr>
                      </w:pPr>
                      <w:r>
                        <w:rPr>
                          <w:rFonts w:hint="eastAsia"/>
                          <w:b/>
                          <w:bCs/>
                          <w:color w:val="auto"/>
                          <w:lang w:eastAsia="zh-CN"/>
                        </w:rPr>
                        <w:t>拟建项目位置</w:t>
                      </w:r>
                    </w:p>
                  </w:txbxContent>
                </v:textbox>
              </v:shape>
            </w:pict>
          </mc:Fallback>
        </mc:AlternateContent>
      </w:r>
      <w:r>
        <w:rPr>
          <w:sz w:val="24"/>
        </w:rPr>
        <mc:AlternateContent>
          <mc:Choice Requires="wps">
            <w:drawing>
              <wp:anchor distT="0" distB="0" distL="114300" distR="114300" simplePos="0" relativeHeight="1395238912" behindDoc="0" locked="0" layoutInCell="1" allowOverlap="1">
                <wp:simplePos x="0" y="0"/>
                <wp:positionH relativeFrom="column">
                  <wp:posOffset>3992880</wp:posOffset>
                </wp:positionH>
                <wp:positionV relativeFrom="paragraph">
                  <wp:posOffset>1976120</wp:posOffset>
                </wp:positionV>
                <wp:extent cx="129540" cy="113030"/>
                <wp:effectExtent l="20955" t="19050" r="20955" b="20320"/>
                <wp:wrapNone/>
                <wp:docPr id="57" name="五角星 57"/>
                <wp:cNvGraphicFramePr/>
                <a:graphic xmlns:a="http://schemas.openxmlformats.org/drawingml/2006/main">
                  <a:graphicData uri="http://schemas.microsoft.com/office/word/2010/wordprocessingShape">
                    <wps:wsp>
                      <wps:cNvSpPr/>
                      <wps:spPr>
                        <a:xfrm>
                          <a:off x="4893310" y="2984500"/>
                          <a:ext cx="129540" cy="113030"/>
                        </a:xfrm>
                        <a:prstGeom prst="star5">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14.4pt;margin-top:155.6pt;height:8.9pt;width:10.2pt;z-index:1395238912;v-text-anchor:middle;mso-width-relative:page;mso-height-relative:page;" fillcolor="#000000 [3200]" filled="t" stroked="t" coordsize="129540,113030" o:gfxdata="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FOXNIbXAAAACwEAAA8AAAAAAAAAAQAgAAAAIgAAAGRycy9kb3du&#10;cmV2LnhtbFBLAQIUABQAAAAIAIdO4kAHEDY7cgIAANgEAAAOAAAAAAAAAAEAIAAAACYBAABkcnMv&#10;ZTJvRG9jLnhtbFBLBQYAAAAABgAGAFkBAAAKBgAAAAA=&#10;" path="m0,43173l49480,43173,64770,0,80059,43173,129539,43173,89509,69856,104799,113029,64770,86346,24740,113029,40030,69856xe">
                <v:path o:connectlocs="64770,0;0,43173;24740,113029;104799,113029;129539,43173" o:connectangles="247,164,82,82,0"/>
                <v:fill on="t" focussize="0,0"/>
                <v:stroke weight="1pt" color="#000000 [3200]" miterlimit="8" joinstyle="miter"/>
                <v:imagedata o:title=""/>
                <o:lock v:ext="edit" aspectratio="f"/>
              </v:shape>
            </w:pict>
          </mc:Fallback>
        </mc:AlternateContent>
      </w:r>
      <w:r>
        <w:rPr>
          <w:rFonts w:hint="eastAsia" w:eastAsia="宋体"/>
          <w:color w:val="auto"/>
          <w:sz w:val="24"/>
          <w:shd w:val="clear" w:color="auto" w:fill="auto"/>
          <w:lang w:eastAsia="zh-CN"/>
        </w:rPr>
        <w:drawing>
          <wp:inline distT="0" distB="0" distL="114300" distR="114300">
            <wp:extent cx="7423785" cy="5243830"/>
            <wp:effectExtent l="0" t="0" r="5715" b="13970"/>
            <wp:docPr id="4" name="图片 4" descr="阜阳市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阜阳市A1"/>
                    <pic:cNvPicPr>
                      <a:picLocks noChangeAspect="1"/>
                    </pic:cNvPicPr>
                  </pic:nvPicPr>
                  <pic:blipFill>
                    <a:blip r:embed="rId17"/>
                    <a:stretch>
                      <a:fillRect/>
                    </a:stretch>
                  </pic:blipFill>
                  <pic:spPr>
                    <a:xfrm>
                      <a:off x="0" y="0"/>
                      <a:ext cx="7423785" cy="5243830"/>
                    </a:xfrm>
                    <a:prstGeom prst="rect">
                      <a:avLst/>
                    </a:prstGeom>
                  </pic:spPr>
                </pic:pic>
              </a:graphicData>
            </a:graphic>
          </wp:inline>
        </w:drawing>
      </w:r>
    </w:p>
    <w:p>
      <w:pPr>
        <w:spacing w:line="240" w:lineRule="auto"/>
        <w:ind w:firstLine="0" w:firstLineChars="0"/>
        <w:jc w:val="center"/>
        <w:rPr>
          <w:rFonts w:hint="eastAsia" w:eastAsia="黑体" w:cs="Times New Roman"/>
          <w:b w:val="0"/>
          <w:bCs w:val="0"/>
          <w:color w:val="auto"/>
          <w:sz w:val="24"/>
          <w:szCs w:val="24"/>
          <w:lang w:val="en-US" w:eastAsia="zh-CN"/>
        </w:rPr>
      </w:pPr>
      <w:r>
        <w:rPr>
          <w:rFonts w:hint="eastAsia" w:eastAsia="黑体" w:cs="Times New Roman"/>
          <w:b w:val="0"/>
          <w:bCs w:val="0"/>
          <w:color w:val="auto"/>
          <w:sz w:val="24"/>
          <w:szCs w:val="24"/>
          <w:lang w:val="en-US" w:eastAsia="zh-CN"/>
        </w:rPr>
        <w:t>图1.6-2 阜阳市生态保护红线图</w:t>
      </w:r>
    </w:p>
    <w:p>
      <w:pPr>
        <w:bidi w:val="0"/>
        <w:rPr>
          <w:rFonts w:hint="eastAsia"/>
          <w:lang w:eastAsia="zh-CN"/>
        </w:rPr>
        <w:sectPr>
          <w:pgSz w:w="16838" w:h="11906" w:orient="landscape"/>
          <w:pgMar w:top="1588" w:right="1418" w:bottom="1588" w:left="1418" w:header="850" w:footer="850" w:gutter="0"/>
          <w:pgBorders>
            <w:top w:val="none" w:sz="0" w:space="0"/>
            <w:left w:val="none" w:sz="0" w:space="0"/>
            <w:bottom w:val="none" w:sz="0" w:space="0"/>
            <w:right w:val="none" w:sz="0" w:space="0"/>
          </w:pgBorders>
          <w:pgNumType w:fmt="decimal"/>
          <w:cols w:space="425" w:num="1"/>
          <w:docGrid w:linePitch="312" w:charSpace="0"/>
        </w:sectPr>
      </w:pPr>
      <w:r>
        <w:rPr>
          <w:color w:val="auto"/>
          <w:shd w:val="clear" w:color="auto" w:fill="auto"/>
        </w:rPr>
        <mc:AlternateContent>
          <mc:Choice Requires="wps">
            <w:drawing>
              <wp:anchor distT="0" distB="0" distL="114300" distR="114300" simplePos="0" relativeHeight="1395234816" behindDoc="0" locked="0" layoutInCell="1" allowOverlap="1">
                <wp:simplePos x="0" y="0"/>
                <wp:positionH relativeFrom="column">
                  <wp:posOffset>1809750</wp:posOffset>
                </wp:positionH>
                <wp:positionV relativeFrom="paragraph">
                  <wp:posOffset>2030095</wp:posOffset>
                </wp:positionV>
                <wp:extent cx="2397760" cy="304800"/>
                <wp:effectExtent l="0" t="0" r="2540" b="0"/>
                <wp:wrapNone/>
                <wp:docPr id="8" name="文本框 8"/>
                <wp:cNvGraphicFramePr/>
                <a:graphic xmlns:a="http://schemas.openxmlformats.org/drawingml/2006/main">
                  <a:graphicData uri="http://schemas.microsoft.com/office/word/2010/wordprocessingShape">
                    <wps:wsp>
                      <wps:cNvSpPr txBox="1"/>
                      <wps:spPr>
                        <a:xfrm>
                          <a:off x="0" y="0"/>
                          <a:ext cx="2397760" cy="304800"/>
                        </a:xfrm>
                        <a:prstGeom prst="rect">
                          <a:avLst/>
                        </a:prstGeom>
                        <a:solidFill>
                          <a:srgbClr val="FFFFFF"/>
                        </a:solidFill>
                        <a:ln w="9525">
                          <a:noFill/>
                        </a:ln>
                      </wps:spPr>
                      <wps:txbx>
                        <w:txbxContent>
                          <w:p>
                            <w:pPr>
                              <w:spacing w:line="240" w:lineRule="auto"/>
                              <w:ind w:firstLine="0" w:firstLineChars="0"/>
                              <w:jc w:val="center"/>
                              <w:rPr>
                                <w:rFonts w:hint="eastAsia" w:eastAsia="黑体" w:cs="Times New Roman"/>
                                <w:b w:val="0"/>
                                <w:bCs w:val="0"/>
                                <w:color w:val="auto"/>
                                <w:sz w:val="24"/>
                                <w:szCs w:val="24"/>
                                <w:lang w:val="en-US" w:eastAsia="zh-CN"/>
                              </w:rPr>
                            </w:pPr>
                            <w:r>
                              <w:rPr>
                                <w:rFonts w:hint="eastAsia" w:eastAsia="黑体" w:cs="Times New Roman"/>
                                <w:b w:val="0"/>
                                <w:bCs w:val="0"/>
                                <w:color w:val="auto"/>
                                <w:sz w:val="24"/>
                                <w:szCs w:val="24"/>
                                <w:lang w:val="en-US" w:eastAsia="zh-CN"/>
                              </w:rPr>
                              <w:t>图1.6-2 阜阳市生态保护红线图</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42.5pt;margin-top:159.85pt;height:24pt;width:188.8pt;z-index:1395234816;mso-width-relative:page;mso-height-relative:page;" fillcolor="#FFFFFF" filled="t" stroked="f" coordsize="21600,21600" o:gfxdata="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p9Ui12QAAAAsBAAAPAAAAAAAAAAEAIAAAACIAAABk&#10;cnMvZG93bnJldi54bWxQSwECFAAUAAAACACHTuJAXwOhoz4CAABNBAAADgAAAAAAAAABACAAAAAo&#10;AQAAZHJzL2Uyb0RvYy54bWxQSwUGAAAAAAYABgBZAQAA2AUAAAAA&#10;">
                <v:fill on="t" focussize="0,0"/>
                <v:stroke on="f"/>
                <v:imagedata o:title=""/>
                <o:lock v:ext="edit" aspectratio="f"/>
                <v:textbox>
                  <w:txbxContent>
                    <w:p>
                      <w:pPr>
                        <w:spacing w:line="240" w:lineRule="auto"/>
                        <w:ind w:firstLine="0" w:firstLineChars="0"/>
                        <w:jc w:val="center"/>
                        <w:rPr>
                          <w:rFonts w:hint="eastAsia" w:eastAsia="黑体" w:cs="Times New Roman"/>
                          <w:b w:val="0"/>
                          <w:bCs w:val="0"/>
                          <w:color w:val="auto"/>
                          <w:sz w:val="24"/>
                          <w:szCs w:val="24"/>
                          <w:lang w:val="en-US" w:eastAsia="zh-CN"/>
                        </w:rPr>
                      </w:pPr>
                      <w:r>
                        <w:rPr>
                          <w:rFonts w:hint="eastAsia" w:eastAsia="黑体" w:cs="Times New Roman"/>
                          <w:b w:val="0"/>
                          <w:bCs w:val="0"/>
                          <w:color w:val="auto"/>
                          <w:sz w:val="24"/>
                          <w:szCs w:val="24"/>
                          <w:lang w:val="en-US" w:eastAsia="zh-CN"/>
                        </w:rPr>
                        <w:t>图1.6-2 阜阳市生态保护红线图</w:t>
                      </w:r>
                    </w:p>
                  </w:txbxContent>
                </v:textbox>
              </v:shape>
            </w:pict>
          </mc:Fallback>
        </mc:AlternateContent>
      </w:r>
    </w:p>
    <w:p>
      <w:pPr>
        <w:pStyle w:val="5"/>
        <w:rPr>
          <w:rFonts w:hint="eastAsia"/>
          <w:color w:val="auto"/>
          <w:highlight w:val="none"/>
          <w:shd w:val="clear" w:color="auto" w:fill="auto"/>
          <w:lang w:val="en-US" w:eastAsia="zh-CN"/>
        </w:rPr>
      </w:pPr>
      <w:bookmarkStart w:id="95" w:name="_Toc4910_WPSOffice_Level2"/>
      <w:bookmarkStart w:id="96" w:name="_Toc17059_WPSOffice_Level2"/>
      <w:r>
        <w:rPr>
          <w:rFonts w:hint="eastAsia"/>
          <w:color w:val="auto"/>
          <w:highlight w:val="none"/>
          <w:shd w:val="clear" w:color="auto" w:fill="auto"/>
          <w:lang w:val="en-US" w:eastAsia="zh-CN"/>
        </w:rPr>
        <w:t xml:space="preserve">1.6.7 </w:t>
      </w:r>
      <w:r>
        <w:rPr>
          <w:rFonts w:hint="eastAsia"/>
          <w:color w:val="auto"/>
          <w:highlight w:val="none"/>
          <w:shd w:val="clear" w:color="auto" w:fill="auto"/>
        </w:rPr>
        <w:t>与</w:t>
      </w:r>
      <w:r>
        <w:rPr>
          <w:rFonts w:hint="eastAsia"/>
          <w:color w:val="auto"/>
          <w:highlight w:val="none"/>
          <w:shd w:val="clear" w:color="auto" w:fill="auto"/>
          <w:lang w:val="en-US" w:eastAsia="zh-CN"/>
        </w:rPr>
        <w:t>相邻工程的关系</w:t>
      </w:r>
    </w:p>
    <w:p>
      <w:pPr>
        <w:bidi w:val="0"/>
        <w:rPr>
          <w:rFonts w:hint="eastAsia"/>
          <w:b/>
          <w:bCs/>
          <w:color w:val="auto"/>
          <w:shd w:val="clear" w:color="auto" w:fill="auto"/>
        </w:rPr>
      </w:pPr>
      <w:r>
        <w:rPr>
          <w:rFonts w:hint="eastAsia"/>
          <w:b/>
          <w:bCs/>
          <w:color w:val="auto"/>
          <w:shd w:val="clear" w:color="auto" w:fill="auto"/>
        </w:rPr>
        <w:t>与太和二桥的关系：</w:t>
      </w:r>
      <w:r>
        <w:rPr>
          <w:rFonts w:hint="eastAsia"/>
          <w:b w:val="0"/>
          <w:bCs w:val="0"/>
          <w:color w:val="auto"/>
          <w:shd w:val="clear" w:color="auto" w:fill="auto"/>
        </w:rPr>
        <w:t>拟建码头距上游太和二桥约1.1</w:t>
      </w:r>
      <w:r>
        <w:rPr>
          <w:rFonts w:hint="eastAsia"/>
          <w:b w:val="0"/>
          <w:bCs w:val="0"/>
          <w:color w:val="auto"/>
          <w:shd w:val="clear" w:color="auto" w:fill="auto"/>
          <w:lang w:eastAsia="zh-CN"/>
        </w:rPr>
        <w:t>km</w:t>
      </w:r>
      <w:r>
        <w:rPr>
          <w:rFonts w:hint="eastAsia"/>
          <w:b w:val="0"/>
          <w:bCs w:val="0"/>
          <w:color w:val="auto"/>
          <w:shd w:val="clear" w:color="auto" w:fill="auto"/>
        </w:rPr>
        <w:t>，大于两倍的设计船长120</w:t>
      </w:r>
      <w:r>
        <w:rPr>
          <w:rFonts w:hint="eastAsia"/>
          <w:b w:val="0"/>
          <w:bCs w:val="0"/>
          <w:color w:val="auto"/>
          <w:shd w:val="clear" w:color="auto" w:fill="auto"/>
          <w:lang w:eastAsia="zh-CN"/>
        </w:rPr>
        <w:t>m</w:t>
      </w:r>
      <w:r>
        <w:rPr>
          <w:rFonts w:hint="eastAsia"/>
          <w:b w:val="0"/>
          <w:bCs w:val="0"/>
          <w:color w:val="auto"/>
          <w:shd w:val="clear" w:color="auto" w:fill="auto"/>
        </w:rPr>
        <w:t>。本码头安全距离满足相关规范要求。</w:t>
      </w:r>
    </w:p>
    <w:p>
      <w:pPr>
        <w:bidi w:val="0"/>
        <w:rPr>
          <w:rFonts w:hint="eastAsia"/>
          <w:b w:val="0"/>
          <w:bCs w:val="0"/>
          <w:color w:val="auto"/>
          <w:shd w:val="clear" w:color="auto" w:fill="auto"/>
        </w:rPr>
      </w:pPr>
      <w:r>
        <w:rPr>
          <w:rFonts w:hint="eastAsia"/>
          <w:b/>
          <w:bCs/>
          <w:color w:val="auto"/>
          <w:shd w:val="clear" w:color="auto" w:fill="auto"/>
        </w:rPr>
        <w:t>与太和锚地的关系：</w:t>
      </w:r>
      <w:r>
        <w:rPr>
          <w:rFonts w:hint="eastAsia"/>
          <w:b w:val="0"/>
          <w:bCs w:val="0"/>
          <w:color w:val="auto"/>
          <w:shd w:val="clear" w:color="auto" w:fill="auto"/>
        </w:rPr>
        <w:t>拟建码头距上游太和锚地约 280</w:t>
      </w:r>
      <w:r>
        <w:rPr>
          <w:rFonts w:hint="eastAsia"/>
          <w:b w:val="0"/>
          <w:bCs w:val="0"/>
          <w:color w:val="auto"/>
          <w:shd w:val="clear" w:color="auto" w:fill="auto"/>
          <w:lang w:eastAsia="zh-CN"/>
        </w:rPr>
        <w:t>m</w:t>
      </w:r>
      <w:r>
        <w:rPr>
          <w:rFonts w:hint="eastAsia"/>
          <w:b w:val="0"/>
          <w:bCs w:val="0"/>
          <w:color w:val="auto"/>
          <w:shd w:val="clear" w:color="auto" w:fill="auto"/>
        </w:rPr>
        <w:t>，距离满足相关规范要求。</w:t>
      </w:r>
    </w:p>
    <w:p>
      <w:pPr>
        <w:bidi w:val="0"/>
        <w:rPr>
          <w:rFonts w:hint="eastAsia"/>
          <w:b w:val="0"/>
          <w:bCs w:val="0"/>
          <w:color w:val="auto"/>
          <w:shd w:val="clear" w:color="auto" w:fill="auto"/>
        </w:rPr>
      </w:pPr>
      <w:r>
        <w:rPr>
          <w:rFonts w:hint="eastAsia"/>
          <w:b/>
          <w:bCs/>
          <w:color w:val="auto"/>
          <w:shd w:val="clear" w:color="auto" w:fill="auto"/>
        </w:rPr>
        <w:t>与陶沟涵的关系：</w:t>
      </w:r>
      <w:r>
        <w:rPr>
          <w:rFonts w:hint="eastAsia"/>
          <w:b w:val="0"/>
          <w:bCs w:val="0"/>
          <w:color w:val="auto"/>
          <w:shd w:val="clear" w:color="auto" w:fill="auto"/>
        </w:rPr>
        <w:t>拟建码头上距陶沟涵约 245</w:t>
      </w:r>
      <w:r>
        <w:rPr>
          <w:rFonts w:hint="eastAsia"/>
          <w:b w:val="0"/>
          <w:bCs w:val="0"/>
          <w:color w:val="auto"/>
          <w:shd w:val="clear" w:color="auto" w:fill="auto"/>
          <w:lang w:eastAsia="zh-CN"/>
        </w:rPr>
        <w:t>m</w:t>
      </w:r>
      <w:r>
        <w:rPr>
          <w:rFonts w:hint="eastAsia"/>
          <w:b w:val="0"/>
          <w:bCs w:val="0"/>
          <w:color w:val="auto"/>
          <w:shd w:val="clear" w:color="auto" w:fill="auto"/>
        </w:rPr>
        <w:t>，工程施工及运营对陶沟涵影响较小。</w:t>
      </w:r>
    </w:p>
    <w:p>
      <w:pPr>
        <w:bidi w:val="0"/>
        <w:rPr>
          <w:rFonts w:hint="eastAsia"/>
          <w:b w:val="0"/>
          <w:bCs w:val="0"/>
          <w:color w:val="auto"/>
          <w:shd w:val="clear" w:color="auto" w:fill="auto"/>
        </w:rPr>
      </w:pPr>
      <w:r>
        <w:rPr>
          <w:rFonts w:hint="eastAsia"/>
          <w:b/>
          <w:bCs/>
          <w:color w:val="auto"/>
          <w:shd w:val="clear" w:color="auto" w:fill="auto"/>
        </w:rPr>
        <w:t>与危化品码头的关系：</w:t>
      </w:r>
      <w:r>
        <w:rPr>
          <w:rFonts w:hint="eastAsia"/>
          <w:b w:val="0"/>
          <w:bCs w:val="0"/>
          <w:color w:val="auto"/>
          <w:shd w:val="clear" w:color="auto" w:fill="auto"/>
        </w:rPr>
        <w:t>拟建码头下距危化品码头约200</w:t>
      </w:r>
      <w:r>
        <w:rPr>
          <w:rFonts w:hint="eastAsia"/>
          <w:b w:val="0"/>
          <w:bCs w:val="0"/>
          <w:color w:val="auto"/>
          <w:shd w:val="clear" w:color="auto" w:fill="auto"/>
          <w:lang w:eastAsia="zh-CN"/>
        </w:rPr>
        <w:t>m</w:t>
      </w:r>
      <w:r>
        <w:rPr>
          <w:rFonts w:hint="eastAsia"/>
          <w:b w:val="0"/>
          <w:bCs w:val="0"/>
          <w:color w:val="auto"/>
          <w:shd w:val="clear" w:color="auto" w:fill="auto"/>
        </w:rPr>
        <w:t>，大于150</w:t>
      </w:r>
      <w:r>
        <w:rPr>
          <w:rFonts w:hint="eastAsia"/>
          <w:b w:val="0"/>
          <w:bCs w:val="0"/>
          <w:color w:val="auto"/>
          <w:shd w:val="clear" w:color="auto" w:fill="auto"/>
          <w:lang w:eastAsia="zh-CN"/>
        </w:rPr>
        <w:t>m</w:t>
      </w:r>
      <w:r>
        <w:rPr>
          <w:rFonts w:hint="eastAsia"/>
          <w:b w:val="0"/>
          <w:bCs w:val="0"/>
          <w:color w:val="auto"/>
          <w:shd w:val="clear" w:color="auto" w:fill="auto"/>
        </w:rPr>
        <w:t>，满足相关规范要求。</w:t>
      </w:r>
    </w:p>
    <w:p>
      <w:pPr>
        <w:bidi w:val="0"/>
        <w:rPr>
          <w:rFonts w:hint="eastAsia" w:eastAsia="宋体"/>
          <w:b w:val="0"/>
          <w:bCs w:val="0"/>
          <w:color w:val="auto"/>
          <w:shd w:val="clear" w:color="auto" w:fill="auto"/>
          <w:lang w:val="en-US" w:eastAsia="zh-CN"/>
        </w:rPr>
      </w:pPr>
      <w:r>
        <w:rPr>
          <w:rFonts w:hint="eastAsia"/>
          <w:b/>
          <w:bCs/>
          <w:color w:val="auto"/>
          <w:shd w:val="clear" w:color="auto" w:fill="auto"/>
        </w:rPr>
        <w:t>与后方大堤的关系：</w:t>
      </w:r>
      <w:r>
        <w:rPr>
          <w:rFonts w:hint="eastAsia"/>
          <w:b w:val="0"/>
          <w:bCs w:val="0"/>
          <w:color w:val="auto"/>
          <w:shd w:val="clear" w:color="auto" w:fill="auto"/>
        </w:rPr>
        <w:t>拟建码头开挖线距离大堤堤脚最小距离约 30</w:t>
      </w:r>
      <w:r>
        <w:rPr>
          <w:rFonts w:hint="eastAsia"/>
          <w:b w:val="0"/>
          <w:bCs w:val="0"/>
          <w:color w:val="auto"/>
          <w:shd w:val="clear" w:color="auto" w:fill="auto"/>
          <w:lang w:eastAsia="zh-CN"/>
        </w:rPr>
        <w:t>m</w:t>
      </w:r>
      <w:r>
        <w:rPr>
          <w:rFonts w:hint="eastAsia"/>
          <w:b w:val="0"/>
          <w:bCs w:val="0"/>
          <w:color w:val="auto"/>
          <w:shd w:val="clear" w:color="auto" w:fill="auto"/>
        </w:rPr>
        <w:t>， 对大堤安全影响较小。</w:t>
      </w:r>
      <w:r>
        <w:rPr>
          <w:rFonts w:hint="eastAsia"/>
          <w:b w:val="0"/>
          <w:bCs w:val="0"/>
          <w:color w:val="auto"/>
          <w:shd w:val="clear" w:color="auto" w:fill="auto"/>
          <w:lang w:val="en-US" w:eastAsia="zh-CN"/>
        </w:rPr>
        <w:t xml:space="preserve"> </w:t>
      </w:r>
    </w:p>
    <w:p>
      <w:pPr>
        <w:pStyle w:val="2"/>
        <w:ind w:left="0" w:leftChars="0" w:firstLine="0" w:firstLineChars="0"/>
        <w:jc w:val="center"/>
        <w:rPr>
          <w:rFonts w:hint="eastAsia" w:ascii="Times New Roman" w:hAnsi="Times New Roman" w:eastAsia="黑体" w:cs="Times New Roman"/>
          <w:b w:val="0"/>
          <w:bCs w:val="0"/>
          <w:color w:val="auto"/>
          <w:kern w:val="2"/>
          <w:sz w:val="24"/>
          <w:szCs w:val="24"/>
          <w:shd w:val="clear" w:color="auto" w:fill="auto"/>
          <w:lang w:val="en-US" w:eastAsia="zh-CN" w:bidi="ar-SA"/>
        </w:rPr>
      </w:pPr>
      <w:r>
        <w:drawing>
          <wp:anchor distT="0" distB="0" distL="0" distR="0" simplePos="0" relativeHeight="1395235840" behindDoc="0" locked="0" layoutInCell="1" allowOverlap="1">
            <wp:simplePos x="0" y="0"/>
            <wp:positionH relativeFrom="page">
              <wp:posOffset>1555750</wp:posOffset>
            </wp:positionH>
            <wp:positionV relativeFrom="paragraph">
              <wp:posOffset>65405</wp:posOffset>
            </wp:positionV>
            <wp:extent cx="5146675" cy="3860165"/>
            <wp:effectExtent l="0" t="0" r="15875" b="6985"/>
            <wp:wrapTopAndBottom/>
            <wp:docPr id="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jpeg"/>
                    <pic:cNvPicPr>
                      <a:picLocks noChangeAspect="1"/>
                    </pic:cNvPicPr>
                  </pic:nvPicPr>
                  <pic:blipFill>
                    <a:blip r:embed="rId18" cstate="print"/>
                    <a:stretch>
                      <a:fillRect/>
                    </a:stretch>
                  </pic:blipFill>
                  <pic:spPr>
                    <a:xfrm>
                      <a:off x="0" y="0"/>
                      <a:ext cx="5146675" cy="3860165"/>
                    </a:xfrm>
                    <a:prstGeom prst="rect">
                      <a:avLst/>
                    </a:prstGeom>
                  </pic:spPr>
                </pic:pic>
              </a:graphicData>
            </a:graphic>
          </wp:anchor>
        </w:drawing>
      </w:r>
      <w:r>
        <w:rPr>
          <w:rFonts w:hint="eastAsia" w:ascii="Times New Roman" w:hAnsi="Times New Roman" w:eastAsia="黑体" w:cs="Times New Roman"/>
          <w:b w:val="0"/>
          <w:bCs w:val="0"/>
          <w:color w:val="auto"/>
          <w:kern w:val="2"/>
          <w:sz w:val="24"/>
          <w:szCs w:val="24"/>
          <w:shd w:val="clear" w:color="auto" w:fill="auto"/>
          <w:lang w:val="en-US" w:eastAsia="zh-CN" w:bidi="ar-SA"/>
        </w:rPr>
        <w:t>图1.6-3 码头临时作业点现状图</w:t>
      </w:r>
    </w:p>
    <w:bookmarkEnd w:id="95"/>
    <w:bookmarkEnd w:id="96"/>
    <w:p>
      <w:pPr>
        <w:pStyle w:val="5"/>
        <w:rPr>
          <w:color w:val="auto"/>
          <w:highlight w:val="none"/>
          <w:shd w:val="clear" w:color="auto" w:fill="auto"/>
        </w:rPr>
      </w:pPr>
      <w:r>
        <w:rPr>
          <w:rFonts w:hint="eastAsia"/>
          <w:color w:val="auto"/>
          <w:highlight w:val="none"/>
          <w:shd w:val="clear" w:color="auto" w:fill="auto"/>
          <w:lang w:val="en-US" w:eastAsia="zh-CN"/>
        </w:rPr>
        <w:t xml:space="preserve">1.6.8 </w:t>
      </w:r>
      <w:r>
        <w:rPr>
          <w:color w:val="auto"/>
          <w:highlight w:val="none"/>
          <w:shd w:val="clear" w:color="auto" w:fill="auto"/>
        </w:rPr>
        <w:t>工程建设条件</w:t>
      </w:r>
    </w:p>
    <w:p>
      <w:pPr>
        <w:spacing w:line="360" w:lineRule="auto"/>
        <w:ind w:firstLine="542" w:firstLineChars="225"/>
        <w:rPr>
          <w:rFonts w:hint="default" w:ascii="Times New Roman" w:hAnsi="Times New Roman" w:cs="Times New Roman"/>
          <w:b/>
          <w:color w:val="auto"/>
          <w:sz w:val="24"/>
          <w:szCs w:val="24"/>
          <w:shd w:val="clear" w:color="auto" w:fill="auto"/>
        </w:rPr>
      </w:pPr>
      <w:r>
        <w:rPr>
          <w:rFonts w:hint="default" w:ascii="Times New Roman" w:hAnsi="Times New Roman" w:cs="Times New Roman"/>
          <w:b/>
          <w:color w:val="auto"/>
          <w:sz w:val="24"/>
          <w:szCs w:val="24"/>
          <w:shd w:val="clear" w:color="auto" w:fill="auto"/>
        </w:rPr>
        <w:t>1.工程河段河势分析</w:t>
      </w:r>
    </w:p>
    <w:p>
      <w:pPr>
        <w:spacing w:line="360" w:lineRule="auto"/>
        <w:ind w:firstLine="480" w:firstLineChars="200"/>
        <w:jc w:val="left"/>
        <w:rPr>
          <w:rFonts w:hint="eastAsia" w:hAnsi="宋体"/>
          <w:color w:val="auto"/>
          <w:sz w:val="24"/>
          <w:shd w:val="clear" w:color="auto" w:fill="auto"/>
        </w:rPr>
      </w:pPr>
      <w:r>
        <w:rPr>
          <w:rFonts w:hint="eastAsia" w:hAnsi="宋体"/>
          <w:color w:val="auto"/>
          <w:sz w:val="24"/>
          <w:shd w:val="clear" w:color="auto" w:fill="auto"/>
        </w:rPr>
        <w:t>拟建码头位于太和县城关镇，采用切滩后退布置高桩码头，码头建成后对泄洪断面影响较小，引起的流速变化甚微。该段河道丰、枯水季节的来水、来沙量，以及过洪流量都不会因码头的建设发生明显变化，河道总体流态也不会有明显的改变。因此，工程的建设对总体河势和局部河势稳定均无明显不利影响，不会改变河道的原有演变趋势。</w:t>
      </w:r>
    </w:p>
    <w:p>
      <w:pPr>
        <w:spacing w:line="360" w:lineRule="auto"/>
        <w:ind w:firstLine="542" w:firstLineChars="225"/>
        <w:rPr>
          <w:rFonts w:hint="eastAsia" w:ascii="Times New Roman" w:hAnsi="Times New Roman" w:cs="Times New Roman"/>
          <w:b/>
          <w:color w:val="auto"/>
          <w:sz w:val="24"/>
          <w:szCs w:val="24"/>
          <w:shd w:val="clear" w:color="auto" w:fill="auto"/>
        </w:rPr>
      </w:pPr>
      <w:r>
        <w:rPr>
          <w:rFonts w:hint="eastAsia" w:ascii="Times New Roman" w:hAnsi="Times New Roman" w:cs="Times New Roman"/>
          <w:b/>
          <w:color w:val="auto"/>
          <w:sz w:val="24"/>
          <w:szCs w:val="24"/>
          <w:shd w:val="clear" w:color="auto" w:fill="auto"/>
          <w:lang w:val="en-US" w:eastAsia="zh-CN"/>
        </w:rPr>
        <w:t>2.</w:t>
      </w:r>
      <w:r>
        <w:rPr>
          <w:rFonts w:hint="eastAsia" w:ascii="Times New Roman" w:hAnsi="Times New Roman" w:cs="Times New Roman"/>
          <w:b/>
          <w:color w:val="auto"/>
          <w:sz w:val="24"/>
          <w:szCs w:val="24"/>
          <w:shd w:val="clear" w:color="auto" w:fill="auto"/>
        </w:rPr>
        <w:t>通航条件分析</w:t>
      </w:r>
    </w:p>
    <w:p>
      <w:pPr>
        <w:spacing w:line="360" w:lineRule="auto"/>
        <w:ind w:firstLine="540" w:firstLineChars="225"/>
        <w:rPr>
          <w:rFonts w:hint="eastAsia" w:hAnsi="宋体"/>
          <w:color w:val="auto"/>
          <w:sz w:val="24"/>
          <w:shd w:val="clear" w:color="auto" w:fill="auto"/>
        </w:rPr>
      </w:pPr>
      <w:r>
        <w:rPr>
          <w:rFonts w:hint="eastAsia" w:hAnsi="宋体"/>
          <w:color w:val="auto"/>
          <w:sz w:val="24"/>
          <w:shd w:val="clear" w:color="auto" w:fill="auto"/>
          <w:lang w:eastAsia="zh-CN"/>
        </w:rPr>
        <w:t>沙颍河安徽段航道整治工程已经完工，目前航道为天然及渠化河流Ⅳ级双线标准。航道设计底宽50米、最小通航水深2.8米，最小弯曲半径330米。随着工程建成营运，沙颍河通航条件将得到进一步改善。拟建码头位于阜阳闸以上，可常年通航500吨级船舶，常水位可通航1000吨级船舶，根据《安徽省干线航道网规划（2018～2030年）》，规划沙颍河航道常胜沟～沫河口段暂按三级标准控制。本工程设计船型为1000吨级货船，船型选择符合航道发展规划。</w:t>
      </w:r>
    </w:p>
    <w:p>
      <w:pPr>
        <w:spacing w:line="360" w:lineRule="auto"/>
        <w:ind w:firstLine="542" w:firstLineChars="225"/>
        <w:rPr>
          <w:rFonts w:hint="eastAsia" w:ascii="Times New Roman" w:hAnsi="Times New Roman" w:cs="Times New Roman"/>
          <w:b/>
          <w:color w:val="auto"/>
          <w:sz w:val="24"/>
          <w:szCs w:val="24"/>
          <w:shd w:val="clear" w:color="auto" w:fill="auto"/>
        </w:rPr>
      </w:pPr>
      <w:r>
        <w:rPr>
          <w:rFonts w:hint="eastAsia" w:ascii="Times New Roman" w:hAnsi="Times New Roman" w:cs="Times New Roman"/>
          <w:b/>
          <w:color w:val="auto"/>
          <w:sz w:val="24"/>
          <w:szCs w:val="24"/>
          <w:shd w:val="clear" w:color="auto" w:fill="auto"/>
        </w:rPr>
        <w:t>3.外部协作条件</w:t>
      </w:r>
    </w:p>
    <w:p>
      <w:pPr>
        <w:spacing w:line="360" w:lineRule="auto"/>
        <w:ind w:firstLine="540" w:firstLineChars="225"/>
        <w:rPr>
          <w:rFonts w:hint="eastAsia" w:hAnsi="宋体"/>
          <w:color w:val="auto"/>
          <w:sz w:val="24"/>
          <w:shd w:val="clear" w:color="auto" w:fill="auto"/>
        </w:rPr>
      </w:pPr>
      <w:r>
        <w:rPr>
          <w:rFonts w:hint="eastAsia" w:hAnsi="宋体"/>
          <w:color w:val="auto"/>
          <w:sz w:val="24"/>
          <w:shd w:val="clear" w:color="auto" w:fill="auto"/>
        </w:rPr>
        <w:t>本工程集疏运条件较好，车辆可从050乡道直接行使到码头位置。沙颍河与淮河航道连通构成发达的内河航道网，水路运输方便。拟建码头采用成熟的结构型式，安徽省及临近省市有多家从事港口工程建设的施工企业可供本工程选择。综合分析，码头建设条件较好。</w:t>
      </w:r>
    </w:p>
    <w:p>
      <w:pPr>
        <w:spacing w:line="360" w:lineRule="auto"/>
        <w:ind w:firstLine="540" w:firstLineChars="225"/>
        <w:rPr>
          <w:color w:val="auto"/>
          <w:shd w:val="clear" w:color="auto" w:fill="auto"/>
        </w:rPr>
      </w:pPr>
      <w:r>
        <w:rPr>
          <w:rFonts w:hint="eastAsia" w:hAnsi="宋体"/>
          <w:color w:val="auto"/>
          <w:sz w:val="24"/>
          <w:shd w:val="clear" w:color="auto" w:fill="auto"/>
        </w:rPr>
        <w:t>综合分析，</w:t>
      </w:r>
      <w:r>
        <w:rPr>
          <w:rFonts w:hint="eastAsia" w:hAnsi="宋体"/>
          <w:color w:val="auto"/>
          <w:sz w:val="24"/>
          <w:shd w:val="clear" w:color="auto" w:fill="auto"/>
          <w:lang w:val="en-US" w:eastAsia="zh-CN"/>
        </w:rPr>
        <w:t>拟建</w:t>
      </w:r>
      <w:r>
        <w:rPr>
          <w:rFonts w:hint="eastAsia" w:hAnsi="宋体"/>
          <w:color w:val="auto"/>
          <w:sz w:val="24"/>
          <w:shd w:val="clear" w:color="auto" w:fill="auto"/>
        </w:rPr>
        <w:t>码头建设条件较好。</w:t>
      </w:r>
    </w:p>
    <w:p>
      <w:pPr>
        <w:pStyle w:val="5"/>
        <w:rPr>
          <w:color w:val="auto"/>
          <w:highlight w:val="none"/>
          <w:shd w:val="clear" w:color="auto" w:fill="auto"/>
        </w:rPr>
      </w:pPr>
      <w:bookmarkStart w:id="97" w:name="_Toc426622150"/>
      <w:r>
        <w:rPr>
          <w:rFonts w:hint="eastAsia"/>
          <w:color w:val="auto"/>
          <w:highlight w:val="none"/>
          <w:shd w:val="clear" w:color="auto" w:fill="auto"/>
          <w:lang w:val="en-US" w:eastAsia="zh-CN"/>
        </w:rPr>
        <w:t>1.6.9</w:t>
      </w:r>
      <w:r>
        <w:rPr>
          <w:rFonts w:hint="eastAsia"/>
          <w:color w:val="auto"/>
          <w:highlight w:val="none"/>
          <w:shd w:val="clear" w:color="auto" w:fill="auto"/>
        </w:rPr>
        <w:t xml:space="preserve"> </w:t>
      </w:r>
      <w:r>
        <w:rPr>
          <w:color w:val="auto"/>
          <w:highlight w:val="none"/>
          <w:shd w:val="clear" w:color="auto" w:fill="auto"/>
        </w:rPr>
        <w:t>环境敏感因素分析</w:t>
      </w:r>
      <w:bookmarkEnd w:id="97"/>
    </w:p>
    <w:p>
      <w:pPr>
        <w:bidi w:val="0"/>
        <w:rPr>
          <w:color w:val="auto"/>
          <w:shd w:val="clear" w:color="auto" w:fill="auto"/>
        </w:rPr>
      </w:pPr>
      <w:r>
        <w:rPr>
          <w:color w:val="auto"/>
          <w:shd w:val="clear" w:color="auto" w:fill="auto"/>
        </w:rPr>
        <w:t>建设项目环境</w:t>
      </w:r>
      <w:r>
        <w:rPr>
          <w:rFonts w:hint="eastAsia"/>
          <w:color w:val="auto"/>
          <w:shd w:val="clear" w:color="auto" w:fill="auto"/>
          <w:lang w:val="en-US" w:eastAsia="zh-CN"/>
        </w:rPr>
        <w:t>质量</w:t>
      </w:r>
      <w:r>
        <w:rPr>
          <w:color w:val="auto"/>
          <w:shd w:val="clear" w:color="auto" w:fill="auto"/>
        </w:rPr>
        <w:t>现状可以满足</w:t>
      </w:r>
      <w:r>
        <w:rPr>
          <w:rFonts w:hint="eastAsia"/>
          <w:color w:val="auto"/>
          <w:shd w:val="clear" w:color="auto" w:fill="auto"/>
          <w:lang w:val="en-US" w:eastAsia="zh-CN"/>
        </w:rPr>
        <w:t>太和</w:t>
      </w:r>
      <w:r>
        <w:rPr>
          <w:color w:val="auto"/>
          <w:shd w:val="clear" w:color="auto" w:fill="auto"/>
        </w:rPr>
        <w:t>县大气、地表水</w:t>
      </w:r>
      <w:r>
        <w:rPr>
          <w:rFonts w:hint="eastAsia"/>
          <w:color w:val="auto"/>
          <w:shd w:val="clear" w:color="auto" w:fill="auto"/>
        </w:rPr>
        <w:t>、</w:t>
      </w:r>
      <w:r>
        <w:rPr>
          <w:color w:val="auto"/>
          <w:shd w:val="clear" w:color="auto" w:fill="auto"/>
        </w:rPr>
        <w:t>声环境、河道底泥等相关功能区划的规定。</w:t>
      </w:r>
    </w:p>
    <w:p>
      <w:pPr>
        <w:bidi w:val="0"/>
        <w:rPr>
          <w:color w:val="auto"/>
          <w:shd w:val="clear" w:color="auto" w:fill="auto"/>
        </w:rPr>
      </w:pPr>
      <w:r>
        <w:rPr>
          <w:color w:val="auto"/>
          <w:shd w:val="clear" w:color="auto" w:fill="auto"/>
        </w:rPr>
        <w:t>建设项目在建设和生产过程中排放的各种污染物经处理和控制后，对区域环境质量影响不明显。</w:t>
      </w:r>
    </w:p>
    <w:p>
      <w:pPr>
        <w:pStyle w:val="5"/>
        <w:rPr>
          <w:color w:val="auto"/>
          <w:shd w:val="clear" w:color="auto" w:fill="auto"/>
        </w:rPr>
      </w:pPr>
      <w:bookmarkStart w:id="98" w:name="_Toc18423_WPSOffice_Level2"/>
      <w:bookmarkStart w:id="99" w:name="_Toc191359907"/>
      <w:bookmarkStart w:id="100" w:name="_Toc316642116"/>
      <w:bookmarkStart w:id="101" w:name="_Toc11318_WPSOffice_Level2"/>
      <w:bookmarkStart w:id="102" w:name="_Toc191360155"/>
      <w:r>
        <w:rPr>
          <w:rFonts w:hint="eastAsia"/>
          <w:color w:val="auto"/>
          <w:shd w:val="clear" w:color="auto" w:fill="auto"/>
          <w:lang w:val="en-US" w:eastAsia="zh-CN"/>
        </w:rPr>
        <w:t>1.</w:t>
      </w:r>
      <w:r>
        <w:rPr>
          <w:rFonts w:hint="eastAsia" w:ascii="Times New Roman" w:hAnsi="Times New Roman" w:cs="Times New Roman"/>
          <w:color w:val="auto"/>
          <w:shd w:val="clear" w:color="auto" w:fill="auto"/>
          <w:lang w:val="en-US" w:eastAsia="zh-CN"/>
        </w:rPr>
        <w:t>6.</w:t>
      </w:r>
      <w:r>
        <w:rPr>
          <w:rFonts w:hint="eastAsia" w:cs="Times New Roman"/>
          <w:color w:val="auto"/>
          <w:shd w:val="clear" w:color="auto" w:fill="auto"/>
          <w:lang w:val="en-US" w:eastAsia="zh-CN"/>
        </w:rPr>
        <w:t>10</w:t>
      </w:r>
      <w:r>
        <w:rPr>
          <w:rFonts w:hint="eastAsia" w:ascii="Times New Roman" w:hAnsi="Times New Roman" w:cs="Times New Roman"/>
          <w:color w:val="auto"/>
          <w:shd w:val="clear" w:color="auto" w:fill="auto"/>
          <w:lang w:val="en-US" w:eastAsia="zh-CN"/>
        </w:rPr>
        <w:t xml:space="preserve"> 项目选址环境可行性分析结论</w:t>
      </w:r>
      <w:bookmarkEnd w:id="98"/>
      <w:bookmarkEnd w:id="99"/>
      <w:bookmarkEnd w:id="100"/>
      <w:bookmarkEnd w:id="101"/>
      <w:bookmarkEnd w:id="102"/>
    </w:p>
    <w:p>
      <w:pPr>
        <w:snapToGrid w:val="0"/>
        <w:ind w:firstLine="480"/>
        <w:rPr>
          <w:rFonts w:hAnsi="宋体"/>
          <w:color w:val="auto"/>
          <w:shd w:val="clear" w:color="auto" w:fill="auto"/>
        </w:rPr>
      </w:pPr>
      <w:r>
        <w:rPr>
          <w:rFonts w:hAnsi="宋体"/>
          <w:color w:val="auto"/>
          <w:shd w:val="clear" w:color="auto" w:fill="auto"/>
        </w:rPr>
        <w:t>基于上述各项分析，本评价认为，</w:t>
      </w:r>
      <w:r>
        <w:rPr>
          <w:rFonts w:hint="eastAsia" w:hAnsi="宋体"/>
          <w:color w:val="auto"/>
          <w:shd w:val="clear" w:color="auto" w:fill="auto"/>
          <w:lang w:val="en-US" w:eastAsia="zh-CN"/>
        </w:rPr>
        <w:t>阜阳港太和港区陶庙作业区码头工程</w:t>
      </w:r>
      <w:r>
        <w:rPr>
          <w:rFonts w:hAnsi="宋体"/>
          <w:color w:val="auto"/>
          <w:shd w:val="clear" w:color="auto" w:fill="auto"/>
        </w:rPr>
        <w:t>的选址方案是可行的，分析结论详见表</w:t>
      </w:r>
      <w:r>
        <w:rPr>
          <w:rFonts w:hint="eastAsia"/>
          <w:color w:val="auto"/>
          <w:shd w:val="clear" w:color="auto" w:fill="auto"/>
          <w:lang w:val="en-US" w:eastAsia="zh-CN"/>
        </w:rPr>
        <w:t>1.6</w:t>
      </w:r>
      <w:r>
        <w:rPr>
          <w:color w:val="auto"/>
          <w:shd w:val="clear" w:color="auto" w:fill="auto"/>
        </w:rPr>
        <w:t>-</w:t>
      </w:r>
      <w:r>
        <w:rPr>
          <w:rFonts w:hint="eastAsia"/>
          <w:color w:val="auto"/>
          <w:shd w:val="clear" w:color="auto" w:fill="auto"/>
          <w:lang w:val="en-US" w:eastAsia="zh-CN"/>
        </w:rPr>
        <w:t>3</w:t>
      </w:r>
      <w:r>
        <w:rPr>
          <w:rFonts w:hAnsi="宋体"/>
          <w:color w:val="auto"/>
          <w:shd w:val="clear" w:color="auto" w:fill="auto"/>
        </w:rPr>
        <w:t>。</w:t>
      </w:r>
    </w:p>
    <w:p>
      <w:pPr>
        <w:snapToGrid w:val="0"/>
        <w:spacing w:line="240" w:lineRule="auto"/>
        <w:ind w:firstLine="0" w:firstLineChars="0"/>
        <w:jc w:val="center"/>
        <w:rPr>
          <w:color w:val="auto"/>
          <w:shd w:val="clear" w:color="auto" w:fill="auto"/>
        </w:rPr>
      </w:pPr>
      <w:r>
        <w:rPr>
          <w:rFonts w:hint="eastAsia" w:ascii="Times New Roman" w:hAnsi="Times New Roman" w:eastAsia="黑体" w:cs="Times New Roman"/>
          <w:color w:val="auto"/>
          <w:kern w:val="2"/>
          <w:sz w:val="21"/>
          <w:szCs w:val="21"/>
          <w:shd w:val="clear" w:color="auto" w:fill="auto"/>
          <w:lang w:val="en-US" w:eastAsia="zh-CN" w:bidi="ar-SA"/>
        </w:rPr>
        <w:t>表1.6-3 项目选址环境评价分析结果汇总表</w:t>
      </w:r>
    </w:p>
    <w:tbl>
      <w:tblPr>
        <w:tblStyle w:val="26"/>
        <w:tblW w:w="874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0" w:type="dxa"/>
          <w:bottom w:w="0" w:type="dxa"/>
          <w:right w:w="0" w:type="dxa"/>
        </w:tblCellMar>
      </w:tblPr>
      <w:tblGrid>
        <w:gridCol w:w="740"/>
        <w:gridCol w:w="2771"/>
        <w:gridCol w:w="5229"/>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7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序号</w:t>
            </w:r>
          </w:p>
        </w:tc>
        <w:tc>
          <w:tcPr>
            <w:tcW w:w="277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分 析 项 目</w:t>
            </w:r>
          </w:p>
        </w:tc>
        <w:tc>
          <w:tcPr>
            <w:tcW w:w="522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分 析 结 果</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7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1</w:t>
            </w:r>
          </w:p>
        </w:tc>
        <w:tc>
          <w:tcPr>
            <w:tcW w:w="277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产业政策</w:t>
            </w:r>
          </w:p>
        </w:tc>
        <w:tc>
          <w:tcPr>
            <w:tcW w:w="522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符合国家产业政策</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7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2</w:t>
            </w:r>
          </w:p>
        </w:tc>
        <w:tc>
          <w:tcPr>
            <w:tcW w:w="277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总体规划</w:t>
            </w:r>
          </w:p>
        </w:tc>
        <w:tc>
          <w:tcPr>
            <w:tcW w:w="522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7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3</w:t>
            </w:r>
          </w:p>
        </w:tc>
        <w:tc>
          <w:tcPr>
            <w:tcW w:w="277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工程条件</w:t>
            </w:r>
          </w:p>
        </w:tc>
        <w:tc>
          <w:tcPr>
            <w:tcW w:w="522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较好</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7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4</w:t>
            </w:r>
          </w:p>
        </w:tc>
        <w:tc>
          <w:tcPr>
            <w:tcW w:w="277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发展余地</w:t>
            </w:r>
          </w:p>
        </w:tc>
        <w:tc>
          <w:tcPr>
            <w:tcW w:w="522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具有一定的余地</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7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5</w:t>
            </w:r>
          </w:p>
        </w:tc>
        <w:tc>
          <w:tcPr>
            <w:tcW w:w="277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环境承载能力</w:t>
            </w:r>
          </w:p>
        </w:tc>
        <w:tc>
          <w:tcPr>
            <w:tcW w:w="522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smallCaps/>
                <w:color w:val="auto"/>
                <w:sz w:val="21"/>
                <w:szCs w:val="21"/>
                <w:shd w:val="clear" w:color="auto" w:fill="auto"/>
              </w:rPr>
              <w:t>有一定的能力</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7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6</w:t>
            </w:r>
          </w:p>
        </w:tc>
        <w:tc>
          <w:tcPr>
            <w:tcW w:w="277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对外交通</w:t>
            </w:r>
          </w:p>
        </w:tc>
        <w:tc>
          <w:tcPr>
            <w:tcW w:w="522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交通便捷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7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7</w:t>
            </w:r>
          </w:p>
        </w:tc>
        <w:tc>
          <w:tcPr>
            <w:tcW w:w="277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工程建设内容</w:t>
            </w:r>
          </w:p>
        </w:tc>
        <w:tc>
          <w:tcPr>
            <w:tcW w:w="522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有利于地方经济发展</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7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8</w:t>
            </w:r>
          </w:p>
        </w:tc>
        <w:tc>
          <w:tcPr>
            <w:tcW w:w="277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生产运行管理</w:t>
            </w:r>
          </w:p>
        </w:tc>
        <w:tc>
          <w:tcPr>
            <w:tcW w:w="522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具有成熟的经验</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7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9</w:t>
            </w:r>
          </w:p>
        </w:tc>
        <w:tc>
          <w:tcPr>
            <w:tcW w:w="277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生产工艺衔接性</w:t>
            </w:r>
          </w:p>
        </w:tc>
        <w:tc>
          <w:tcPr>
            <w:tcW w:w="522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顺捷流畅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7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10</w:t>
            </w:r>
          </w:p>
        </w:tc>
        <w:tc>
          <w:tcPr>
            <w:tcW w:w="277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供电供水条件</w:t>
            </w:r>
          </w:p>
        </w:tc>
        <w:tc>
          <w:tcPr>
            <w:tcW w:w="522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便利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7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11</w:t>
            </w:r>
          </w:p>
        </w:tc>
        <w:tc>
          <w:tcPr>
            <w:tcW w:w="277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环境管理制度</w:t>
            </w:r>
          </w:p>
        </w:tc>
        <w:tc>
          <w:tcPr>
            <w:tcW w:w="522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可建立完善的管理制度</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3511" w:type="dxa"/>
            <w:gridSpan w:val="2"/>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结论</w:t>
            </w:r>
          </w:p>
        </w:tc>
        <w:tc>
          <w:tcPr>
            <w:tcW w:w="522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Ansi="宋体" w:cs="Times New Roman"/>
                <w:color w:val="auto"/>
                <w:sz w:val="21"/>
                <w:szCs w:val="21"/>
                <w:shd w:val="clear" w:color="auto" w:fill="auto"/>
              </w:rPr>
            </w:pPr>
            <w:r>
              <w:rPr>
                <w:rFonts w:hAnsi="宋体" w:cs="Times New Roman"/>
                <w:color w:val="auto"/>
                <w:sz w:val="21"/>
                <w:szCs w:val="21"/>
                <w:shd w:val="clear" w:color="auto" w:fill="auto"/>
              </w:rPr>
              <w:t>从环境角度项目选址合理</w:t>
            </w:r>
          </w:p>
        </w:tc>
      </w:tr>
    </w:tbl>
    <w:p>
      <w:pPr>
        <w:pStyle w:val="2"/>
        <w:rPr>
          <w:color w:val="auto"/>
          <w:shd w:val="clear" w:color="auto" w:fill="auto"/>
        </w:rPr>
      </w:pPr>
    </w:p>
    <w:p>
      <w:pPr>
        <w:pStyle w:val="3"/>
        <w:rPr>
          <w:color w:val="auto"/>
          <w:shd w:val="clear" w:color="auto" w:fill="auto"/>
        </w:rPr>
      </w:pPr>
      <w:bookmarkStart w:id="103" w:name="_Toc13977_WPSOffice_Level1"/>
      <w:bookmarkStart w:id="104" w:name="_Toc31282_WPSOffice_Level1"/>
      <w:bookmarkStart w:id="105" w:name="_Toc32281"/>
      <w:r>
        <w:rPr>
          <w:rFonts w:hint="eastAsia"/>
          <w:color w:val="auto"/>
          <w:shd w:val="clear" w:color="auto" w:fill="auto"/>
          <w:lang w:val="en-US" w:eastAsia="zh-CN"/>
        </w:rPr>
        <w:t>第2章 建设项目</w:t>
      </w:r>
      <w:r>
        <w:rPr>
          <w:rFonts w:hint="eastAsia"/>
          <w:color w:val="auto"/>
          <w:shd w:val="clear" w:color="auto" w:fill="auto"/>
        </w:rPr>
        <w:t>工程</w:t>
      </w:r>
      <w:bookmarkEnd w:id="103"/>
      <w:bookmarkEnd w:id="104"/>
      <w:r>
        <w:rPr>
          <w:rFonts w:hint="eastAsia"/>
          <w:color w:val="auto"/>
          <w:shd w:val="clear" w:color="auto" w:fill="auto"/>
          <w:lang w:val="en-US" w:eastAsia="zh-CN"/>
        </w:rPr>
        <w:t>分析</w:t>
      </w:r>
      <w:bookmarkEnd w:id="105"/>
    </w:p>
    <w:p>
      <w:pPr>
        <w:pStyle w:val="4"/>
        <w:spacing w:before="120" w:after="120"/>
        <w:rPr>
          <w:color w:val="auto"/>
          <w:shd w:val="clear" w:color="auto" w:fill="auto"/>
        </w:rPr>
      </w:pPr>
      <w:bookmarkStart w:id="106" w:name="_Toc27752_WPSOffice_Level2"/>
      <w:bookmarkStart w:id="107" w:name="_Toc24044_WPSOffice_Level2"/>
      <w:bookmarkStart w:id="108" w:name="_Toc29320"/>
      <w:r>
        <w:rPr>
          <w:rFonts w:hint="eastAsia"/>
          <w:color w:val="auto"/>
          <w:shd w:val="clear" w:color="auto" w:fill="auto"/>
        </w:rPr>
        <w:t>2.1 工程概况</w:t>
      </w:r>
      <w:bookmarkEnd w:id="106"/>
      <w:bookmarkEnd w:id="107"/>
      <w:bookmarkEnd w:id="108"/>
    </w:p>
    <w:p>
      <w:pPr>
        <w:ind w:firstLine="480"/>
        <w:rPr>
          <w:color w:val="auto"/>
          <w:shd w:val="clear" w:color="auto" w:fill="auto"/>
        </w:rPr>
      </w:pPr>
      <w:r>
        <w:rPr>
          <w:color w:val="auto"/>
          <w:shd w:val="clear" w:color="auto" w:fill="auto"/>
        </w:rPr>
        <w:t>（1）项目名称：</w:t>
      </w:r>
      <w:r>
        <w:rPr>
          <w:rFonts w:hint="eastAsia"/>
          <w:color w:val="auto"/>
          <w:shd w:val="clear" w:color="auto" w:fill="auto"/>
          <w:lang w:eastAsia="zh-CN"/>
        </w:rPr>
        <w:t>阜阳港太和港区陶庙作业区码头工程</w:t>
      </w:r>
      <w:r>
        <w:rPr>
          <w:color w:val="auto"/>
          <w:shd w:val="clear" w:color="auto" w:fill="auto"/>
        </w:rPr>
        <w:t>；</w:t>
      </w:r>
    </w:p>
    <w:p>
      <w:pPr>
        <w:ind w:firstLine="480"/>
        <w:rPr>
          <w:color w:val="auto"/>
          <w:shd w:val="clear" w:color="auto" w:fill="auto"/>
        </w:rPr>
      </w:pPr>
      <w:r>
        <w:rPr>
          <w:color w:val="auto"/>
          <w:shd w:val="clear" w:color="auto" w:fill="auto"/>
        </w:rPr>
        <w:t>（2）项目性质：新建；</w:t>
      </w:r>
    </w:p>
    <w:p>
      <w:pPr>
        <w:ind w:firstLine="480"/>
        <w:rPr>
          <w:color w:val="auto"/>
          <w:shd w:val="clear" w:color="auto" w:fill="auto"/>
        </w:rPr>
      </w:pPr>
      <w:r>
        <w:rPr>
          <w:color w:val="auto"/>
          <w:shd w:val="clear" w:color="auto" w:fill="auto"/>
        </w:rPr>
        <w:t>（3）建设单位：</w:t>
      </w:r>
      <w:r>
        <w:rPr>
          <w:rFonts w:hint="eastAsia"/>
          <w:color w:val="auto"/>
          <w:shd w:val="clear" w:color="auto" w:fill="auto"/>
          <w:lang w:eastAsia="zh-CN"/>
        </w:rPr>
        <w:t>太和县鸿泰港口服务有限公司</w:t>
      </w:r>
      <w:r>
        <w:rPr>
          <w:color w:val="auto"/>
          <w:shd w:val="clear" w:color="auto" w:fill="auto"/>
        </w:rPr>
        <w:t>；</w:t>
      </w:r>
    </w:p>
    <w:p>
      <w:pPr>
        <w:bidi w:val="0"/>
        <w:rPr>
          <w:color w:val="auto"/>
          <w:shd w:val="clear" w:color="auto" w:fill="auto"/>
        </w:rPr>
      </w:pPr>
      <w:r>
        <w:rPr>
          <w:color w:val="auto"/>
          <w:shd w:val="clear" w:color="auto" w:fill="auto"/>
        </w:rPr>
        <w:t>（4）项目投资：拟建项目</w:t>
      </w:r>
      <w:r>
        <w:rPr>
          <w:rFonts w:hint="eastAsia" w:ascii="Times New Roman" w:hAnsi="Times New Roman" w:cs="Times New Roman"/>
          <w:color w:val="auto"/>
          <w:shd w:val="clear" w:color="auto" w:fill="auto"/>
          <w:lang w:val="en-US" w:eastAsia="zh-CN"/>
        </w:rPr>
        <w:t>总投资6954.60万元，其中</w:t>
      </w:r>
      <w:r>
        <w:rPr>
          <w:rFonts w:hint="eastAsia"/>
          <w:color w:val="auto"/>
          <w:shd w:val="clear" w:color="auto" w:fill="auto"/>
        </w:rPr>
        <w:t>环保投资</w:t>
      </w:r>
      <w:r>
        <w:rPr>
          <w:rFonts w:hint="eastAsia"/>
          <w:color w:val="auto"/>
          <w:highlight w:val="none"/>
          <w:shd w:val="clear" w:color="auto" w:fill="auto"/>
          <w:lang w:val="en-US" w:eastAsia="zh-CN"/>
        </w:rPr>
        <w:t>264.69</w:t>
      </w:r>
      <w:r>
        <w:rPr>
          <w:rFonts w:hint="eastAsia"/>
          <w:color w:val="auto"/>
          <w:shd w:val="clear" w:color="auto" w:fill="auto"/>
        </w:rPr>
        <w:t>万元，占总投资的</w:t>
      </w:r>
      <w:r>
        <w:rPr>
          <w:rFonts w:hint="eastAsia"/>
          <w:color w:val="auto"/>
          <w:shd w:val="clear" w:color="auto" w:fill="auto"/>
          <w:lang w:val="en-US" w:eastAsia="zh-CN"/>
        </w:rPr>
        <w:t>3.8</w:t>
      </w:r>
      <w:r>
        <w:rPr>
          <w:rFonts w:hint="eastAsia"/>
          <w:color w:val="auto"/>
          <w:shd w:val="clear" w:color="auto" w:fill="auto"/>
        </w:rPr>
        <w:t>%</w:t>
      </w:r>
      <w:r>
        <w:rPr>
          <w:color w:val="auto"/>
          <w:shd w:val="clear" w:color="auto" w:fill="auto"/>
        </w:rPr>
        <w:t>；</w:t>
      </w:r>
    </w:p>
    <w:p>
      <w:pPr>
        <w:bidi w:val="0"/>
        <w:rPr>
          <w:color w:val="auto"/>
          <w:shd w:val="clear" w:color="auto" w:fill="auto"/>
        </w:rPr>
      </w:pPr>
      <w:r>
        <w:rPr>
          <w:color w:val="auto"/>
          <w:shd w:val="clear" w:color="auto" w:fill="auto"/>
        </w:rPr>
        <w:t>（5）建设地点：</w:t>
      </w:r>
      <w:r>
        <w:rPr>
          <w:rFonts w:hint="eastAsia"/>
          <w:color w:val="auto"/>
          <w:shd w:val="clear" w:color="auto" w:fill="auto"/>
        </w:rPr>
        <w:t>本工程</w:t>
      </w:r>
      <w:r>
        <w:rPr>
          <w:rFonts w:hint="eastAsia"/>
          <w:color w:val="auto"/>
          <w:shd w:val="clear" w:color="auto" w:fill="auto"/>
          <w:lang w:eastAsia="zh-CN"/>
        </w:rPr>
        <w:t>位于阜阳市太和县城关镇</w:t>
      </w:r>
      <w:r>
        <w:rPr>
          <w:rFonts w:hint="eastAsia"/>
          <w:color w:val="auto"/>
          <w:shd w:val="clear" w:color="auto" w:fill="auto"/>
        </w:rPr>
        <w:t>境内，</w:t>
      </w:r>
      <w:r>
        <w:rPr>
          <w:rFonts w:hint="eastAsia"/>
          <w:color w:val="auto"/>
          <w:shd w:val="clear" w:color="auto" w:fill="auto"/>
          <w:lang w:eastAsia="zh-CN"/>
        </w:rPr>
        <w:t>阜阳港太和港区陶庙作业区</w:t>
      </w:r>
      <w:r>
        <w:rPr>
          <w:rFonts w:hint="eastAsia"/>
          <w:color w:val="auto"/>
          <w:shd w:val="clear" w:color="auto" w:fill="auto"/>
        </w:rPr>
        <w:t>，距上游太和二桥约1.1</w:t>
      </w:r>
      <w:r>
        <w:rPr>
          <w:rFonts w:hint="eastAsia"/>
          <w:color w:val="auto"/>
          <w:shd w:val="clear" w:color="auto" w:fill="auto"/>
          <w:lang w:eastAsia="zh-CN"/>
        </w:rPr>
        <w:t>km</w:t>
      </w:r>
      <w:r>
        <w:rPr>
          <w:rFonts w:hint="eastAsia"/>
          <w:color w:val="auto"/>
          <w:shd w:val="clear" w:color="auto" w:fill="auto"/>
        </w:rPr>
        <w:t>，距上游太和锚地约280</w:t>
      </w:r>
      <w:r>
        <w:rPr>
          <w:rFonts w:hint="eastAsia"/>
          <w:color w:val="auto"/>
          <w:shd w:val="clear" w:color="auto" w:fill="auto"/>
          <w:lang w:eastAsia="zh-CN"/>
        </w:rPr>
        <w:t>m</w:t>
      </w:r>
      <w:r>
        <w:rPr>
          <w:rFonts w:hint="eastAsia"/>
          <w:color w:val="auto"/>
          <w:shd w:val="clear" w:color="auto" w:fill="auto"/>
        </w:rPr>
        <w:t>，距下游危化品码头约200</w:t>
      </w:r>
      <w:r>
        <w:rPr>
          <w:rFonts w:hint="eastAsia"/>
          <w:color w:val="auto"/>
          <w:shd w:val="clear" w:color="auto" w:fill="auto"/>
          <w:lang w:eastAsia="zh-CN"/>
        </w:rPr>
        <w:t>m。</w:t>
      </w:r>
      <w:r>
        <w:rPr>
          <w:rFonts w:hint="eastAsia"/>
          <w:color w:val="auto"/>
          <w:shd w:val="clear" w:color="auto" w:fill="auto"/>
        </w:rPr>
        <w:t>具体地理位置</w:t>
      </w:r>
      <w:r>
        <w:rPr>
          <w:rFonts w:hint="eastAsia"/>
          <w:color w:val="auto"/>
          <w:shd w:val="clear" w:color="auto" w:fill="auto"/>
          <w:lang w:val="en-US" w:eastAsia="zh-CN"/>
        </w:rPr>
        <w:t>见</w:t>
      </w:r>
      <w:r>
        <w:rPr>
          <w:rFonts w:hint="eastAsia"/>
          <w:color w:val="auto"/>
          <w:shd w:val="clear" w:color="auto" w:fill="auto"/>
        </w:rPr>
        <w:t>图</w:t>
      </w:r>
      <w:r>
        <w:rPr>
          <w:rFonts w:hint="eastAsia"/>
          <w:color w:val="auto"/>
          <w:shd w:val="clear" w:color="auto" w:fill="auto"/>
          <w:lang w:val="en-US" w:eastAsia="zh-CN"/>
        </w:rPr>
        <w:t>2.1-</w:t>
      </w:r>
      <w:r>
        <w:rPr>
          <w:rFonts w:hint="eastAsia"/>
          <w:color w:val="auto"/>
          <w:shd w:val="clear" w:color="auto" w:fill="auto"/>
        </w:rPr>
        <w:t>1</w:t>
      </w:r>
      <w:r>
        <w:rPr>
          <w:color w:val="auto"/>
          <w:shd w:val="clear" w:color="auto" w:fill="auto"/>
        </w:rPr>
        <w:t>；</w:t>
      </w:r>
    </w:p>
    <w:p>
      <w:pPr>
        <w:bidi w:val="0"/>
        <w:rPr>
          <w:rFonts w:hint="eastAsia"/>
          <w:color w:val="auto"/>
          <w:shd w:val="clear" w:color="auto" w:fill="auto"/>
          <w:lang w:eastAsia="zh-CN"/>
        </w:rPr>
      </w:pPr>
      <w:r>
        <w:rPr>
          <w:color w:val="auto"/>
          <w:shd w:val="clear" w:color="auto" w:fill="auto"/>
        </w:rPr>
        <w:t>（6）建设规模：</w:t>
      </w:r>
      <w:r>
        <w:rPr>
          <w:rFonts w:hint="default"/>
          <w:color w:val="auto"/>
          <w:shd w:val="clear" w:color="auto" w:fill="auto"/>
        </w:rPr>
        <w:t>码头年设计吞吐量为1</w:t>
      </w:r>
      <w:r>
        <w:rPr>
          <w:rFonts w:hint="eastAsia"/>
          <w:color w:val="auto"/>
          <w:shd w:val="clear" w:color="auto" w:fill="auto"/>
          <w:lang w:val="en-US" w:eastAsia="zh-CN"/>
        </w:rPr>
        <w:t>5</w:t>
      </w:r>
      <w:r>
        <w:rPr>
          <w:rFonts w:hint="default"/>
          <w:color w:val="auto"/>
          <w:shd w:val="clear" w:color="auto" w:fill="auto"/>
        </w:rPr>
        <w:t>0万吨，</w:t>
      </w:r>
      <w:r>
        <w:rPr>
          <w:rFonts w:hint="eastAsia"/>
          <w:color w:val="auto"/>
          <w:shd w:val="clear" w:color="auto" w:fill="auto"/>
          <w:lang w:val="en-US" w:eastAsia="zh-CN"/>
        </w:rPr>
        <w:t>拟</w:t>
      </w:r>
      <w:r>
        <w:rPr>
          <w:rFonts w:hint="default"/>
          <w:color w:val="auto"/>
          <w:shd w:val="clear" w:color="auto" w:fill="auto"/>
        </w:rPr>
        <w:t>建设3个</w:t>
      </w:r>
      <w:r>
        <w:rPr>
          <w:rFonts w:hint="eastAsia"/>
          <w:color w:val="auto"/>
          <w:shd w:val="clear" w:color="auto" w:fill="auto"/>
          <w:lang w:val="en-US" w:eastAsia="zh-CN"/>
        </w:rPr>
        <w:t>10</w:t>
      </w:r>
      <w:r>
        <w:rPr>
          <w:rFonts w:hint="default"/>
          <w:color w:val="auto"/>
          <w:shd w:val="clear" w:color="auto" w:fill="auto"/>
        </w:rPr>
        <w:t>00吨级散货泊位，主要货种为矿建材料，使用岸线长度</w:t>
      </w:r>
      <w:r>
        <w:rPr>
          <w:rFonts w:hint="eastAsia"/>
          <w:color w:val="auto"/>
          <w:shd w:val="clear" w:color="auto" w:fill="auto"/>
          <w:lang w:val="en-US" w:eastAsia="zh-CN"/>
        </w:rPr>
        <w:t>220</w:t>
      </w:r>
      <w:r>
        <w:rPr>
          <w:rFonts w:hint="eastAsia"/>
          <w:color w:val="auto"/>
          <w:shd w:val="clear" w:color="auto" w:fill="auto"/>
          <w:lang w:eastAsia="zh-CN"/>
        </w:rPr>
        <w:t>m</w:t>
      </w:r>
      <w:r>
        <w:rPr>
          <w:rFonts w:hint="default"/>
          <w:color w:val="auto"/>
          <w:shd w:val="clear" w:color="auto" w:fill="auto"/>
        </w:rPr>
        <w:t>，工程占地面积约</w:t>
      </w:r>
      <w:r>
        <w:rPr>
          <w:rFonts w:hint="eastAsia"/>
          <w:color w:val="auto"/>
          <w:shd w:val="clear" w:color="auto" w:fill="auto"/>
          <w:lang w:val="en-US" w:eastAsia="zh-CN"/>
        </w:rPr>
        <w:t>36</w:t>
      </w:r>
      <w:r>
        <w:rPr>
          <w:rFonts w:hint="default"/>
          <w:color w:val="auto"/>
          <w:shd w:val="clear" w:color="auto" w:fill="auto"/>
        </w:rPr>
        <w:t>亩。</w:t>
      </w:r>
    </w:p>
    <w:p>
      <w:pPr>
        <w:bidi w:val="0"/>
        <w:rPr>
          <w:color w:val="auto"/>
          <w:shd w:val="clear" w:color="auto" w:fill="auto"/>
        </w:rPr>
      </w:pPr>
      <w:r>
        <w:rPr>
          <w:color w:val="auto"/>
          <w:shd w:val="clear" w:color="auto" w:fill="auto"/>
        </w:rPr>
        <w:t>（7）劳动定员及工作制度：</w:t>
      </w:r>
      <w:r>
        <w:rPr>
          <w:rFonts w:hint="eastAsia"/>
          <w:color w:val="auto"/>
          <w:shd w:val="clear" w:color="auto" w:fill="auto"/>
        </w:rPr>
        <w:t>劳动定员约</w:t>
      </w:r>
      <w:r>
        <w:rPr>
          <w:rFonts w:hint="eastAsia"/>
          <w:color w:val="auto"/>
          <w:shd w:val="clear" w:color="auto" w:fill="auto"/>
          <w:lang w:val="en-US" w:eastAsia="zh-CN"/>
        </w:rPr>
        <w:t>27</w:t>
      </w:r>
      <w:r>
        <w:rPr>
          <w:rFonts w:hint="eastAsia"/>
          <w:color w:val="auto"/>
          <w:shd w:val="clear" w:color="auto" w:fill="auto"/>
        </w:rPr>
        <w:t>人，</w:t>
      </w:r>
      <w:r>
        <w:rPr>
          <w:color w:val="auto"/>
          <w:shd w:val="clear" w:color="auto" w:fill="auto"/>
        </w:rPr>
        <w:t>年作业天数为</w:t>
      </w:r>
      <w:r>
        <w:rPr>
          <w:rFonts w:hint="eastAsia"/>
          <w:color w:val="auto"/>
          <w:shd w:val="clear" w:color="auto" w:fill="auto"/>
          <w:lang w:val="en-US" w:eastAsia="zh-CN"/>
        </w:rPr>
        <w:t>32</w:t>
      </w:r>
      <w:r>
        <w:rPr>
          <w:color w:val="auto"/>
          <w:shd w:val="clear" w:color="auto" w:fill="auto"/>
        </w:rPr>
        <w:t>0天，作业班制为</w:t>
      </w:r>
      <w:r>
        <w:rPr>
          <w:rFonts w:hint="eastAsia"/>
          <w:color w:val="auto"/>
          <w:shd w:val="clear" w:color="auto" w:fill="auto"/>
        </w:rPr>
        <w:t>三班轮换制</w:t>
      </w:r>
      <w:r>
        <w:rPr>
          <w:color w:val="auto"/>
          <w:shd w:val="clear" w:color="auto" w:fill="auto"/>
        </w:rPr>
        <w:t>。</w:t>
      </w:r>
    </w:p>
    <w:p>
      <w:pPr>
        <w:pStyle w:val="2"/>
      </w:pPr>
      <w:r>
        <w:drawing>
          <wp:inline distT="0" distB="0" distL="114300" distR="114300">
            <wp:extent cx="5542915" cy="3712210"/>
            <wp:effectExtent l="0" t="0" r="635" b="2540"/>
            <wp:docPr id="1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3"/>
                    <pic:cNvPicPr>
                      <a:picLocks noChangeAspect="1"/>
                    </pic:cNvPicPr>
                  </pic:nvPicPr>
                  <pic:blipFill>
                    <a:blip r:embed="rId19"/>
                    <a:stretch>
                      <a:fillRect/>
                    </a:stretch>
                  </pic:blipFill>
                  <pic:spPr>
                    <a:xfrm>
                      <a:off x="0" y="0"/>
                      <a:ext cx="5542915" cy="37122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82"/>
        <w:jc w:val="center"/>
        <w:textAlignment w:val="auto"/>
        <w:outlineLvl w:val="9"/>
        <w:rPr>
          <w:rFonts w:hint="default" w:ascii="Times New Roman" w:hAnsi="Times New Roman" w:eastAsia="黑体" w:cs="Times New Roman"/>
          <w:color w:val="auto"/>
          <w:kern w:val="2"/>
          <w:sz w:val="24"/>
          <w:szCs w:val="24"/>
          <w:shd w:val="clear" w:color="auto" w:fill="auto"/>
          <w:lang w:val="en-US" w:eastAsia="zh-CN" w:bidi="ar-SA"/>
        </w:rPr>
      </w:pPr>
      <w:r>
        <w:rPr>
          <w:rFonts w:hint="eastAsia" w:ascii="Times New Roman" w:hAnsi="Times New Roman" w:eastAsia="黑体" w:cs="Times New Roman"/>
          <w:color w:val="auto"/>
          <w:kern w:val="2"/>
          <w:sz w:val="24"/>
          <w:szCs w:val="24"/>
          <w:shd w:val="clear" w:color="auto" w:fill="auto"/>
          <w:lang w:val="en-US" w:eastAsia="zh-CN" w:bidi="ar-SA"/>
        </w:rPr>
        <w:t>图2.1-1 工程地理位置图</w:t>
      </w:r>
    </w:p>
    <w:p>
      <w:pPr>
        <w:pStyle w:val="5"/>
        <w:rPr>
          <w:color w:val="auto"/>
          <w:shd w:val="clear" w:color="auto" w:fill="auto"/>
        </w:rPr>
      </w:pPr>
      <w:bookmarkStart w:id="109" w:name="_Toc212432172"/>
      <w:bookmarkStart w:id="110" w:name="_Toc1368"/>
      <w:bookmarkStart w:id="111" w:name="_Toc328986579"/>
      <w:bookmarkStart w:id="112" w:name="_Toc30431"/>
      <w:bookmarkStart w:id="113" w:name="_Toc17515"/>
      <w:bookmarkStart w:id="114" w:name="_Toc6543"/>
      <w:bookmarkStart w:id="115" w:name="_Toc328967859"/>
      <w:bookmarkStart w:id="116" w:name="_Toc12936"/>
      <w:bookmarkStart w:id="117" w:name="_Toc23512"/>
      <w:bookmarkStart w:id="118" w:name="_Toc328911795"/>
      <w:bookmarkStart w:id="119" w:name="_Toc5847_WPSOffice_Level2"/>
      <w:bookmarkStart w:id="120" w:name="_Toc23803_WPSOffice_Level2"/>
      <w:r>
        <w:rPr>
          <w:rFonts w:hint="eastAsia"/>
          <w:color w:val="auto"/>
          <w:shd w:val="clear" w:color="auto" w:fill="auto"/>
        </w:rPr>
        <w:t>2.</w:t>
      </w:r>
      <w:bookmarkEnd w:id="109"/>
      <w:r>
        <w:rPr>
          <w:rFonts w:hint="eastAsia"/>
          <w:color w:val="auto"/>
          <w:shd w:val="clear" w:color="auto" w:fill="auto"/>
          <w:lang w:val="en-US" w:eastAsia="zh-CN"/>
        </w:rPr>
        <w:t>1.1</w:t>
      </w:r>
      <w:r>
        <w:rPr>
          <w:rFonts w:hint="eastAsia"/>
          <w:color w:val="auto"/>
          <w:shd w:val="clear" w:color="auto" w:fill="auto"/>
        </w:rPr>
        <w:t xml:space="preserve"> 建设</w:t>
      </w:r>
      <w:bookmarkEnd w:id="110"/>
      <w:bookmarkEnd w:id="111"/>
      <w:bookmarkEnd w:id="112"/>
      <w:bookmarkEnd w:id="113"/>
      <w:bookmarkEnd w:id="114"/>
      <w:bookmarkEnd w:id="115"/>
      <w:bookmarkEnd w:id="116"/>
      <w:bookmarkEnd w:id="117"/>
      <w:bookmarkEnd w:id="118"/>
      <w:r>
        <w:rPr>
          <w:rFonts w:hint="eastAsia"/>
          <w:color w:val="auto"/>
          <w:shd w:val="clear" w:color="auto" w:fill="auto"/>
        </w:rPr>
        <w:t>规模及主要内容</w:t>
      </w:r>
      <w:bookmarkEnd w:id="119"/>
      <w:bookmarkEnd w:id="120"/>
    </w:p>
    <w:p>
      <w:pPr>
        <w:pStyle w:val="6"/>
        <w:rPr>
          <w:color w:val="auto"/>
          <w:shd w:val="clear" w:color="auto" w:fill="auto"/>
        </w:rPr>
      </w:pPr>
      <w:r>
        <w:rPr>
          <w:rFonts w:hint="eastAsia"/>
          <w:color w:val="auto"/>
          <w:shd w:val="clear" w:color="auto" w:fill="auto"/>
        </w:rPr>
        <w:t>2.</w:t>
      </w:r>
      <w:r>
        <w:rPr>
          <w:rFonts w:hint="eastAsia"/>
          <w:color w:val="auto"/>
          <w:shd w:val="clear" w:color="auto" w:fill="auto"/>
          <w:lang w:val="en-US" w:eastAsia="zh-CN"/>
        </w:rPr>
        <w:t>1.1</w:t>
      </w:r>
      <w:r>
        <w:rPr>
          <w:rFonts w:hint="eastAsia"/>
          <w:color w:val="auto"/>
          <w:shd w:val="clear" w:color="auto" w:fill="auto"/>
        </w:rPr>
        <w:t>.1 工程组成</w:t>
      </w:r>
    </w:p>
    <w:p>
      <w:pPr>
        <w:pStyle w:val="51"/>
        <w:ind w:firstLine="480"/>
        <w:rPr>
          <w:rFonts w:ascii="Times New Roman" w:hAnsi="Times New Roman"/>
          <w:bCs/>
          <w:color w:val="auto"/>
          <w:sz w:val="24"/>
          <w:szCs w:val="24"/>
          <w:shd w:val="clear" w:color="auto" w:fill="auto"/>
        </w:rPr>
      </w:pPr>
      <w:r>
        <w:rPr>
          <w:rFonts w:hint="eastAsia" w:ascii="Times New Roman" w:hAnsi="Times New Roman"/>
          <w:bCs/>
          <w:color w:val="auto"/>
          <w:sz w:val="24"/>
          <w:szCs w:val="24"/>
          <w:shd w:val="clear" w:color="auto" w:fill="auto"/>
        </w:rPr>
        <w:t>拟建工程主要组成内容见表2.</w:t>
      </w:r>
      <w:r>
        <w:rPr>
          <w:rFonts w:hint="eastAsia" w:ascii="Times New Roman" w:hAnsi="Times New Roman"/>
          <w:bCs/>
          <w:color w:val="auto"/>
          <w:sz w:val="24"/>
          <w:szCs w:val="24"/>
          <w:shd w:val="clear" w:color="auto" w:fill="auto"/>
          <w:lang w:val="en-US" w:eastAsia="zh-CN"/>
        </w:rPr>
        <w:t>1</w:t>
      </w:r>
      <w:r>
        <w:rPr>
          <w:rFonts w:hint="eastAsia" w:ascii="Times New Roman" w:hAnsi="Times New Roman"/>
          <w:bCs/>
          <w:color w:val="auto"/>
          <w:sz w:val="24"/>
          <w:szCs w:val="24"/>
          <w:shd w:val="clear" w:color="auto" w:fill="auto"/>
        </w:rPr>
        <w:t>-1。</w:t>
      </w:r>
    </w:p>
    <w:p>
      <w:pPr>
        <w:snapToGrid w:val="0"/>
        <w:spacing w:line="240" w:lineRule="auto"/>
        <w:ind w:firstLine="0" w:firstLineChars="0"/>
        <w:jc w:val="center"/>
        <w:rPr>
          <w:rFonts w:hint="eastAsia" w:ascii="Times New Roman" w:hAnsi="Times New Roman" w:eastAsia="黑体" w:cs="Times New Roman"/>
          <w:color w:val="auto"/>
          <w:kern w:val="2"/>
          <w:sz w:val="21"/>
          <w:szCs w:val="21"/>
          <w:shd w:val="clear" w:color="auto" w:fill="auto"/>
          <w:lang w:val="en-US" w:eastAsia="zh-CN" w:bidi="ar-SA"/>
        </w:rPr>
      </w:pPr>
      <w:r>
        <w:rPr>
          <w:rFonts w:hint="eastAsia" w:ascii="Times New Roman" w:hAnsi="Times New Roman" w:eastAsia="黑体" w:cs="Times New Roman"/>
          <w:color w:val="auto"/>
          <w:kern w:val="2"/>
          <w:sz w:val="21"/>
          <w:szCs w:val="21"/>
          <w:shd w:val="clear" w:color="auto" w:fill="auto"/>
          <w:lang w:val="en-US" w:eastAsia="zh-CN" w:bidi="ar-SA"/>
        </w:rPr>
        <w:t>表2.1-1 拟建工程基本组成一览表</w:t>
      </w:r>
    </w:p>
    <w:tbl>
      <w:tblPr>
        <w:tblStyle w:val="26"/>
        <w:tblW w:w="8946"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461"/>
        <w:gridCol w:w="825"/>
        <w:gridCol w:w="1335"/>
        <w:gridCol w:w="6325"/>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34" w:hRule="atLeast"/>
          <w:tblHeader/>
          <w:jc w:val="center"/>
        </w:trPr>
        <w:tc>
          <w:tcPr>
            <w:tcW w:w="461"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b/>
                <w:bCs/>
                <w:color w:val="auto"/>
                <w:sz w:val="21"/>
                <w:szCs w:val="21"/>
                <w:shd w:val="clear" w:color="auto" w:fill="auto"/>
              </w:rPr>
            </w:pPr>
            <w:r>
              <w:rPr>
                <w:rFonts w:eastAsia="宋体" w:cs="Times New Roman"/>
                <w:b/>
                <w:bCs/>
                <w:color w:val="auto"/>
                <w:sz w:val="21"/>
                <w:szCs w:val="21"/>
                <w:shd w:val="clear" w:color="auto" w:fill="auto"/>
              </w:rPr>
              <w:t>序号</w:t>
            </w:r>
          </w:p>
        </w:tc>
        <w:tc>
          <w:tcPr>
            <w:tcW w:w="82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b/>
                <w:bCs/>
                <w:color w:val="auto"/>
                <w:sz w:val="21"/>
                <w:szCs w:val="21"/>
                <w:shd w:val="clear" w:color="auto" w:fill="auto"/>
              </w:rPr>
            </w:pPr>
            <w:r>
              <w:rPr>
                <w:rFonts w:eastAsia="宋体" w:cs="Times New Roman"/>
                <w:b/>
                <w:bCs/>
                <w:color w:val="auto"/>
                <w:sz w:val="21"/>
                <w:szCs w:val="21"/>
                <w:shd w:val="clear" w:color="auto" w:fill="auto"/>
              </w:rPr>
              <w:t>工程</w:t>
            </w:r>
          </w:p>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b/>
                <w:bCs/>
                <w:color w:val="auto"/>
                <w:sz w:val="21"/>
                <w:szCs w:val="21"/>
                <w:shd w:val="clear" w:color="auto" w:fill="auto"/>
              </w:rPr>
            </w:pPr>
            <w:r>
              <w:rPr>
                <w:rFonts w:eastAsia="宋体" w:cs="Times New Roman"/>
                <w:b/>
                <w:bCs/>
                <w:color w:val="auto"/>
                <w:sz w:val="21"/>
                <w:szCs w:val="21"/>
                <w:shd w:val="clear" w:color="auto" w:fill="auto"/>
              </w:rPr>
              <w:t>类别</w:t>
            </w:r>
          </w:p>
        </w:tc>
        <w:tc>
          <w:tcPr>
            <w:tcW w:w="133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b/>
                <w:bCs/>
                <w:color w:val="auto"/>
                <w:sz w:val="21"/>
                <w:szCs w:val="21"/>
                <w:shd w:val="clear" w:color="auto" w:fill="auto"/>
              </w:rPr>
            </w:pPr>
            <w:r>
              <w:rPr>
                <w:rFonts w:eastAsia="宋体" w:cs="Times New Roman"/>
                <w:b/>
                <w:bCs/>
                <w:color w:val="auto"/>
                <w:sz w:val="21"/>
                <w:szCs w:val="21"/>
                <w:shd w:val="clear" w:color="auto" w:fill="auto"/>
              </w:rPr>
              <w:t>工程名称</w:t>
            </w:r>
          </w:p>
        </w:tc>
        <w:tc>
          <w:tcPr>
            <w:tcW w:w="632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b/>
                <w:bCs/>
                <w:color w:val="auto"/>
                <w:sz w:val="21"/>
                <w:szCs w:val="21"/>
                <w:shd w:val="clear" w:color="auto" w:fill="auto"/>
              </w:rPr>
            </w:pPr>
            <w:r>
              <w:rPr>
                <w:rFonts w:eastAsia="宋体" w:cs="Times New Roman"/>
                <w:b/>
                <w:bCs/>
                <w:color w:val="auto"/>
                <w:sz w:val="21"/>
                <w:szCs w:val="21"/>
                <w:shd w:val="clear" w:color="auto" w:fill="auto"/>
              </w:rPr>
              <w:t>规模</w:t>
            </w:r>
            <w:r>
              <w:rPr>
                <w:rFonts w:hint="eastAsia" w:eastAsia="宋体" w:cs="Times New Roman"/>
                <w:b/>
                <w:bCs/>
                <w:color w:val="auto"/>
                <w:sz w:val="21"/>
                <w:szCs w:val="21"/>
                <w:shd w:val="clear" w:color="auto" w:fill="auto"/>
              </w:rPr>
              <w:t>及内容</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60" w:hRule="exact"/>
          <w:jc w:val="center"/>
        </w:trPr>
        <w:tc>
          <w:tcPr>
            <w:tcW w:w="461"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1</w:t>
            </w:r>
          </w:p>
        </w:tc>
        <w:tc>
          <w:tcPr>
            <w:tcW w:w="825"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主体</w:t>
            </w:r>
          </w:p>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工程</w:t>
            </w:r>
          </w:p>
        </w:tc>
        <w:tc>
          <w:tcPr>
            <w:tcW w:w="133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lang w:val="en-US" w:eastAsia="zh-CN"/>
              </w:rPr>
              <w:t>散货</w:t>
            </w:r>
            <w:r>
              <w:rPr>
                <w:rFonts w:hint="eastAsia" w:eastAsia="宋体" w:cs="Times New Roman"/>
                <w:color w:val="auto"/>
                <w:sz w:val="21"/>
                <w:szCs w:val="21"/>
                <w:shd w:val="clear" w:color="auto" w:fill="auto"/>
              </w:rPr>
              <w:t>码头泊位</w:t>
            </w:r>
          </w:p>
        </w:tc>
        <w:tc>
          <w:tcPr>
            <w:tcW w:w="632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420"/>
              <w:jc w:val="left"/>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lang w:val="en-US" w:eastAsia="zh-CN"/>
              </w:rPr>
              <w:t>建设</w:t>
            </w:r>
            <w:r>
              <w:rPr>
                <w:rFonts w:hint="eastAsia" w:eastAsia="宋体" w:cs="Times New Roman"/>
                <w:color w:val="auto"/>
                <w:sz w:val="21"/>
                <w:szCs w:val="21"/>
                <w:shd w:val="clear" w:color="auto" w:fill="auto"/>
                <w:lang w:eastAsia="zh-CN"/>
              </w:rPr>
              <w:t>3个1000吨级散货进口泊位，</w:t>
            </w:r>
            <w:r>
              <w:rPr>
                <w:rFonts w:hint="eastAsia" w:eastAsia="宋体" w:cs="Times New Roman"/>
                <w:color w:val="auto"/>
                <w:sz w:val="21"/>
                <w:szCs w:val="21"/>
                <w:shd w:val="clear" w:color="auto" w:fill="auto"/>
              </w:rPr>
              <w:t>年吞吐量</w:t>
            </w:r>
            <w:r>
              <w:rPr>
                <w:rFonts w:hint="eastAsia" w:eastAsia="宋体" w:cs="Times New Roman"/>
                <w:color w:val="auto"/>
                <w:sz w:val="21"/>
                <w:szCs w:val="21"/>
                <w:shd w:val="clear" w:color="auto" w:fill="auto"/>
                <w:lang w:val="en-US" w:eastAsia="zh-CN"/>
              </w:rPr>
              <w:t>180</w:t>
            </w:r>
            <w:r>
              <w:rPr>
                <w:rFonts w:hint="eastAsia" w:eastAsia="宋体" w:cs="Times New Roman"/>
                <w:color w:val="auto"/>
                <w:sz w:val="21"/>
                <w:szCs w:val="21"/>
                <w:shd w:val="clear" w:color="auto" w:fill="auto"/>
              </w:rPr>
              <w:t>万吨</w:t>
            </w:r>
            <w:r>
              <w:rPr>
                <w:rFonts w:hint="eastAsia" w:eastAsia="宋体" w:cs="Times New Roman"/>
                <w:color w:val="auto"/>
                <w:sz w:val="21"/>
                <w:szCs w:val="21"/>
                <w:shd w:val="clear" w:color="auto" w:fill="auto"/>
                <w:lang w:val="en-US" w:eastAsia="zh-CN"/>
              </w:rPr>
              <w:t>。采用直立式泊位，每</w:t>
            </w:r>
            <w:r>
              <w:rPr>
                <w:rFonts w:hint="eastAsia" w:eastAsia="宋体" w:cs="Times New Roman"/>
                <w:color w:val="auto"/>
                <w:sz w:val="21"/>
                <w:szCs w:val="21"/>
                <w:shd w:val="clear" w:color="auto" w:fill="auto"/>
              </w:rPr>
              <w:t>泊位前方布置2台10t-</w:t>
            </w:r>
            <w:r>
              <w:rPr>
                <w:rFonts w:hint="eastAsia" w:cs="Times New Roman"/>
                <w:color w:val="auto"/>
                <w:sz w:val="21"/>
                <w:szCs w:val="21"/>
                <w:shd w:val="clear" w:color="auto" w:fill="auto"/>
                <w:lang w:val="en-US" w:eastAsia="zh-CN"/>
              </w:rPr>
              <w:t>20</w:t>
            </w:r>
            <w:r>
              <w:rPr>
                <w:rFonts w:hint="eastAsia" w:cs="Times New Roman"/>
                <w:color w:val="auto"/>
                <w:sz w:val="21"/>
                <w:szCs w:val="21"/>
                <w:shd w:val="clear" w:color="auto" w:fill="auto"/>
                <w:lang w:eastAsia="zh-CN"/>
              </w:rPr>
              <w:t>m</w:t>
            </w:r>
            <w:r>
              <w:rPr>
                <w:rFonts w:hint="eastAsia" w:eastAsia="宋体" w:cs="Times New Roman"/>
                <w:color w:val="auto"/>
                <w:sz w:val="21"/>
                <w:szCs w:val="21"/>
                <w:shd w:val="clear" w:color="auto" w:fill="auto"/>
              </w:rPr>
              <w:t>抓斗固定吊作为装卸设备，固定吊下方配备装车料斗。</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694" w:hRule="exact"/>
          <w:jc w:val="center"/>
        </w:trPr>
        <w:tc>
          <w:tcPr>
            <w:tcW w:w="461"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82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133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hint="eastAsia" w:eastAsia="宋体" w:cs="Times New Roman"/>
                <w:color w:val="auto"/>
                <w:sz w:val="21"/>
                <w:szCs w:val="21"/>
                <w:shd w:val="clear" w:color="auto" w:fill="auto"/>
              </w:rPr>
            </w:pPr>
            <w:r>
              <w:rPr>
                <w:color w:val="auto"/>
                <w:sz w:val="21"/>
                <w:shd w:val="clear" w:color="auto" w:fill="auto"/>
              </w:rPr>
              <w:t>港池</w:t>
            </w:r>
          </w:p>
        </w:tc>
        <w:tc>
          <w:tcPr>
            <w:tcW w:w="6325" w:type="dxa"/>
            <w:tcBorders>
              <w:tl2br w:val="nil"/>
              <w:tr2bl w:val="nil"/>
            </w:tcBorders>
            <w:vAlign w:val="center"/>
          </w:tcPr>
          <w:p>
            <w:pPr>
              <w:pStyle w:val="49"/>
              <w:keepNext w:val="0"/>
              <w:keepLines w:val="0"/>
              <w:pageBreakBefore w:val="0"/>
              <w:kinsoku/>
              <w:wordWrap/>
              <w:overflowPunct/>
              <w:topLinePunct w:val="0"/>
              <w:autoSpaceDE/>
              <w:autoSpaceDN/>
              <w:bidi w:val="0"/>
              <w:adjustRightInd/>
              <w:snapToGrid/>
              <w:spacing w:line="264" w:lineRule="auto"/>
              <w:ind w:right="-29"/>
              <w:jc w:val="left"/>
              <w:textAlignment w:val="auto"/>
              <w:rPr>
                <w:rFonts w:hint="eastAsia"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eastAsia="宋体" w:cs="Times New Roman"/>
                <w:color w:val="auto"/>
                <w:kern w:val="2"/>
                <w:sz w:val="21"/>
                <w:szCs w:val="21"/>
                <w:shd w:val="clear" w:color="auto" w:fill="auto"/>
                <w:lang w:val="en-US" w:eastAsia="zh-CN" w:bidi="ar-SA"/>
              </w:rPr>
              <w:t>切滩后退形成港池</w:t>
            </w:r>
            <w:r>
              <w:rPr>
                <w:rFonts w:hint="eastAsia" w:eastAsia="宋体" w:cs="Times New Roman"/>
                <w:color w:val="auto"/>
                <w:kern w:val="2"/>
                <w:sz w:val="21"/>
                <w:szCs w:val="21"/>
                <w:shd w:val="clear" w:color="auto" w:fill="auto"/>
                <w:lang w:val="en-US" w:eastAsia="zh-CN" w:bidi="ar-SA"/>
              </w:rPr>
              <w:t>。</w:t>
            </w:r>
            <w:r>
              <w:rPr>
                <w:rFonts w:hint="eastAsia" w:eastAsia="宋体" w:cs="Times New Roman"/>
                <w:color w:val="auto"/>
                <w:sz w:val="21"/>
                <w:szCs w:val="21"/>
                <w:shd w:val="clear" w:color="auto" w:fill="auto"/>
                <w:lang w:val="en-US" w:eastAsia="zh-CN"/>
              </w:rPr>
              <w:t>码头采用挖入式港池，</w:t>
            </w:r>
            <w:r>
              <w:rPr>
                <w:rFonts w:hint="eastAsia" w:ascii="Times New Roman" w:hAnsi="Times New Roman" w:eastAsia="宋体" w:cs="Times New Roman"/>
                <w:color w:val="auto"/>
                <w:kern w:val="2"/>
                <w:sz w:val="21"/>
                <w:szCs w:val="21"/>
                <w:shd w:val="clear" w:color="auto" w:fill="auto"/>
                <w:lang w:val="en-US" w:eastAsia="zh-CN" w:bidi="ar-SA"/>
              </w:rPr>
              <w:t>港池底高程</w:t>
            </w:r>
            <w:r>
              <w:rPr>
                <w:rFonts w:hint="eastAsia" w:cs="Times New Roman"/>
                <w:color w:val="auto"/>
                <w:kern w:val="2"/>
                <w:sz w:val="21"/>
                <w:szCs w:val="21"/>
                <w:shd w:val="clear" w:color="auto" w:fill="auto"/>
                <w:lang w:val="en-US" w:eastAsia="zh-CN" w:bidi="ar-SA"/>
              </w:rPr>
              <w:t>21m</w:t>
            </w:r>
            <w:r>
              <w:rPr>
                <w:rFonts w:hint="eastAsia" w:ascii="Times New Roman" w:hAnsi="Times New Roman" w:eastAsia="宋体" w:cs="Times New Roman"/>
                <w:color w:val="auto"/>
                <w:kern w:val="2"/>
                <w:sz w:val="21"/>
                <w:szCs w:val="21"/>
                <w:shd w:val="clear" w:color="auto" w:fill="auto"/>
                <w:lang w:val="en-US" w:eastAsia="zh-CN" w:bidi="ar-SA"/>
              </w:rPr>
              <w:t>，边坡坡</w:t>
            </w:r>
            <w:r>
              <w:rPr>
                <w:rFonts w:hint="eastAsia" w:ascii="Times New Roman" w:hAnsi="Times New Roman" w:eastAsia="宋体" w:cs="Times New Roman"/>
                <w:color w:val="auto"/>
                <w:kern w:val="2"/>
                <w:sz w:val="21"/>
                <w:szCs w:val="21"/>
                <w:shd w:val="clear" w:color="auto"/>
                <w:lang w:val="en-US" w:eastAsia="zh-CN" w:bidi="ar-SA"/>
              </w:rPr>
              <w:t>度为1∶3。</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461"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2</w:t>
            </w:r>
          </w:p>
        </w:tc>
        <w:tc>
          <w:tcPr>
            <w:tcW w:w="825"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辅助</w:t>
            </w:r>
          </w:p>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工程</w:t>
            </w:r>
          </w:p>
        </w:tc>
        <w:tc>
          <w:tcPr>
            <w:tcW w:w="133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配电房</w:t>
            </w:r>
          </w:p>
        </w:tc>
        <w:tc>
          <w:tcPr>
            <w:tcW w:w="6325" w:type="dxa"/>
            <w:tcBorders>
              <w:tl2br w:val="nil"/>
              <w:tr2bl w:val="nil"/>
            </w:tcBorders>
          </w:tcPr>
          <w:p>
            <w:pPr>
              <w:pStyle w:val="51"/>
              <w:keepNext w:val="0"/>
              <w:keepLines w:val="0"/>
              <w:pageBreakBefore w:val="0"/>
              <w:kinsoku/>
              <w:wordWrap/>
              <w:overflowPunct/>
              <w:topLinePunct w:val="0"/>
              <w:autoSpaceDE/>
              <w:autoSpaceDN/>
              <w:bidi w:val="0"/>
              <w:adjustRightInd/>
              <w:snapToGrid/>
              <w:spacing w:line="264" w:lineRule="auto"/>
              <w:ind w:firstLine="420"/>
              <w:textAlignment w:val="auto"/>
              <w:rPr>
                <w:rFonts w:hint="eastAsia" w:eastAsia="宋体"/>
                <w:color w:val="auto"/>
                <w:sz w:val="21"/>
                <w:szCs w:val="21"/>
                <w:shd w:val="clear" w:color="auto" w:fill="auto"/>
                <w:lang w:val="en-US" w:eastAsia="zh-CN"/>
              </w:rPr>
            </w:pPr>
            <w:r>
              <w:rPr>
                <w:rFonts w:hint="eastAsia" w:ascii="Times New Roman" w:hAnsi="Times New Roman" w:eastAsia="宋体"/>
                <w:color w:val="auto"/>
                <w:sz w:val="21"/>
                <w:szCs w:val="21"/>
                <w:shd w:val="clear" w:color="auto" w:fill="auto"/>
                <w:lang w:val="en-US" w:eastAsia="zh-CN"/>
              </w:rPr>
              <w:t>1座</w:t>
            </w:r>
            <w:r>
              <w:rPr>
                <w:rFonts w:hint="eastAsia" w:eastAsia="宋体"/>
                <w:color w:val="auto"/>
                <w:sz w:val="21"/>
                <w:szCs w:val="21"/>
                <w:shd w:val="clear" w:color="auto" w:fill="auto"/>
              </w:rPr>
              <w:t>配电房</w:t>
            </w:r>
            <w:r>
              <w:rPr>
                <w:rFonts w:hint="eastAsia" w:eastAsia="宋体"/>
                <w:color w:val="auto"/>
                <w:sz w:val="21"/>
                <w:szCs w:val="21"/>
                <w:shd w:val="clear" w:color="auto" w:fill="auto"/>
                <w:lang w:eastAsia="zh-CN"/>
              </w:rPr>
              <w:t>，</w:t>
            </w:r>
            <w:r>
              <w:rPr>
                <w:rFonts w:hint="eastAsia" w:ascii="Times New Roman" w:hAnsi="Times New Roman" w:cs="Times New Roman"/>
                <w:color w:val="auto"/>
                <w:kern w:val="2"/>
                <w:sz w:val="21"/>
                <w:szCs w:val="21"/>
                <w:shd w:val="clear" w:color="auto" w:fill="auto"/>
                <w:lang w:val="en-US" w:eastAsia="zh-CN" w:bidi="ar-SA"/>
              </w:rPr>
              <w:t>架空框架</w:t>
            </w:r>
            <w:r>
              <w:rPr>
                <w:rFonts w:hint="eastAsia" w:ascii="Times New Roman" w:hAnsi="Times New Roman" w:eastAsia="宋体" w:cs="Times New Roman"/>
                <w:color w:val="auto"/>
                <w:kern w:val="2"/>
                <w:sz w:val="21"/>
                <w:szCs w:val="21"/>
                <w:shd w:val="clear" w:color="auto" w:fill="auto"/>
                <w:lang w:val="en-US" w:eastAsia="zh-CN" w:bidi="ar-SA"/>
              </w:rPr>
              <w:t>结构，总占地面积1</w:t>
            </w:r>
            <w:r>
              <w:rPr>
                <w:rFonts w:hint="eastAsia" w:ascii="Times New Roman" w:hAnsi="Times New Roman" w:cs="Times New Roman"/>
                <w:color w:val="auto"/>
                <w:kern w:val="2"/>
                <w:sz w:val="21"/>
                <w:szCs w:val="21"/>
                <w:shd w:val="clear" w:color="auto" w:fill="auto"/>
                <w:lang w:val="en-US" w:eastAsia="zh-CN" w:bidi="ar-SA"/>
              </w:rPr>
              <w:t>2</w:t>
            </w:r>
            <w:r>
              <w:rPr>
                <w:rFonts w:hint="eastAsia" w:ascii="Times New Roman" w:hAnsi="Times New Roman" w:eastAsia="宋体" w:cs="Times New Roman"/>
                <w:color w:val="auto"/>
                <w:kern w:val="2"/>
                <w:sz w:val="21"/>
                <w:szCs w:val="21"/>
                <w:shd w:val="clear" w:color="auto" w:fill="auto"/>
                <w:lang w:val="en-US" w:eastAsia="zh-CN" w:bidi="ar-SA"/>
              </w:rPr>
              <w:t>0</w:t>
            </w:r>
            <w:r>
              <w:rPr>
                <w:rFonts w:hint="eastAsia" w:ascii="Times New Roman" w:hAnsi="Times New Roman" w:cs="Times New Roman"/>
                <w:color w:val="auto"/>
                <w:kern w:val="2"/>
                <w:sz w:val="21"/>
                <w:szCs w:val="21"/>
                <w:shd w:val="clear" w:color="auto" w:fill="auto"/>
                <w:vertAlign w:val="baseline"/>
                <w:lang w:val="en-US" w:eastAsia="zh-CN" w:bidi="ar-SA"/>
              </w:rPr>
              <w:t>m</w:t>
            </w:r>
            <w:r>
              <w:rPr>
                <w:rFonts w:hint="eastAsia" w:ascii="Times New Roman" w:hAnsi="Times New Roman" w:cs="Times New Roman"/>
                <w:color w:val="auto"/>
                <w:kern w:val="2"/>
                <w:sz w:val="21"/>
                <w:szCs w:val="21"/>
                <w:shd w:val="clear" w:color="auto" w:fill="auto"/>
                <w:vertAlign w:val="superscript"/>
                <w:lang w:val="en-US" w:eastAsia="zh-CN" w:bidi="ar-SA"/>
              </w:rPr>
              <w:t>2</w:t>
            </w:r>
            <w:r>
              <w:rPr>
                <w:rFonts w:hint="eastAsia" w:ascii="Times New Roman" w:hAnsi="Times New Roman" w:eastAsia="宋体"/>
                <w:color w:val="auto"/>
                <w:sz w:val="21"/>
                <w:szCs w:val="21"/>
                <w:shd w:val="clear" w:color="auto" w:fill="auto"/>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21" w:hRule="atLeast"/>
          <w:jc w:val="center"/>
        </w:trPr>
        <w:tc>
          <w:tcPr>
            <w:tcW w:w="461"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82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133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lang w:eastAsia="zh-CN"/>
              </w:rPr>
              <w:t>地磅</w:t>
            </w:r>
            <w:r>
              <w:rPr>
                <w:rFonts w:hint="eastAsia" w:eastAsia="宋体" w:cs="Times New Roman"/>
                <w:color w:val="auto"/>
                <w:sz w:val="21"/>
                <w:szCs w:val="21"/>
                <w:shd w:val="clear" w:color="auto" w:fill="auto"/>
              </w:rPr>
              <w:t>房</w:t>
            </w:r>
          </w:p>
        </w:tc>
        <w:tc>
          <w:tcPr>
            <w:tcW w:w="6325" w:type="dxa"/>
            <w:tcBorders>
              <w:tl2br w:val="nil"/>
              <w:tr2bl w:val="nil"/>
            </w:tcBorders>
          </w:tcPr>
          <w:p>
            <w:pPr>
              <w:keepNext w:val="0"/>
              <w:keepLines w:val="0"/>
              <w:pageBreakBefore w:val="0"/>
              <w:kinsoku/>
              <w:wordWrap/>
              <w:overflowPunct/>
              <w:topLinePunct w:val="0"/>
              <w:autoSpaceDE/>
              <w:autoSpaceDN/>
              <w:bidi w:val="0"/>
              <w:adjustRightInd/>
              <w:snapToGrid/>
              <w:spacing w:line="264" w:lineRule="auto"/>
              <w:ind w:firstLine="420"/>
              <w:jc w:val="left"/>
              <w:textAlignment w:val="auto"/>
              <w:rPr>
                <w:rFonts w:hint="eastAsia" w:eastAsia="宋体" w:cs="Times New Roman"/>
                <w:color w:val="auto"/>
                <w:sz w:val="21"/>
                <w:szCs w:val="21"/>
                <w:shd w:val="clear" w:color="auto" w:fill="auto"/>
                <w:vertAlign w:val="superscript"/>
                <w:lang w:val="en-US" w:eastAsia="zh-CN"/>
              </w:rPr>
            </w:pPr>
            <w:r>
              <w:rPr>
                <w:rFonts w:hint="eastAsia"/>
                <w:color w:val="auto"/>
                <w:sz w:val="21"/>
                <w:szCs w:val="21"/>
                <w:shd w:val="clear" w:color="auto" w:fill="auto"/>
                <w:lang w:val="en-US" w:eastAsia="zh-CN"/>
              </w:rPr>
              <w:t>1</w:t>
            </w:r>
            <w:r>
              <w:rPr>
                <w:rFonts w:hint="eastAsia" w:ascii="Times New Roman" w:hAnsi="Times New Roman" w:eastAsia="宋体"/>
                <w:color w:val="auto"/>
                <w:sz w:val="21"/>
                <w:szCs w:val="21"/>
                <w:shd w:val="clear" w:color="auto" w:fill="auto"/>
                <w:lang w:val="en-US" w:eastAsia="zh-CN"/>
              </w:rPr>
              <w:t>座</w:t>
            </w:r>
            <w:r>
              <w:rPr>
                <w:rFonts w:hint="eastAsia" w:eastAsia="宋体"/>
                <w:color w:val="auto"/>
                <w:sz w:val="21"/>
                <w:szCs w:val="21"/>
                <w:shd w:val="clear" w:color="auto" w:fill="auto"/>
                <w:lang w:val="en-US" w:eastAsia="zh-CN"/>
              </w:rPr>
              <w:t>地磅</w:t>
            </w:r>
            <w:r>
              <w:rPr>
                <w:rFonts w:hint="eastAsia" w:eastAsia="宋体"/>
                <w:color w:val="auto"/>
                <w:sz w:val="21"/>
                <w:szCs w:val="21"/>
                <w:shd w:val="clear" w:color="auto" w:fill="auto"/>
              </w:rPr>
              <w:t>房</w:t>
            </w:r>
            <w:r>
              <w:rPr>
                <w:rFonts w:hint="eastAsia" w:eastAsia="宋体" w:cs="Times New Roman"/>
                <w:color w:val="auto"/>
                <w:sz w:val="21"/>
                <w:szCs w:val="21"/>
                <w:shd w:val="clear" w:color="auto" w:fill="auto"/>
              </w:rPr>
              <w:t>，</w:t>
            </w:r>
            <w:r>
              <w:rPr>
                <w:rFonts w:hint="eastAsia" w:eastAsia="宋体" w:cs="Times New Roman"/>
                <w:color w:val="auto"/>
                <w:sz w:val="21"/>
                <w:szCs w:val="21"/>
                <w:shd w:val="clear" w:color="auto" w:fill="auto"/>
                <w:lang w:eastAsia="zh-CN"/>
              </w:rPr>
              <w:t>临时板房</w:t>
            </w:r>
            <w:r>
              <w:rPr>
                <w:rFonts w:hint="eastAsia" w:eastAsia="宋体" w:cs="Times New Roman"/>
                <w:color w:val="auto"/>
                <w:sz w:val="21"/>
                <w:szCs w:val="21"/>
                <w:shd w:val="clear" w:color="auto" w:fill="auto"/>
              </w:rPr>
              <w:t>，</w:t>
            </w:r>
            <w:r>
              <w:rPr>
                <w:rFonts w:hint="eastAsia" w:ascii="Times New Roman" w:hAnsi="Times New Roman" w:eastAsia="宋体" w:cs="Times New Roman"/>
                <w:color w:val="auto"/>
                <w:kern w:val="2"/>
                <w:sz w:val="21"/>
                <w:szCs w:val="21"/>
                <w:shd w:val="clear" w:color="auto" w:fill="auto"/>
                <w:lang w:val="en-US" w:eastAsia="zh-CN" w:bidi="ar-SA"/>
              </w:rPr>
              <w:t>总占地面积</w:t>
            </w:r>
            <w:r>
              <w:rPr>
                <w:rFonts w:hint="eastAsia" w:cs="Times New Roman"/>
                <w:color w:val="auto"/>
                <w:kern w:val="2"/>
                <w:sz w:val="21"/>
                <w:szCs w:val="21"/>
                <w:shd w:val="clear" w:color="auto" w:fill="auto"/>
                <w:lang w:val="en-US" w:eastAsia="zh-CN" w:bidi="ar-SA"/>
              </w:rPr>
              <w:t>22</w:t>
            </w:r>
            <w:r>
              <w:rPr>
                <w:rFonts w:hint="eastAsia" w:cs="Times New Roman"/>
                <w:color w:val="auto"/>
                <w:kern w:val="2"/>
                <w:sz w:val="21"/>
                <w:szCs w:val="21"/>
                <w:shd w:val="clear" w:color="auto" w:fill="auto"/>
                <w:vertAlign w:val="baseline"/>
                <w:lang w:val="en-US" w:eastAsia="zh-CN" w:bidi="ar-SA"/>
              </w:rPr>
              <w:t>m</w:t>
            </w:r>
            <w:r>
              <w:rPr>
                <w:rFonts w:hint="eastAsia" w:cs="Times New Roman"/>
                <w:color w:val="auto"/>
                <w:kern w:val="2"/>
                <w:sz w:val="21"/>
                <w:szCs w:val="21"/>
                <w:shd w:val="clear" w:color="auto" w:fill="auto"/>
                <w:vertAlign w:val="superscript"/>
                <w:lang w:val="en-US" w:eastAsia="zh-CN" w:bidi="ar-SA"/>
              </w:rPr>
              <w:t>2</w:t>
            </w:r>
            <w:r>
              <w:rPr>
                <w:rFonts w:hint="eastAsia" w:ascii="Times New Roman" w:hAnsi="Times New Roman" w:eastAsia="宋体"/>
                <w:color w:val="auto"/>
                <w:sz w:val="21"/>
                <w:szCs w:val="21"/>
                <w:shd w:val="clear" w:color="auto" w:fill="auto"/>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21" w:hRule="atLeast"/>
          <w:jc w:val="center"/>
        </w:trPr>
        <w:tc>
          <w:tcPr>
            <w:tcW w:w="461"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82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133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hint="eastAsia" w:eastAsia="宋体" w:cs="Times New Roman"/>
                <w:color w:val="auto"/>
                <w:sz w:val="21"/>
                <w:szCs w:val="21"/>
                <w:shd w:val="clear" w:color="auto" w:fill="auto"/>
                <w:lang w:eastAsia="zh-CN"/>
              </w:rPr>
            </w:pPr>
            <w:r>
              <w:rPr>
                <w:rFonts w:hint="eastAsia" w:eastAsia="宋体" w:cs="Times New Roman"/>
                <w:color w:val="auto"/>
                <w:sz w:val="21"/>
                <w:szCs w:val="21"/>
                <w:shd w:val="clear" w:color="auto" w:fill="auto"/>
                <w:lang w:eastAsia="zh-CN"/>
              </w:rPr>
              <w:t>临时管理房</w:t>
            </w:r>
          </w:p>
        </w:tc>
        <w:tc>
          <w:tcPr>
            <w:tcW w:w="6325" w:type="dxa"/>
            <w:tcBorders>
              <w:tl2br w:val="nil"/>
              <w:tr2bl w:val="nil"/>
            </w:tcBorders>
          </w:tcPr>
          <w:p>
            <w:pPr>
              <w:keepNext w:val="0"/>
              <w:keepLines w:val="0"/>
              <w:pageBreakBefore w:val="0"/>
              <w:kinsoku/>
              <w:wordWrap/>
              <w:overflowPunct/>
              <w:topLinePunct w:val="0"/>
              <w:autoSpaceDE/>
              <w:autoSpaceDN/>
              <w:bidi w:val="0"/>
              <w:adjustRightInd/>
              <w:snapToGrid/>
              <w:spacing w:line="264" w:lineRule="auto"/>
              <w:ind w:firstLine="420" w:firstLineChars="200"/>
              <w:textAlignment w:val="auto"/>
              <w:rPr>
                <w:rFonts w:cs="Times New Roman"/>
                <w:color w:val="auto"/>
                <w:sz w:val="21"/>
                <w:szCs w:val="21"/>
                <w:shd w:val="clear" w:color="auto" w:fill="auto"/>
              </w:rPr>
            </w:pPr>
            <w:r>
              <w:rPr>
                <w:rFonts w:hint="eastAsia" w:eastAsia="宋体" w:cs="Times New Roman"/>
                <w:color w:val="auto"/>
                <w:kern w:val="2"/>
                <w:sz w:val="21"/>
                <w:szCs w:val="21"/>
                <w:shd w:val="clear" w:color="auto" w:fill="auto"/>
                <w:lang w:val="en-US" w:eastAsia="zh-CN" w:bidi="ar-SA"/>
              </w:rPr>
              <w:t>1</w:t>
            </w:r>
            <w:r>
              <w:rPr>
                <w:rFonts w:hint="eastAsia" w:ascii="Times New Roman" w:hAnsi="Times New Roman" w:eastAsia="宋体" w:cs="Times New Roman"/>
                <w:color w:val="auto"/>
                <w:kern w:val="2"/>
                <w:sz w:val="21"/>
                <w:szCs w:val="21"/>
                <w:shd w:val="clear" w:color="auto" w:fill="auto"/>
                <w:lang w:val="en-US" w:eastAsia="zh-CN" w:bidi="ar-SA"/>
              </w:rPr>
              <w:t>层，临时板房，</w:t>
            </w:r>
            <w:r>
              <w:rPr>
                <w:rFonts w:hint="eastAsia" w:cs="Times New Roman"/>
                <w:color w:val="auto"/>
                <w:kern w:val="2"/>
                <w:sz w:val="21"/>
                <w:szCs w:val="21"/>
                <w:shd w:val="clear" w:color="auto" w:fill="auto"/>
                <w:lang w:val="en-US" w:eastAsia="zh-CN" w:bidi="ar-SA"/>
              </w:rPr>
              <w:t>250</w:t>
            </w:r>
            <w:r>
              <w:rPr>
                <w:rFonts w:hint="eastAsia"/>
                <w:color w:val="auto"/>
                <w:sz w:val="21"/>
                <w:szCs w:val="21"/>
                <w:shd w:val="clear" w:color="auto" w:fill="auto"/>
                <w:vertAlign w:val="baseline"/>
                <w:lang w:eastAsia="zh-CN"/>
              </w:rPr>
              <w:t>m</w:t>
            </w:r>
            <w:r>
              <w:rPr>
                <w:rFonts w:hint="eastAsia"/>
                <w:color w:val="auto"/>
                <w:sz w:val="21"/>
                <w:szCs w:val="21"/>
                <w:shd w:val="clear" w:color="auto" w:fill="auto"/>
                <w:vertAlign w:val="superscript"/>
                <w:lang w:eastAsia="zh-CN"/>
              </w:rPr>
              <w:t>2</w:t>
            </w:r>
            <w:r>
              <w:rPr>
                <w:rFonts w:hint="eastAsia" w:ascii="Times New Roman" w:hAnsi="Times New Roman" w:eastAsia="宋体"/>
                <w:color w:val="auto"/>
                <w:sz w:val="21"/>
                <w:szCs w:val="21"/>
                <w:shd w:val="clear" w:color="auto" w:fill="auto"/>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6" w:hRule="atLeast"/>
          <w:jc w:val="center"/>
        </w:trPr>
        <w:tc>
          <w:tcPr>
            <w:tcW w:w="461"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3</w:t>
            </w:r>
          </w:p>
        </w:tc>
        <w:tc>
          <w:tcPr>
            <w:tcW w:w="825"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储运</w:t>
            </w:r>
          </w:p>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工程</w:t>
            </w:r>
          </w:p>
        </w:tc>
        <w:tc>
          <w:tcPr>
            <w:tcW w:w="133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道路</w:t>
            </w:r>
          </w:p>
        </w:tc>
        <w:tc>
          <w:tcPr>
            <w:tcW w:w="6325" w:type="dxa"/>
            <w:tcBorders>
              <w:tl2br w:val="nil"/>
              <w:tr2bl w:val="nil"/>
            </w:tcBorders>
            <w:shd w:val="clear" w:color="auto" w:fill="auto"/>
          </w:tcPr>
          <w:p>
            <w:pPr>
              <w:keepNext w:val="0"/>
              <w:keepLines w:val="0"/>
              <w:pageBreakBefore w:val="0"/>
              <w:kinsoku/>
              <w:wordWrap/>
              <w:overflowPunct/>
              <w:topLinePunct w:val="0"/>
              <w:autoSpaceDE/>
              <w:autoSpaceDN/>
              <w:bidi w:val="0"/>
              <w:adjustRightInd/>
              <w:snapToGrid/>
              <w:spacing w:line="264" w:lineRule="auto"/>
              <w:ind w:firstLine="420"/>
              <w:jc w:val="left"/>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lang w:eastAsia="zh-CN"/>
              </w:rPr>
              <w:t>码头平台长220</w:t>
            </w:r>
            <w:r>
              <w:rPr>
                <w:rFonts w:hint="eastAsia" w:cs="Times New Roman"/>
                <w:color w:val="auto"/>
                <w:sz w:val="21"/>
                <w:szCs w:val="21"/>
                <w:shd w:val="clear" w:color="auto" w:fill="auto"/>
                <w:lang w:eastAsia="zh-CN"/>
              </w:rPr>
              <w:t>m</w:t>
            </w:r>
            <w:r>
              <w:rPr>
                <w:rFonts w:hint="eastAsia" w:eastAsia="宋体" w:cs="Times New Roman"/>
                <w:color w:val="auto"/>
                <w:sz w:val="21"/>
                <w:szCs w:val="21"/>
                <w:shd w:val="clear" w:color="auto" w:fill="auto"/>
                <w:lang w:eastAsia="zh-CN"/>
              </w:rPr>
              <w:t>，宽25</w:t>
            </w:r>
            <w:r>
              <w:rPr>
                <w:rFonts w:hint="eastAsia" w:cs="Times New Roman"/>
                <w:color w:val="auto"/>
                <w:sz w:val="21"/>
                <w:szCs w:val="21"/>
                <w:shd w:val="clear" w:color="auto" w:fill="auto"/>
                <w:lang w:eastAsia="zh-CN"/>
              </w:rPr>
              <w:t>m</w:t>
            </w:r>
            <w:r>
              <w:rPr>
                <w:rFonts w:hint="eastAsia" w:eastAsia="宋体" w:cs="Times New Roman"/>
                <w:color w:val="auto"/>
                <w:sz w:val="21"/>
                <w:szCs w:val="21"/>
                <w:shd w:val="clear" w:color="auto" w:fill="auto"/>
                <w:lang w:eastAsia="zh-CN"/>
              </w:rPr>
              <w:t>，后方通过挡墙与滩地连成整体，考虑到车辆行驶，码头后方设置一条5</w:t>
            </w:r>
            <w:r>
              <w:rPr>
                <w:rFonts w:hint="eastAsia" w:cs="Times New Roman"/>
                <w:color w:val="auto"/>
                <w:sz w:val="21"/>
                <w:szCs w:val="21"/>
                <w:shd w:val="clear" w:color="auto" w:fill="auto"/>
                <w:lang w:eastAsia="zh-CN"/>
              </w:rPr>
              <w:t>m</w:t>
            </w:r>
            <w:r>
              <w:rPr>
                <w:rFonts w:hint="eastAsia" w:eastAsia="宋体" w:cs="Times New Roman"/>
                <w:color w:val="auto"/>
                <w:sz w:val="21"/>
                <w:szCs w:val="21"/>
                <w:shd w:val="clear" w:color="auto" w:fill="auto"/>
                <w:lang w:eastAsia="zh-CN"/>
              </w:rPr>
              <w:t>宽加宽道路。码头上下游各设置一条9</w:t>
            </w:r>
            <w:r>
              <w:rPr>
                <w:rFonts w:hint="eastAsia" w:cs="Times New Roman"/>
                <w:color w:val="auto"/>
                <w:sz w:val="21"/>
                <w:szCs w:val="21"/>
                <w:shd w:val="clear" w:color="auto" w:fill="auto"/>
                <w:lang w:eastAsia="zh-CN"/>
              </w:rPr>
              <w:t>m</w:t>
            </w:r>
            <w:r>
              <w:rPr>
                <w:rFonts w:hint="eastAsia" w:eastAsia="宋体" w:cs="Times New Roman"/>
                <w:color w:val="auto"/>
                <w:sz w:val="21"/>
                <w:szCs w:val="21"/>
                <w:shd w:val="clear" w:color="auto" w:fill="auto"/>
                <w:lang w:eastAsia="zh-CN"/>
              </w:rPr>
              <w:t>宽循环道路，疏港道路宽15</w:t>
            </w:r>
            <w:r>
              <w:rPr>
                <w:rFonts w:hint="eastAsia" w:cs="Times New Roman"/>
                <w:color w:val="auto"/>
                <w:sz w:val="21"/>
                <w:szCs w:val="21"/>
                <w:shd w:val="clear" w:color="auto" w:fill="auto"/>
                <w:lang w:eastAsia="zh-CN"/>
              </w:rPr>
              <w:t>m</w:t>
            </w:r>
            <w:r>
              <w:rPr>
                <w:rFonts w:hint="eastAsia" w:eastAsia="宋体" w:cs="Times New Roman"/>
                <w:color w:val="auto"/>
                <w:sz w:val="21"/>
                <w:szCs w:val="21"/>
                <w:shd w:val="clear" w:color="auto" w:fill="auto"/>
                <w:lang w:eastAsia="zh-CN"/>
              </w:rPr>
              <w:t>，斜向上堤顶后与现有大堤道路平交连接</w:t>
            </w:r>
            <w:r>
              <w:rPr>
                <w:rFonts w:hint="eastAsia" w:cs="Times New Roman"/>
                <w:color w:val="auto"/>
                <w:sz w:val="21"/>
                <w:szCs w:val="21"/>
                <w:shd w:val="clear" w:color="auto" w:fill="auto"/>
                <w:lang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8" w:hRule="atLeast"/>
          <w:jc w:val="center"/>
        </w:trPr>
        <w:tc>
          <w:tcPr>
            <w:tcW w:w="461"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82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133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弃土区</w:t>
            </w:r>
          </w:p>
        </w:tc>
        <w:tc>
          <w:tcPr>
            <w:tcW w:w="6325" w:type="dxa"/>
            <w:tcBorders>
              <w:tl2br w:val="nil"/>
              <w:tr2bl w:val="nil"/>
            </w:tcBorders>
          </w:tcPr>
          <w:p>
            <w:pPr>
              <w:keepNext w:val="0"/>
              <w:keepLines w:val="0"/>
              <w:pageBreakBefore w:val="0"/>
              <w:kinsoku/>
              <w:wordWrap/>
              <w:overflowPunct/>
              <w:topLinePunct w:val="0"/>
              <w:autoSpaceDE/>
              <w:autoSpaceDN/>
              <w:bidi w:val="0"/>
              <w:adjustRightInd/>
              <w:snapToGrid/>
              <w:spacing w:line="264" w:lineRule="auto"/>
              <w:ind w:firstLine="420"/>
              <w:jc w:val="left"/>
              <w:textAlignment w:val="auto"/>
              <w:rPr>
                <w:rFonts w:hint="eastAsia" w:eastAsia="宋体" w:cs="Times New Roman"/>
                <w:color w:val="auto"/>
                <w:sz w:val="21"/>
                <w:szCs w:val="21"/>
                <w:shd w:val="clear" w:color="auto" w:fill="auto"/>
                <w:lang w:eastAsia="zh-CN"/>
              </w:rPr>
            </w:pPr>
            <w:r>
              <w:rPr>
                <w:rFonts w:hint="eastAsia" w:eastAsia="宋体" w:cs="Times New Roman"/>
                <w:color w:val="auto"/>
                <w:sz w:val="21"/>
                <w:szCs w:val="21"/>
                <w:shd w:val="clear" w:color="auto" w:fill="auto"/>
                <w:lang w:eastAsia="zh-CN"/>
              </w:rPr>
              <w:t>位于码头</w:t>
            </w:r>
            <w:r>
              <w:rPr>
                <w:rFonts w:hint="eastAsia" w:cs="Times New Roman"/>
                <w:color w:val="auto"/>
                <w:sz w:val="21"/>
                <w:szCs w:val="21"/>
                <w:shd w:val="clear" w:color="auto" w:fill="auto"/>
                <w:lang w:val="en-US" w:eastAsia="zh-CN"/>
              </w:rPr>
              <w:t>后方，距离码头直线距离约为1.06km，现状占地类型取土坑遗留的</w:t>
            </w:r>
            <w:r>
              <w:rPr>
                <w:rFonts w:hint="eastAsia" w:eastAsia="宋体" w:cs="Times New Roman"/>
                <w:color w:val="auto"/>
                <w:sz w:val="21"/>
                <w:szCs w:val="21"/>
                <w:shd w:val="clear" w:color="auto" w:fill="auto"/>
                <w:lang w:eastAsia="zh-CN"/>
              </w:rPr>
              <w:t>坑塘</w:t>
            </w:r>
            <w:r>
              <w:rPr>
                <w:rFonts w:hint="eastAsia" w:eastAsia="宋体" w:cs="Times New Roman"/>
                <w:color w:val="auto"/>
                <w:sz w:val="21"/>
                <w:szCs w:val="21"/>
                <w:shd w:val="clear" w:color="auto" w:fill="auto"/>
                <w:lang w:eastAsia="zh-CN"/>
              </w:rPr>
              <w:t>，弃土区占地面积共计</w:t>
            </w:r>
            <w:r>
              <w:rPr>
                <w:rFonts w:hint="eastAsia" w:cs="Times New Roman"/>
                <w:color w:val="auto"/>
                <w:sz w:val="21"/>
                <w:szCs w:val="21"/>
                <w:shd w:val="clear" w:color="auto" w:fill="auto"/>
                <w:lang w:val="en-US" w:eastAsia="zh-CN"/>
              </w:rPr>
              <w:t>2.78</w:t>
            </w:r>
            <w:r>
              <w:rPr>
                <w:rFonts w:hint="eastAsia" w:eastAsia="宋体" w:cs="Times New Roman"/>
                <w:color w:val="auto"/>
                <w:sz w:val="21"/>
                <w:szCs w:val="21"/>
                <w:shd w:val="clear" w:color="auto" w:fill="auto"/>
                <w:lang w:eastAsia="zh-CN"/>
              </w:rPr>
              <w:t>h</w:t>
            </w:r>
            <w:r>
              <w:rPr>
                <w:rFonts w:hint="eastAsia" w:cs="Times New Roman"/>
                <w:color w:val="auto"/>
                <w:sz w:val="21"/>
                <w:szCs w:val="21"/>
                <w:shd w:val="clear" w:color="auto" w:fill="auto"/>
                <w:vertAlign w:val="baseline"/>
                <w:lang w:eastAsia="zh-CN"/>
              </w:rPr>
              <w:t>m</w:t>
            </w:r>
            <w:r>
              <w:rPr>
                <w:rFonts w:hint="eastAsia" w:cs="Times New Roman"/>
                <w:color w:val="auto"/>
                <w:sz w:val="21"/>
                <w:szCs w:val="21"/>
                <w:shd w:val="clear" w:color="auto" w:fill="auto"/>
                <w:vertAlign w:val="superscript"/>
                <w:lang w:eastAsia="zh-CN"/>
              </w:rPr>
              <w:t>2</w:t>
            </w:r>
            <w:r>
              <w:rPr>
                <w:rFonts w:hint="eastAsia" w:eastAsia="宋体" w:cs="Times New Roman"/>
                <w:color w:val="auto"/>
                <w:sz w:val="21"/>
                <w:szCs w:val="21"/>
                <w:shd w:val="clear" w:color="auto" w:fill="auto"/>
                <w:lang w:eastAsia="zh-CN"/>
              </w:rPr>
              <w:t>，可容纳弃土量</w:t>
            </w:r>
            <w:r>
              <w:rPr>
                <w:rFonts w:hint="eastAsia" w:cs="Times New Roman"/>
                <w:color w:val="auto"/>
                <w:sz w:val="21"/>
                <w:szCs w:val="21"/>
                <w:shd w:val="clear" w:color="auto" w:fill="auto"/>
                <w:lang w:eastAsia="zh-CN"/>
              </w:rPr>
              <w:t>6.95</w:t>
            </w:r>
            <w:r>
              <w:rPr>
                <w:rFonts w:hint="eastAsia" w:eastAsia="宋体" w:cs="Times New Roman"/>
                <w:color w:val="auto"/>
                <w:sz w:val="21"/>
                <w:szCs w:val="21"/>
                <w:shd w:val="clear" w:color="auto" w:fill="auto"/>
                <w:lang w:eastAsia="zh-CN"/>
              </w:rPr>
              <w:t>万</w:t>
            </w:r>
            <w:r>
              <w:rPr>
                <w:rFonts w:hint="eastAsia" w:cs="Times New Roman"/>
                <w:color w:val="auto"/>
                <w:sz w:val="21"/>
                <w:szCs w:val="21"/>
                <w:shd w:val="clear" w:color="auto" w:fill="auto"/>
                <w:vertAlign w:val="baseline"/>
                <w:lang w:eastAsia="zh-CN"/>
              </w:rPr>
              <w:t>m</w:t>
            </w:r>
            <w:r>
              <w:rPr>
                <w:rFonts w:hint="eastAsia" w:cs="Times New Roman"/>
                <w:color w:val="auto"/>
                <w:sz w:val="21"/>
                <w:szCs w:val="21"/>
                <w:shd w:val="clear" w:color="auto" w:fill="auto"/>
                <w:vertAlign w:val="superscript"/>
                <w:lang w:eastAsia="zh-CN"/>
              </w:rPr>
              <w:t>3</w:t>
            </w:r>
            <w:r>
              <w:rPr>
                <w:rFonts w:hint="eastAsia" w:eastAsia="宋体" w:cs="Times New Roman"/>
                <w:color w:val="auto"/>
                <w:sz w:val="21"/>
                <w:szCs w:val="21"/>
                <w:shd w:val="clear" w:color="auto" w:fill="auto"/>
                <w:vertAlign w:val="baseline"/>
                <w:lang w:eastAsia="zh-CN"/>
              </w:rPr>
              <w:t>，</w:t>
            </w:r>
            <w:r>
              <w:rPr>
                <w:rFonts w:hint="eastAsia" w:eastAsia="宋体" w:cs="Times New Roman"/>
                <w:color w:val="auto"/>
                <w:sz w:val="21"/>
                <w:szCs w:val="21"/>
                <w:shd w:val="clear" w:color="auto" w:fill="auto"/>
                <w:lang w:eastAsia="zh-CN"/>
              </w:rPr>
              <w:t>后期</w:t>
            </w:r>
            <w:r>
              <w:rPr>
                <w:rFonts w:hint="eastAsia" w:eastAsia="宋体" w:cs="Times New Roman"/>
                <w:color w:val="auto"/>
                <w:sz w:val="21"/>
                <w:szCs w:val="21"/>
                <w:shd w:val="clear" w:color="auto" w:fill="auto"/>
                <w:lang w:eastAsia="zh-CN"/>
              </w:rPr>
              <w:t>土地整治后进行复垦。</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21" w:hRule="atLeast"/>
          <w:jc w:val="center"/>
        </w:trPr>
        <w:tc>
          <w:tcPr>
            <w:tcW w:w="461"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val="en-US" w:eastAsia="zh-CN"/>
              </w:rPr>
              <w:t>4</w:t>
            </w:r>
          </w:p>
        </w:tc>
        <w:tc>
          <w:tcPr>
            <w:tcW w:w="825"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公用</w:t>
            </w:r>
          </w:p>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工程</w:t>
            </w:r>
          </w:p>
        </w:tc>
        <w:tc>
          <w:tcPr>
            <w:tcW w:w="133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hint="eastAsia" w:eastAsia="宋体" w:cs="Times New Roman"/>
                <w:color w:val="auto"/>
                <w:sz w:val="21"/>
                <w:szCs w:val="21"/>
                <w:shd w:val="clear" w:color="auto" w:fill="auto"/>
                <w:lang w:val="en-US" w:eastAsia="zh-CN"/>
              </w:rPr>
            </w:pPr>
            <w:r>
              <w:rPr>
                <w:rFonts w:hint="eastAsia" w:eastAsia="宋体" w:cs="Times New Roman"/>
                <w:color w:val="auto"/>
                <w:sz w:val="21"/>
                <w:szCs w:val="21"/>
                <w:shd w:val="clear" w:color="auto" w:fill="auto"/>
                <w:lang w:val="en-US" w:eastAsia="zh-CN"/>
              </w:rPr>
              <w:t>给水</w:t>
            </w:r>
          </w:p>
        </w:tc>
        <w:tc>
          <w:tcPr>
            <w:tcW w:w="6325" w:type="dxa"/>
            <w:tcBorders>
              <w:tl2br w:val="nil"/>
              <w:tr2bl w:val="nil"/>
            </w:tcBorders>
          </w:tcPr>
          <w:p>
            <w:pPr>
              <w:keepNext w:val="0"/>
              <w:keepLines w:val="0"/>
              <w:pageBreakBefore w:val="0"/>
              <w:kinsoku/>
              <w:wordWrap/>
              <w:overflowPunct/>
              <w:topLinePunct w:val="0"/>
              <w:autoSpaceDE/>
              <w:autoSpaceDN/>
              <w:bidi w:val="0"/>
              <w:adjustRightInd/>
              <w:snapToGrid/>
              <w:spacing w:line="264" w:lineRule="auto"/>
              <w:ind w:firstLine="424" w:firstLineChars="202"/>
              <w:textAlignment w:val="auto"/>
              <w:rPr>
                <w:rFonts w:eastAsia="宋体" w:cs="Times New Roman"/>
                <w:color w:val="auto"/>
                <w:sz w:val="21"/>
                <w:szCs w:val="21"/>
                <w:shd w:val="clear" w:color="auto" w:fill="auto"/>
              </w:rPr>
            </w:pPr>
            <w:r>
              <w:rPr>
                <w:rFonts w:hint="eastAsia" w:eastAsia="宋体" w:cs="Times New Roman"/>
                <w:color w:val="auto"/>
                <w:sz w:val="21"/>
                <w:szCs w:val="21"/>
                <w:highlight w:val="none"/>
                <w:shd w:val="clear" w:color="auto" w:fill="auto"/>
              </w:rPr>
              <w:t>港区生活用水从港区附近村镇自来水管网接管，管道接管管径为DN100，接管点压力不小于0.3</w:t>
            </w:r>
            <w:r>
              <w:rPr>
                <w:rFonts w:hint="eastAsia" w:cs="Times New Roman"/>
                <w:color w:val="auto"/>
                <w:sz w:val="21"/>
                <w:szCs w:val="21"/>
                <w:highlight w:val="none"/>
                <w:shd w:val="clear" w:color="auto" w:fill="auto"/>
                <w:lang w:eastAsia="zh-CN"/>
              </w:rPr>
              <w:t>m</w:t>
            </w:r>
            <w:r>
              <w:rPr>
                <w:rFonts w:hint="eastAsia" w:eastAsia="宋体" w:cs="Times New Roman"/>
                <w:color w:val="auto"/>
                <w:sz w:val="21"/>
                <w:szCs w:val="21"/>
                <w:highlight w:val="none"/>
                <w:shd w:val="clear" w:color="auto" w:fill="auto"/>
              </w:rPr>
              <w:t>pa。</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21" w:hRule="atLeast"/>
          <w:jc w:val="center"/>
        </w:trPr>
        <w:tc>
          <w:tcPr>
            <w:tcW w:w="461"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82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133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排水</w:t>
            </w:r>
          </w:p>
        </w:tc>
        <w:tc>
          <w:tcPr>
            <w:tcW w:w="6325" w:type="dxa"/>
            <w:tcBorders>
              <w:tl2br w:val="nil"/>
              <w:tr2bl w:val="nil"/>
            </w:tcBorders>
          </w:tcPr>
          <w:p>
            <w:pPr>
              <w:keepNext w:val="0"/>
              <w:keepLines w:val="0"/>
              <w:pageBreakBefore w:val="0"/>
              <w:kinsoku/>
              <w:wordWrap/>
              <w:overflowPunct/>
              <w:topLinePunct w:val="0"/>
              <w:autoSpaceDE/>
              <w:autoSpaceDN/>
              <w:bidi w:val="0"/>
              <w:adjustRightInd/>
              <w:snapToGrid/>
              <w:spacing w:line="264" w:lineRule="auto"/>
              <w:ind w:firstLine="420"/>
              <w:jc w:val="left"/>
              <w:textAlignment w:val="auto"/>
              <w:rPr>
                <w:rFonts w:hint="default" w:eastAsia="宋体" w:cs="Times New Roman"/>
                <w:color w:val="auto"/>
                <w:sz w:val="21"/>
                <w:szCs w:val="21"/>
                <w:highlight w:val="none"/>
                <w:shd w:val="clear" w:color="auto" w:fill="auto"/>
              </w:rPr>
            </w:pPr>
            <w:r>
              <w:rPr>
                <w:rFonts w:hint="eastAsia" w:eastAsia="宋体" w:cs="Times New Roman"/>
                <w:color w:val="auto"/>
                <w:sz w:val="21"/>
                <w:szCs w:val="21"/>
                <w:shd w:val="clear" w:color="auto" w:fill="auto"/>
              </w:rPr>
              <w:t>排水采用雨污分流制。港区污水主要为生活污水</w:t>
            </w:r>
            <w:r>
              <w:rPr>
                <w:rFonts w:hint="eastAsia" w:eastAsia="宋体" w:cs="Times New Roman"/>
                <w:color w:val="auto"/>
                <w:sz w:val="21"/>
                <w:szCs w:val="21"/>
                <w:shd w:val="clear" w:color="auto" w:fill="auto"/>
                <w:lang w:eastAsia="zh-CN"/>
              </w:rPr>
              <w:t>、</w:t>
            </w:r>
            <w:r>
              <w:rPr>
                <w:rFonts w:hint="eastAsia" w:eastAsia="宋体" w:cs="Times New Roman"/>
                <w:color w:val="auto"/>
                <w:sz w:val="21"/>
                <w:szCs w:val="21"/>
                <w:highlight w:val="none"/>
                <w:shd w:val="clear" w:color="auto" w:fill="auto"/>
              </w:rPr>
              <w:t>码头面冲洗水和初期雨水。</w:t>
            </w:r>
          </w:p>
          <w:p>
            <w:pPr>
              <w:keepNext w:val="0"/>
              <w:keepLines w:val="0"/>
              <w:pageBreakBefore w:val="0"/>
              <w:kinsoku/>
              <w:wordWrap/>
              <w:overflowPunct/>
              <w:topLinePunct w:val="0"/>
              <w:autoSpaceDE/>
              <w:autoSpaceDN/>
              <w:bidi w:val="0"/>
              <w:adjustRightInd/>
              <w:snapToGrid/>
              <w:spacing w:line="264" w:lineRule="auto"/>
              <w:ind w:firstLine="420"/>
              <w:jc w:val="left"/>
              <w:textAlignment w:val="auto"/>
              <w:rPr>
                <w:rFonts w:hint="eastAsia" w:eastAsia="宋体"/>
                <w:color w:val="auto"/>
                <w:shd w:val="clear" w:color="auto" w:fill="auto"/>
                <w:lang w:val="en-US" w:eastAsia="zh-CN"/>
              </w:rPr>
            </w:pPr>
            <w:r>
              <w:rPr>
                <w:rFonts w:hint="eastAsia" w:eastAsia="宋体" w:cs="Times New Roman"/>
                <w:color w:val="auto"/>
                <w:sz w:val="21"/>
                <w:szCs w:val="21"/>
                <w:highlight w:val="none"/>
                <w:shd w:val="clear" w:color="auto" w:fill="auto"/>
              </w:rPr>
              <w:t>港区生活污水由</w:t>
            </w:r>
            <w:r>
              <w:rPr>
                <w:rFonts w:hint="default" w:eastAsia="宋体" w:cs="Times New Roman"/>
                <w:color w:val="auto"/>
                <w:sz w:val="21"/>
                <w:szCs w:val="21"/>
                <w:highlight w:val="none"/>
                <w:shd w:val="clear" w:color="auto" w:fill="auto"/>
              </w:rPr>
              <w:t>移动厕所</w:t>
            </w:r>
            <w:r>
              <w:rPr>
                <w:rFonts w:hint="eastAsia" w:eastAsia="宋体" w:cs="Times New Roman"/>
                <w:color w:val="auto"/>
                <w:sz w:val="21"/>
                <w:szCs w:val="21"/>
                <w:highlight w:val="none"/>
                <w:shd w:val="clear" w:color="auto" w:fill="auto"/>
              </w:rPr>
              <w:t>收集</w:t>
            </w:r>
            <w:r>
              <w:rPr>
                <w:rFonts w:hint="default" w:eastAsia="宋体" w:cs="Times New Roman"/>
                <w:color w:val="auto"/>
                <w:sz w:val="21"/>
                <w:szCs w:val="21"/>
                <w:highlight w:val="none"/>
                <w:shd w:val="clear" w:color="auto" w:fill="auto"/>
              </w:rPr>
              <w:t>储存，</w:t>
            </w:r>
            <w:r>
              <w:rPr>
                <w:rFonts w:hint="eastAsia" w:eastAsia="宋体" w:cs="Times New Roman"/>
                <w:color w:val="auto"/>
                <w:sz w:val="21"/>
                <w:szCs w:val="21"/>
                <w:highlight w:val="none"/>
                <w:shd w:val="clear" w:color="auto" w:fill="auto"/>
              </w:rPr>
              <w:t>定期由清掏车外运至相关接收处理单位</w:t>
            </w:r>
            <w:r>
              <w:rPr>
                <w:rFonts w:hint="eastAsia" w:ascii="Times New Roman" w:hAnsi="Times New Roman" w:eastAsia="宋体" w:cs="Times New Roman"/>
                <w:color w:val="auto"/>
                <w:sz w:val="21"/>
                <w:szCs w:val="21"/>
                <w:highlight w:val="none"/>
                <w:shd w:val="clear" w:color="auto" w:fill="auto"/>
              </w:rPr>
              <w:t>；流动机械冲洗废水经隔油沉淀</w:t>
            </w:r>
            <w:r>
              <w:rPr>
                <w:rFonts w:hint="eastAsia" w:cs="Times New Roman"/>
                <w:color w:val="auto"/>
                <w:sz w:val="21"/>
                <w:szCs w:val="21"/>
                <w:highlight w:val="none"/>
                <w:shd w:val="clear" w:color="auto" w:fill="auto"/>
                <w:lang w:eastAsia="zh-CN"/>
              </w:rPr>
              <w:t>池</w:t>
            </w:r>
            <w:r>
              <w:rPr>
                <w:rFonts w:hint="eastAsia" w:ascii="Times New Roman" w:hAnsi="Times New Roman" w:eastAsia="宋体" w:cs="Times New Roman"/>
                <w:color w:val="auto"/>
                <w:sz w:val="21"/>
                <w:szCs w:val="21"/>
                <w:highlight w:val="none"/>
                <w:shd w:val="clear" w:color="auto" w:fill="auto"/>
              </w:rPr>
              <w:t>处理后</w:t>
            </w:r>
            <w:r>
              <w:rPr>
                <w:rFonts w:hint="eastAsia" w:ascii="Times New Roman" w:hAnsi="Times New Roman" w:eastAsia="宋体" w:cs="Times New Roman"/>
                <w:color w:val="auto"/>
                <w:sz w:val="21"/>
                <w:szCs w:val="21"/>
                <w:highlight w:val="none"/>
                <w:shd w:val="clear" w:color="auto" w:fill="auto"/>
                <w:lang w:val="en-US" w:eastAsia="zh-CN"/>
              </w:rPr>
              <w:t>，</w:t>
            </w:r>
            <w:r>
              <w:rPr>
                <w:rFonts w:hint="eastAsia" w:cs="Times New Roman"/>
                <w:color w:val="auto"/>
                <w:sz w:val="21"/>
                <w:szCs w:val="21"/>
                <w:highlight w:val="none"/>
                <w:shd w:val="clear" w:color="auto" w:fill="auto"/>
                <w:lang w:val="en-US" w:eastAsia="zh-CN"/>
              </w:rPr>
              <w:t>循环使用</w:t>
            </w:r>
            <w:r>
              <w:rPr>
                <w:rFonts w:hint="eastAsia" w:ascii="Times New Roman" w:hAnsi="Times New Roman" w:eastAsia="宋体" w:cs="Times New Roman"/>
                <w:color w:val="auto"/>
                <w:sz w:val="21"/>
                <w:szCs w:val="21"/>
                <w:highlight w:val="none"/>
                <w:shd w:val="clear" w:color="auto" w:fill="auto"/>
                <w:lang w:val="en-US" w:eastAsia="zh-CN"/>
              </w:rPr>
              <w:t>，不外排；</w:t>
            </w:r>
            <w:r>
              <w:rPr>
                <w:rFonts w:hint="eastAsia" w:eastAsia="宋体" w:cs="Times New Roman"/>
                <w:color w:val="auto"/>
                <w:sz w:val="21"/>
                <w:szCs w:val="21"/>
                <w:highlight w:val="none"/>
                <w:shd w:val="clear" w:color="auto" w:fill="auto"/>
              </w:rPr>
              <w:t>码头面冲洗水、初期雨水经</w:t>
            </w:r>
            <w:r>
              <w:rPr>
                <w:rFonts w:hint="eastAsia" w:cs="Times New Roman"/>
                <w:color w:val="auto"/>
                <w:sz w:val="21"/>
                <w:szCs w:val="21"/>
                <w:highlight w:val="none"/>
                <w:shd w:val="clear" w:color="auto" w:fill="auto"/>
                <w:lang w:eastAsia="zh-CN"/>
              </w:rPr>
              <w:t>三级</w:t>
            </w:r>
            <w:r>
              <w:rPr>
                <w:rFonts w:hint="eastAsia" w:eastAsia="宋体" w:cs="Times New Roman"/>
                <w:color w:val="auto"/>
                <w:sz w:val="21"/>
                <w:szCs w:val="21"/>
                <w:highlight w:val="none"/>
                <w:shd w:val="clear" w:color="auto" w:fill="auto"/>
              </w:rPr>
              <w:t>沉淀池</w:t>
            </w:r>
            <w:r>
              <w:rPr>
                <w:rFonts w:hint="eastAsia"/>
                <w:color w:val="auto"/>
                <w:sz w:val="21"/>
                <w:szCs w:val="21"/>
              </w:rPr>
              <w:t>（尺寸：</w:t>
            </w:r>
            <w:r>
              <w:rPr>
                <w:rFonts w:hint="eastAsia"/>
                <w:color w:val="auto"/>
                <w:sz w:val="21"/>
                <w:szCs w:val="21"/>
                <w:lang w:val="en-US" w:eastAsia="zh-CN"/>
              </w:rPr>
              <w:t>10</w:t>
            </w:r>
            <w:r>
              <w:rPr>
                <w:rFonts w:ascii="Arial" w:hAnsi="Arial" w:cs="Arial"/>
                <w:color w:val="auto"/>
                <w:sz w:val="21"/>
                <w:szCs w:val="21"/>
              </w:rPr>
              <w:t>×</w:t>
            </w:r>
            <w:r>
              <w:rPr>
                <w:rFonts w:hint="eastAsia"/>
                <w:color w:val="auto"/>
                <w:sz w:val="21"/>
                <w:szCs w:val="21"/>
                <w:lang w:val="en-US" w:eastAsia="zh-CN"/>
              </w:rPr>
              <w:t>8</w:t>
            </w:r>
            <w:r>
              <w:rPr>
                <w:rFonts w:ascii="Arial" w:hAnsi="Arial" w:cs="Arial"/>
                <w:color w:val="auto"/>
                <w:sz w:val="21"/>
                <w:szCs w:val="21"/>
              </w:rPr>
              <w:t>×</w:t>
            </w:r>
            <w:r>
              <w:rPr>
                <w:rFonts w:hint="eastAsia"/>
                <w:color w:val="auto"/>
                <w:sz w:val="21"/>
                <w:szCs w:val="21"/>
                <w:lang w:val="en-US" w:eastAsia="zh-CN"/>
              </w:rPr>
              <w:t>2.5</w:t>
            </w:r>
            <w:r>
              <w:rPr>
                <w:rFonts w:hint="eastAsia"/>
                <w:color w:val="auto"/>
                <w:sz w:val="21"/>
                <w:szCs w:val="21"/>
                <w:lang w:eastAsia="zh-CN"/>
              </w:rPr>
              <w:t>m</w:t>
            </w:r>
            <w:r>
              <w:rPr>
                <w:rFonts w:hint="eastAsia"/>
                <w:color w:val="auto"/>
                <w:sz w:val="21"/>
                <w:szCs w:val="21"/>
              </w:rPr>
              <w:t>）</w:t>
            </w:r>
            <w:r>
              <w:rPr>
                <w:rFonts w:hint="eastAsia" w:eastAsia="宋体" w:cs="Times New Roman"/>
                <w:color w:val="auto"/>
                <w:sz w:val="21"/>
                <w:szCs w:val="21"/>
                <w:highlight w:val="none"/>
                <w:shd w:val="clear" w:color="auto" w:fill="auto"/>
              </w:rPr>
              <w:t>沉淀后回用于港区洒水抑尘。</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21" w:hRule="atLeast"/>
          <w:jc w:val="center"/>
        </w:trPr>
        <w:tc>
          <w:tcPr>
            <w:tcW w:w="461"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82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133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供电</w:t>
            </w:r>
          </w:p>
        </w:tc>
        <w:tc>
          <w:tcPr>
            <w:tcW w:w="6325" w:type="dxa"/>
            <w:tcBorders>
              <w:tl2br w:val="nil"/>
              <w:tr2bl w:val="nil"/>
            </w:tcBorders>
          </w:tcPr>
          <w:p>
            <w:pPr>
              <w:keepNext w:val="0"/>
              <w:keepLines w:val="0"/>
              <w:pageBreakBefore w:val="0"/>
              <w:kinsoku/>
              <w:wordWrap/>
              <w:overflowPunct/>
              <w:topLinePunct w:val="0"/>
              <w:autoSpaceDE/>
              <w:autoSpaceDN/>
              <w:bidi w:val="0"/>
              <w:adjustRightInd/>
              <w:snapToGrid/>
              <w:spacing w:line="264" w:lineRule="auto"/>
              <w:ind w:firstLine="420"/>
              <w:jc w:val="left"/>
              <w:textAlignment w:val="auto"/>
              <w:rPr>
                <w:rFonts w:eastAsia="宋体" w:cs="Times New Roman"/>
                <w:color w:val="auto"/>
                <w:sz w:val="21"/>
                <w:szCs w:val="21"/>
                <w:shd w:val="clear" w:color="auto" w:fill="auto"/>
              </w:rPr>
            </w:pPr>
            <w:r>
              <w:rPr>
                <w:rFonts w:hint="eastAsia" w:eastAsia="宋体" w:cs="Times New Roman"/>
                <w:color w:val="auto"/>
                <w:sz w:val="21"/>
                <w:szCs w:val="21"/>
                <w:highlight w:val="none"/>
                <w:shd w:val="clear" w:color="auto" w:fill="auto"/>
              </w:rPr>
              <w:t>新建1座</w:t>
            </w:r>
            <w:r>
              <w:rPr>
                <w:rFonts w:hint="default" w:eastAsia="宋体" w:cs="Times New Roman"/>
                <w:color w:val="auto"/>
                <w:sz w:val="21"/>
                <w:szCs w:val="21"/>
                <w:highlight w:val="none"/>
                <w:shd w:val="clear" w:color="auto" w:fill="auto"/>
              </w:rPr>
              <w:t>10/0.4kV</w:t>
            </w:r>
            <w:r>
              <w:rPr>
                <w:rFonts w:hint="eastAsia" w:eastAsia="宋体" w:cs="Times New Roman"/>
                <w:color w:val="auto"/>
                <w:sz w:val="21"/>
                <w:szCs w:val="21"/>
                <w:highlight w:val="none"/>
                <w:shd w:val="clear" w:color="auto" w:fill="auto"/>
              </w:rPr>
              <w:t>变配电所，对装卸设备、岸电、港区照明及管理生活等用电设备负荷供电。</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27" w:hRule="atLeast"/>
          <w:jc w:val="center"/>
        </w:trPr>
        <w:tc>
          <w:tcPr>
            <w:tcW w:w="461"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val="en-US" w:eastAsia="zh-CN"/>
              </w:rPr>
              <w:t>5</w:t>
            </w:r>
          </w:p>
        </w:tc>
        <w:tc>
          <w:tcPr>
            <w:tcW w:w="825"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环保</w:t>
            </w:r>
          </w:p>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工程</w:t>
            </w:r>
          </w:p>
        </w:tc>
        <w:tc>
          <w:tcPr>
            <w:tcW w:w="133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废气治理</w:t>
            </w:r>
          </w:p>
        </w:tc>
        <w:tc>
          <w:tcPr>
            <w:tcW w:w="6325" w:type="dxa"/>
            <w:tcBorders>
              <w:tl2br w:val="nil"/>
              <w:tr2bl w:val="nil"/>
            </w:tcBorders>
          </w:tcPr>
          <w:p>
            <w:pPr>
              <w:keepNext w:val="0"/>
              <w:keepLines w:val="0"/>
              <w:pageBreakBefore w:val="0"/>
              <w:kinsoku/>
              <w:wordWrap/>
              <w:overflowPunct/>
              <w:topLinePunct w:val="0"/>
              <w:autoSpaceDE/>
              <w:autoSpaceDN/>
              <w:bidi w:val="0"/>
              <w:adjustRightInd/>
              <w:snapToGrid/>
              <w:spacing w:line="264" w:lineRule="auto"/>
              <w:ind w:firstLine="420"/>
              <w:jc w:val="left"/>
              <w:textAlignment w:val="auto"/>
              <w:rPr>
                <w:rFonts w:hint="default" w:eastAsia="宋体" w:cs="Times New Roman"/>
                <w:color w:val="auto"/>
                <w:sz w:val="21"/>
                <w:szCs w:val="21"/>
                <w:highlight w:val="none"/>
                <w:shd w:val="clear" w:color="auto" w:fill="auto"/>
              </w:rPr>
            </w:pPr>
            <w:r>
              <w:rPr>
                <w:rFonts w:hint="default" w:eastAsia="宋体" w:cs="Times New Roman"/>
                <w:color w:val="auto"/>
                <w:sz w:val="21"/>
                <w:szCs w:val="21"/>
                <w:highlight w:val="none"/>
                <w:shd w:val="clear" w:color="auto" w:fill="auto"/>
              </w:rPr>
              <w:t>（1）对道路、码头平台等处及时清扫，配套洒水车，及时喷洒，减少车辆扬尘，同时港区外围及空地种植高大乔木，充分绿化；</w:t>
            </w:r>
          </w:p>
          <w:p>
            <w:pPr>
              <w:keepNext w:val="0"/>
              <w:keepLines w:val="0"/>
              <w:pageBreakBefore w:val="0"/>
              <w:kinsoku/>
              <w:wordWrap/>
              <w:overflowPunct/>
              <w:topLinePunct w:val="0"/>
              <w:autoSpaceDE/>
              <w:autoSpaceDN/>
              <w:bidi w:val="0"/>
              <w:adjustRightInd/>
              <w:snapToGrid/>
              <w:spacing w:line="264" w:lineRule="auto"/>
              <w:ind w:firstLine="420"/>
              <w:jc w:val="left"/>
              <w:textAlignment w:val="auto"/>
              <w:rPr>
                <w:rFonts w:hint="default" w:eastAsia="宋体" w:cs="Times New Roman"/>
                <w:color w:val="auto"/>
                <w:sz w:val="21"/>
                <w:szCs w:val="21"/>
                <w:highlight w:val="none"/>
                <w:shd w:val="clear" w:color="auto" w:fill="auto"/>
              </w:rPr>
            </w:pPr>
            <w:r>
              <w:rPr>
                <w:rFonts w:hint="default" w:eastAsia="宋体" w:cs="Times New Roman"/>
                <w:color w:val="auto"/>
                <w:sz w:val="21"/>
                <w:szCs w:val="21"/>
                <w:highlight w:val="none"/>
                <w:shd w:val="clear" w:color="auto" w:fill="auto"/>
              </w:rPr>
              <w:t>（2）进出港船舶和运输车辆推荐使用优质燃油、采用低排放的设备、加强管理等措施减少船舶和运输车辆废气排放；</w:t>
            </w:r>
          </w:p>
          <w:p>
            <w:pPr>
              <w:keepNext w:val="0"/>
              <w:keepLines w:val="0"/>
              <w:pageBreakBefore w:val="0"/>
              <w:kinsoku/>
              <w:wordWrap/>
              <w:overflowPunct/>
              <w:topLinePunct w:val="0"/>
              <w:autoSpaceDE/>
              <w:autoSpaceDN/>
              <w:bidi w:val="0"/>
              <w:adjustRightInd/>
              <w:snapToGrid/>
              <w:spacing w:line="264" w:lineRule="auto"/>
              <w:ind w:firstLine="420"/>
              <w:jc w:val="left"/>
              <w:textAlignment w:val="auto"/>
              <w:rPr>
                <w:rFonts w:hint="default" w:eastAsia="宋体" w:cs="Times New Roman"/>
                <w:color w:val="auto"/>
                <w:sz w:val="21"/>
                <w:szCs w:val="21"/>
                <w:highlight w:val="none"/>
                <w:shd w:val="clear" w:color="auto" w:fill="auto"/>
              </w:rPr>
            </w:pPr>
            <w:r>
              <w:rPr>
                <w:rFonts w:hint="default" w:eastAsia="宋体" w:cs="Times New Roman"/>
                <w:color w:val="auto"/>
                <w:sz w:val="21"/>
                <w:szCs w:val="21"/>
                <w:highlight w:val="none"/>
                <w:shd w:val="clear" w:color="auto" w:fill="auto"/>
              </w:rPr>
              <w:t>（3）使用环保型高效装卸机械，选用好的油品，加强机械设备的维护保养，使其保持正常运行；</w:t>
            </w:r>
          </w:p>
          <w:p>
            <w:pPr>
              <w:keepNext w:val="0"/>
              <w:keepLines w:val="0"/>
              <w:pageBreakBefore w:val="0"/>
              <w:kinsoku/>
              <w:wordWrap/>
              <w:overflowPunct/>
              <w:topLinePunct w:val="0"/>
              <w:autoSpaceDE/>
              <w:autoSpaceDN/>
              <w:bidi w:val="0"/>
              <w:adjustRightInd/>
              <w:snapToGrid/>
              <w:spacing w:line="264" w:lineRule="auto"/>
              <w:ind w:firstLine="420"/>
              <w:jc w:val="left"/>
              <w:textAlignment w:val="auto"/>
              <w:rPr>
                <w:rFonts w:hint="eastAsia" w:eastAsia="宋体" w:cs="Times New Roman"/>
                <w:color w:val="auto"/>
                <w:sz w:val="21"/>
                <w:szCs w:val="21"/>
                <w:shd w:val="clear" w:color="auto" w:fill="auto"/>
              </w:rPr>
            </w:pPr>
            <w:r>
              <w:rPr>
                <w:rFonts w:hint="default" w:eastAsia="宋体" w:cs="Times New Roman"/>
                <w:color w:val="auto"/>
                <w:sz w:val="21"/>
                <w:szCs w:val="21"/>
                <w:highlight w:val="none"/>
                <w:shd w:val="clear" w:color="auto" w:fill="auto"/>
              </w:rPr>
              <w:t>（4）装卸作业点设置喷雾抑尘装置</w:t>
            </w:r>
            <w:r>
              <w:rPr>
                <w:rFonts w:hint="eastAsia"/>
                <w:color w:val="auto"/>
                <w:sz w:val="21"/>
                <w:szCs w:val="21"/>
              </w:rPr>
              <w:t>（</w:t>
            </w:r>
            <w:r>
              <w:rPr>
                <w:color w:val="auto"/>
                <w:sz w:val="21"/>
                <w:szCs w:val="21"/>
              </w:rPr>
              <w:t>3台雾炮机</w:t>
            </w:r>
            <w:r>
              <w:rPr>
                <w:rFonts w:hint="eastAsia"/>
                <w:color w:val="auto"/>
                <w:sz w:val="21"/>
                <w:szCs w:val="21"/>
              </w:rPr>
              <w:t>）</w:t>
            </w:r>
            <w:r>
              <w:rPr>
                <w:rFonts w:hint="default" w:eastAsia="宋体" w:cs="Times New Roman"/>
                <w:color w:val="auto"/>
                <w:sz w:val="21"/>
                <w:szCs w:val="21"/>
                <w:highlight w:val="none"/>
                <w:shd w:val="clear" w:color="auto" w:fill="auto"/>
              </w:rPr>
              <w:t>，减少粉尘对大气的污染及对周边村民的影响。</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21" w:hRule="atLeast"/>
          <w:jc w:val="center"/>
        </w:trPr>
        <w:tc>
          <w:tcPr>
            <w:tcW w:w="461"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82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133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废水治理</w:t>
            </w:r>
          </w:p>
        </w:tc>
        <w:tc>
          <w:tcPr>
            <w:tcW w:w="6325" w:type="dxa"/>
            <w:tcBorders>
              <w:tl2br w:val="nil"/>
              <w:tr2bl w:val="nil"/>
            </w:tcBorders>
          </w:tcPr>
          <w:p>
            <w:pPr>
              <w:keepNext w:val="0"/>
              <w:keepLines w:val="0"/>
              <w:pageBreakBefore w:val="0"/>
              <w:kinsoku/>
              <w:wordWrap/>
              <w:overflowPunct/>
              <w:topLinePunct w:val="0"/>
              <w:autoSpaceDE/>
              <w:autoSpaceDN/>
              <w:bidi w:val="0"/>
              <w:adjustRightInd/>
              <w:snapToGrid/>
              <w:spacing w:line="264" w:lineRule="auto"/>
              <w:ind w:firstLine="420"/>
              <w:jc w:val="left"/>
              <w:textAlignment w:val="auto"/>
              <w:rPr>
                <w:rFonts w:hint="eastAsia" w:eastAsia="宋体" w:cs="Times New Roman"/>
                <w:color w:val="auto"/>
                <w:sz w:val="21"/>
                <w:szCs w:val="21"/>
                <w:shd w:val="clear" w:color="auto" w:fill="auto"/>
                <w:lang w:eastAsia="zh-CN"/>
              </w:rPr>
            </w:pPr>
            <w:r>
              <w:rPr>
                <w:rFonts w:hint="eastAsia" w:eastAsia="宋体" w:cs="Times New Roman"/>
                <w:color w:val="auto"/>
                <w:sz w:val="21"/>
                <w:szCs w:val="21"/>
                <w:shd w:val="clear" w:color="auto" w:fill="auto"/>
              </w:rPr>
              <w:t>生活污水由清掏车外运至相关接收处理单位</w:t>
            </w:r>
            <w:r>
              <w:rPr>
                <w:rFonts w:hint="eastAsia" w:eastAsia="宋体" w:cs="Times New Roman"/>
                <w:color w:val="auto"/>
                <w:sz w:val="21"/>
                <w:szCs w:val="21"/>
                <w:shd w:val="clear" w:color="auto" w:fill="auto"/>
                <w:lang w:eastAsia="zh-CN"/>
              </w:rPr>
              <w:t>；</w:t>
            </w:r>
            <w:r>
              <w:rPr>
                <w:rFonts w:hint="eastAsia" w:ascii="Times New Roman" w:hAnsi="Times New Roman" w:eastAsia="宋体" w:cs="Times New Roman"/>
                <w:color w:val="auto"/>
                <w:sz w:val="21"/>
                <w:szCs w:val="21"/>
                <w:highlight w:val="none"/>
                <w:shd w:val="clear" w:color="auto" w:fill="auto"/>
              </w:rPr>
              <w:t>流动机械冲洗废水经隔油沉淀</w:t>
            </w:r>
            <w:r>
              <w:rPr>
                <w:rFonts w:hint="eastAsia" w:cs="Times New Roman"/>
                <w:color w:val="auto"/>
                <w:sz w:val="21"/>
                <w:szCs w:val="21"/>
                <w:highlight w:val="none"/>
                <w:shd w:val="clear" w:color="auto" w:fill="auto"/>
                <w:lang w:eastAsia="zh-CN"/>
              </w:rPr>
              <w:t>池</w:t>
            </w:r>
            <w:r>
              <w:rPr>
                <w:rFonts w:hint="eastAsia" w:ascii="Times New Roman" w:hAnsi="Times New Roman" w:eastAsia="宋体" w:cs="Times New Roman"/>
                <w:color w:val="auto"/>
                <w:sz w:val="21"/>
                <w:szCs w:val="21"/>
                <w:highlight w:val="none"/>
                <w:shd w:val="clear" w:color="auto" w:fill="auto"/>
              </w:rPr>
              <w:t>处理后</w:t>
            </w:r>
            <w:r>
              <w:rPr>
                <w:rFonts w:hint="eastAsia" w:ascii="Times New Roman" w:hAnsi="Times New Roman" w:eastAsia="宋体" w:cs="Times New Roman"/>
                <w:color w:val="auto"/>
                <w:sz w:val="21"/>
                <w:szCs w:val="21"/>
                <w:highlight w:val="none"/>
                <w:shd w:val="clear" w:color="auto" w:fill="auto"/>
                <w:lang w:val="en-US" w:eastAsia="zh-CN"/>
              </w:rPr>
              <w:t>，</w:t>
            </w:r>
            <w:r>
              <w:rPr>
                <w:rFonts w:hint="eastAsia" w:cs="Times New Roman"/>
                <w:color w:val="auto"/>
                <w:sz w:val="21"/>
                <w:szCs w:val="21"/>
                <w:highlight w:val="none"/>
                <w:shd w:val="clear" w:color="auto" w:fill="auto"/>
                <w:lang w:val="en-US" w:eastAsia="zh-CN"/>
              </w:rPr>
              <w:t>循环使用</w:t>
            </w:r>
            <w:r>
              <w:rPr>
                <w:rFonts w:hint="eastAsia" w:ascii="Times New Roman" w:hAnsi="Times New Roman" w:eastAsia="宋体" w:cs="Times New Roman"/>
                <w:color w:val="auto"/>
                <w:sz w:val="21"/>
                <w:szCs w:val="21"/>
                <w:highlight w:val="none"/>
                <w:shd w:val="clear" w:color="auto" w:fill="auto"/>
                <w:lang w:val="en-US" w:eastAsia="zh-CN"/>
              </w:rPr>
              <w:t>，不外排；</w:t>
            </w:r>
            <w:r>
              <w:rPr>
                <w:rFonts w:hint="eastAsia" w:cs="Times New Roman"/>
                <w:color w:val="auto"/>
                <w:sz w:val="21"/>
                <w:szCs w:val="21"/>
                <w:shd w:val="clear" w:color="auto" w:fill="auto"/>
                <w:lang w:eastAsia="zh-CN"/>
              </w:rPr>
              <w:t>码头</w:t>
            </w:r>
            <w:r>
              <w:rPr>
                <w:rFonts w:hint="eastAsia" w:eastAsia="宋体" w:cs="Times New Roman"/>
                <w:color w:val="auto"/>
                <w:sz w:val="21"/>
                <w:szCs w:val="21"/>
                <w:shd w:val="clear" w:color="auto" w:fill="auto"/>
              </w:rPr>
              <w:t>面冲洗</w:t>
            </w:r>
            <w:r>
              <w:rPr>
                <w:rFonts w:hint="eastAsia" w:cs="Times New Roman"/>
                <w:color w:val="auto"/>
                <w:sz w:val="21"/>
                <w:szCs w:val="21"/>
                <w:shd w:val="clear" w:color="auto" w:fill="auto"/>
                <w:lang w:eastAsia="zh-CN"/>
              </w:rPr>
              <w:t>水、初期雨水</w:t>
            </w:r>
            <w:r>
              <w:rPr>
                <w:rFonts w:hint="eastAsia" w:eastAsia="宋体" w:cs="Times New Roman"/>
                <w:color w:val="auto"/>
                <w:sz w:val="21"/>
                <w:szCs w:val="21"/>
                <w:highlight w:val="none"/>
                <w:shd w:val="clear" w:color="auto" w:fill="auto"/>
              </w:rPr>
              <w:t>采用明沟收集排入</w:t>
            </w:r>
            <w:r>
              <w:rPr>
                <w:rFonts w:hint="eastAsia" w:cs="Times New Roman"/>
                <w:color w:val="auto"/>
                <w:sz w:val="21"/>
                <w:szCs w:val="21"/>
                <w:highlight w:val="none"/>
                <w:shd w:val="clear" w:color="auto" w:fill="auto"/>
                <w:lang w:eastAsia="zh-CN"/>
              </w:rPr>
              <w:t>三级</w:t>
            </w:r>
            <w:r>
              <w:rPr>
                <w:rFonts w:hint="eastAsia" w:eastAsia="宋体" w:cs="Times New Roman"/>
                <w:color w:val="auto"/>
                <w:sz w:val="21"/>
                <w:szCs w:val="21"/>
                <w:highlight w:val="none"/>
                <w:shd w:val="clear" w:color="auto" w:fill="auto"/>
              </w:rPr>
              <w:t>沉淀</w:t>
            </w:r>
            <w:r>
              <w:rPr>
                <w:rFonts w:hint="eastAsia" w:cs="Times New Roman"/>
                <w:color w:val="auto"/>
                <w:sz w:val="21"/>
                <w:szCs w:val="21"/>
                <w:highlight w:val="none"/>
                <w:shd w:val="clear" w:color="auto" w:fill="auto"/>
                <w:lang w:eastAsia="zh-CN"/>
              </w:rPr>
              <w:t>池</w:t>
            </w:r>
            <w:r>
              <w:rPr>
                <w:rFonts w:hint="eastAsia" w:eastAsia="宋体" w:cs="Times New Roman"/>
                <w:color w:val="auto"/>
                <w:sz w:val="21"/>
                <w:szCs w:val="21"/>
                <w:highlight w:val="none"/>
                <w:shd w:val="clear" w:color="auto" w:fill="auto"/>
              </w:rPr>
              <w:t>内，处理后回用</w:t>
            </w:r>
            <w:r>
              <w:rPr>
                <w:rFonts w:hint="eastAsia" w:eastAsia="宋体" w:cs="Times New Roman"/>
                <w:color w:val="auto"/>
                <w:sz w:val="21"/>
                <w:szCs w:val="21"/>
                <w:highlight w:val="none"/>
                <w:shd w:val="clear" w:color="auto" w:fill="auto"/>
                <w:lang w:eastAsia="zh-CN"/>
              </w:rPr>
              <w:t>。</w:t>
            </w:r>
            <w:r>
              <w:rPr>
                <w:rFonts w:hint="eastAsia" w:eastAsia="宋体" w:cs="Times New Roman"/>
                <w:color w:val="auto"/>
                <w:sz w:val="21"/>
                <w:szCs w:val="21"/>
                <w:highlight w:val="none"/>
                <w:shd w:val="clear" w:color="auto" w:fill="auto"/>
              </w:rPr>
              <w:t>船舶生活污水由船舶生活污水收集罐车收集，定期外运至</w:t>
            </w:r>
            <w:r>
              <w:rPr>
                <w:rFonts w:hint="eastAsia" w:cs="Times New Roman"/>
                <w:color w:val="auto"/>
                <w:sz w:val="21"/>
                <w:szCs w:val="21"/>
                <w:highlight w:val="none"/>
                <w:shd w:val="clear" w:color="auto" w:fill="auto"/>
                <w:lang w:eastAsia="zh-CN"/>
              </w:rPr>
              <w:t>有资质的</w:t>
            </w:r>
            <w:r>
              <w:rPr>
                <w:rFonts w:hint="eastAsia" w:eastAsia="宋体" w:cs="Times New Roman"/>
                <w:color w:val="auto"/>
                <w:sz w:val="21"/>
                <w:szCs w:val="21"/>
                <w:highlight w:val="none"/>
                <w:shd w:val="clear" w:color="auto" w:fill="auto"/>
              </w:rPr>
              <w:t>接收处理单位；船舶油污水由船舶油污水收集罐车收集后，定期外运至</w:t>
            </w:r>
            <w:r>
              <w:rPr>
                <w:rFonts w:hint="eastAsia" w:cs="Times New Roman"/>
                <w:color w:val="auto"/>
                <w:sz w:val="21"/>
                <w:szCs w:val="21"/>
                <w:highlight w:val="none"/>
                <w:shd w:val="clear" w:color="auto" w:fill="auto"/>
                <w:lang w:eastAsia="zh-CN"/>
              </w:rPr>
              <w:t>有资质的</w:t>
            </w:r>
            <w:r>
              <w:rPr>
                <w:rFonts w:hint="eastAsia" w:eastAsia="宋体" w:cs="Times New Roman"/>
                <w:color w:val="auto"/>
                <w:sz w:val="21"/>
                <w:szCs w:val="21"/>
                <w:highlight w:val="none"/>
                <w:shd w:val="clear" w:color="auto" w:fill="auto"/>
              </w:rPr>
              <w:t>接收处理单位</w:t>
            </w:r>
            <w:r>
              <w:rPr>
                <w:rFonts w:hint="eastAsia" w:cs="Times New Roman"/>
                <w:color w:val="auto"/>
                <w:sz w:val="21"/>
                <w:szCs w:val="21"/>
                <w:highlight w:val="none"/>
                <w:shd w:val="clear" w:color="auto" w:fill="auto"/>
                <w:lang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21" w:hRule="atLeast"/>
          <w:jc w:val="center"/>
        </w:trPr>
        <w:tc>
          <w:tcPr>
            <w:tcW w:w="461"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82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133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噪声治理</w:t>
            </w:r>
          </w:p>
        </w:tc>
        <w:tc>
          <w:tcPr>
            <w:tcW w:w="6325" w:type="dxa"/>
            <w:tcBorders>
              <w:tl2br w:val="nil"/>
              <w:tr2bl w:val="nil"/>
            </w:tcBorders>
          </w:tcPr>
          <w:p>
            <w:pPr>
              <w:keepNext w:val="0"/>
              <w:keepLines w:val="0"/>
              <w:pageBreakBefore w:val="0"/>
              <w:kinsoku/>
              <w:wordWrap/>
              <w:overflowPunct/>
              <w:topLinePunct w:val="0"/>
              <w:autoSpaceDE/>
              <w:autoSpaceDN/>
              <w:bidi w:val="0"/>
              <w:adjustRightInd/>
              <w:snapToGrid/>
              <w:spacing w:line="264" w:lineRule="auto"/>
              <w:ind w:firstLine="420"/>
              <w:jc w:val="left"/>
              <w:textAlignment w:val="auto"/>
              <w:rPr>
                <w:rFonts w:hint="eastAsia" w:eastAsia="宋体" w:cs="Times New Roman"/>
                <w:color w:val="auto"/>
                <w:sz w:val="21"/>
                <w:szCs w:val="21"/>
                <w:shd w:val="clear" w:color="auto" w:fill="auto"/>
                <w:lang w:eastAsia="zh-CN"/>
              </w:rPr>
            </w:pPr>
            <w:r>
              <w:rPr>
                <w:rFonts w:hint="eastAsia" w:eastAsia="宋体" w:cs="Times New Roman"/>
                <w:color w:val="auto"/>
                <w:sz w:val="21"/>
                <w:szCs w:val="21"/>
                <w:shd w:val="clear" w:color="auto" w:fill="auto"/>
              </w:rPr>
              <w:t>选用先进的低噪声机械、设备以及车辆，采取相应的</w:t>
            </w:r>
            <w:r>
              <w:rPr>
                <w:rFonts w:hint="eastAsia" w:cs="Times New Roman"/>
                <w:color w:val="auto"/>
                <w:sz w:val="21"/>
                <w:szCs w:val="21"/>
                <w:shd w:val="clear" w:color="auto" w:fill="auto"/>
                <w:lang w:eastAsia="zh-CN"/>
              </w:rPr>
              <w:t>减震</w:t>
            </w:r>
            <w:r>
              <w:rPr>
                <w:rFonts w:hint="eastAsia" w:eastAsia="宋体" w:cs="Times New Roman"/>
                <w:color w:val="auto"/>
                <w:sz w:val="21"/>
                <w:szCs w:val="21"/>
                <w:shd w:val="clear" w:color="auto" w:fill="auto"/>
              </w:rPr>
              <w:t>措施</w:t>
            </w:r>
            <w:r>
              <w:rPr>
                <w:rFonts w:hint="eastAsia" w:eastAsia="宋体" w:cs="Times New Roman"/>
                <w:color w:val="auto"/>
                <w:sz w:val="21"/>
                <w:szCs w:val="21"/>
                <w:shd w:val="clear" w:color="auto" w:fill="auto"/>
                <w:lang w:eastAsia="zh-CN"/>
              </w:rPr>
              <w:t>；</w:t>
            </w:r>
            <w:r>
              <w:rPr>
                <w:rFonts w:hint="eastAsia" w:eastAsia="宋体" w:cs="Times New Roman"/>
                <w:color w:val="auto"/>
                <w:sz w:val="21"/>
                <w:szCs w:val="21"/>
                <w:shd w:val="clear" w:color="auto" w:fill="auto"/>
              </w:rPr>
              <w:t>合理安排作业时间，尽量缩短夜间作业时间，同时应控制作业区内车速，控制和减少作业区车、船的鸣号次数和时间。</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21" w:hRule="atLeast"/>
          <w:jc w:val="center"/>
        </w:trPr>
        <w:tc>
          <w:tcPr>
            <w:tcW w:w="461"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82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eastAsia="宋体" w:cs="Times New Roman"/>
                <w:color w:val="auto"/>
                <w:sz w:val="21"/>
                <w:szCs w:val="21"/>
                <w:shd w:val="clear" w:color="auto" w:fill="auto"/>
              </w:rPr>
            </w:pPr>
          </w:p>
        </w:tc>
        <w:tc>
          <w:tcPr>
            <w:tcW w:w="133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64" w:lineRule="auto"/>
              <w:ind w:firstLine="0" w:firstLineChars="0"/>
              <w:jc w:val="center"/>
              <w:textAlignment w:val="auto"/>
              <w:rPr>
                <w:rFonts w:hint="eastAsia" w:eastAsia="宋体" w:cs="Times New Roman"/>
                <w:color w:val="auto"/>
                <w:sz w:val="21"/>
                <w:szCs w:val="21"/>
                <w:shd w:val="clear" w:color="auto" w:fill="auto"/>
                <w:lang w:val="en-US" w:eastAsia="zh-CN"/>
              </w:rPr>
            </w:pPr>
            <w:r>
              <w:rPr>
                <w:rFonts w:hint="eastAsia" w:eastAsia="宋体" w:cs="Times New Roman"/>
                <w:color w:val="auto"/>
                <w:sz w:val="21"/>
                <w:szCs w:val="21"/>
                <w:shd w:val="clear" w:color="auto" w:fill="auto"/>
              </w:rPr>
              <w:t>固废</w:t>
            </w:r>
            <w:r>
              <w:rPr>
                <w:rFonts w:hint="eastAsia" w:eastAsia="宋体" w:cs="Times New Roman"/>
                <w:color w:val="auto"/>
                <w:sz w:val="21"/>
                <w:szCs w:val="21"/>
                <w:shd w:val="clear" w:color="auto" w:fill="auto"/>
                <w:lang w:val="en-US" w:eastAsia="zh-CN"/>
              </w:rPr>
              <w:t>治理</w:t>
            </w:r>
          </w:p>
        </w:tc>
        <w:tc>
          <w:tcPr>
            <w:tcW w:w="6325" w:type="dxa"/>
            <w:tcBorders>
              <w:tl2br w:val="nil"/>
              <w:tr2bl w:val="nil"/>
            </w:tcBorders>
          </w:tcPr>
          <w:p>
            <w:pPr>
              <w:keepNext w:val="0"/>
              <w:keepLines w:val="0"/>
              <w:pageBreakBefore w:val="0"/>
              <w:kinsoku/>
              <w:wordWrap/>
              <w:overflowPunct/>
              <w:topLinePunct w:val="0"/>
              <w:autoSpaceDE/>
              <w:autoSpaceDN/>
              <w:bidi w:val="0"/>
              <w:adjustRightInd/>
              <w:snapToGrid/>
              <w:spacing w:line="264" w:lineRule="auto"/>
              <w:ind w:left="0" w:leftChars="0" w:firstLine="420" w:firstLineChars="200"/>
              <w:jc w:val="left"/>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船舶和码头生活垃圾委托当地环卫部门处理</w:t>
            </w:r>
            <w:r>
              <w:rPr>
                <w:rFonts w:hint="eastAsia" w:eastAsia="宋体" w:cs="Times New Roman"/>
                <w:color w:val="auto"/>
                <w:sz w:val="21"/>
                <w:szCs w:val="21"/>
                <w:shd w:val="clear" w:color="auto" w:fill="auto"/>
                <w:lang w:eastAsia="zh-CN"/>
              </w:rPr>
              <w:t>；</w:t>
            </w:r>
            <w:r>
              <w:rPr>
                <w:rFonts w:hint="eastAsia" w:eastAsia="宋体" w:cs="Times New Roman"/>
                <w:color w:val="auto"/>
                <w:sz w:val="21"/>
                <w:szCs w:val="21"/>
                <w:shd w:val="clear" w:color="auto" w:fill="auto"/>
              </w:rPr>
              <w:t>沉淀池污泥为一般固体废物，定期由当地环卫部门清运处置，不外排</w:t>
            </w:r>
            <w:r>
              <w:rPr>
                <w:rFonts w:hint="eastAsia" w:eastAsia="宋体" w:cs="Times New Roman"/>
                <w:color w:val="auto"/>
                <w:sz w:val="21"/>
                <w:szCs w:val="21"/>
                <w:shd w:val="clear" w:color="auto" w:fill="auto"/>
                <w:lang w:eastAsia="zh-CN"/>
              </w:rPr>
              <w:t>；隔油</w:t>
            </w:r>
            <w:r>
              <w:rPr>
                <w:rFonts w:hint="eastAsia" w:cs="Times New Roman"/>
                <w:color w:val="auto"/>
                <w:sz w:val="21"/>
                <w:szCs w:val="21"/>
                <w:shd w:val="clear" w:color="auto" w:fill="auto"/>
                <w:lang w:eastAsia="zh-CN"/>
              </w:rPr>
              <w:t>沉淀</w:t>
            </w:r>
            <w:r>
              <w:rPr>
                <w:rFonts w:hint="eastAsia" w:eastAsia="宋体" w:cs="Times New Roman"/>
                <w:color w:val="auto"/>
                <w:sz w:val="21"/>
                <w:szCs w:val="21"/>
                <w:shd w:val="clear" w:color="auto" w:fill="auto"/>
                <w:lang w:eastAsia="zh-CN"/>
              </w:rPr>
              <w:t>池浮油</w:t>
            </w:r>
            <w:r>
              <w:rPr>
                <w:rFonts w:hint="eastAsia" w:cs="Times New Roman"/>
                <w:color w:val="auto"/>
                <w:sz w:val="21"/>
                <w:szCs w:val="21"/>
                <w:shd w:val="clear" w:color="auto" w:fill="auto"/>
                <w:lang w:eastAsia="zh-CN"/>
              </w:rPr>
              <w:t>在危废暂存间</w:t>
            </w:r>
            <w:r>
              <w:rPr>
                <w:rFonts w:hint="eastAsia" w:eastAsia="宋体" w:cs="Times New Roman"/>
                <w:color w:val="auto"/>
                <w:sz w:val="21"/>
                <w:szCs w:val="21"/>
                <w:shd w:val="clear" w:color="auto" w:fill="auto"/>
                <w:lang w:val="en-US" w:eastAsia="zh-CN"/>
              </w:rPr>
              <w:t>妥善</w:t>
            </w:r>
            <w:r>
              <w:rPr>
                <w:rFonts w:hint="eastAsia" w:cs="Times New Roman"/>
                <w:color w:val="auto"/>
                <w:sz w:val="21"/>
                <w:szCs w:val="21"/>
                <w:shd w:val="clear" w:color="auto" w:fill="auto"/>
                <w:lang w:val="en-US" w:eastAsia="zh-CN"/>
              </w:rPr>
              <w:t>暂存</w:t>
            </w:r>
            <w:r>
              <w:rPr>
                <w:rFonts w:hint="eastAsia" w:eastAsia="宋体" w:cs="Times New Roman"/>
                <w:color w:val="auto"/>
                <w:sz w:val="21"/>
                <w:szCs w:val="21"/>
                <w:shd w:val="clear" w:color="auto" w:fill="auto"/>
                <w:lang w:val="en-US" w:eastAsia="zh-CN"/>
              </w:rPr>
              <w:t>后，</w:t>
            </w:r>
            <w:r>
              <w:rPr>
                <w:rFonts w:hint="eastAsia" w:eastAsia="宋体" w:cs="Times New Roman"/>
                <w:color w:val="auto"/>
                <w:sz w:val="21"/>
                <w:szCs w:val="21"/>
                <w:shd w:val="clear" w:color="auto" w:fill="auto"/>
                <w:lang w:eastAsia="zh-CN"/>
              </w:rPr>
              <w:t>委托有资质的单位进行定期</w:t>
            </w:r>
            <w:r>
              <w:rPr>
                <w:rFonts w:hint="eastAsia" w:cs="Times New Roman"/>
                <w:color w:val="auto"/>
                <w:sz w:val="21"/>
                <w:szCs w:val="21"/>
                <w:shd w:val="clear" w:color="auto" w:fill="auto"/>
                <w:lang w:eastAsia="zh-CN"/>
              </w:rPr>
              <w:t>处理</w:t>
            </w:r>
            <w:r>
              <w:rPr>
                <w:rFonts w:hint="eastAsia" w:eastAsia="宋体" w:cs="Times New Roman"/>
                <w:color w:val="auto"/>
                <w:sz w:val="21"/>
                <w:szCs w:val="21"/>
                <w:shd w:val="clear" w:color="auto" w:fill="auto"/>
                <w:lang w:eastAsia="zh-CN"/>
              </w:rPr>
              <w:t>处置。</w:t>
            </w:r>
          </w:p>
        </w:tc>
      </w:tr>
    </w:tbl>
    <w:p>
      <w:pPr>
        <w:pStyle w:val="6"/>
        <w:rPr>
          <w:color w:val="auto"/>
          <w:shd w:val="clear" w:color="auto" w:fill="auto"/>
        </w:rPr>
      </w:pPr>
      <w:r>
        <w:rPr>
          <w:rFonts w:hint="eastAsia"/>
          <w:color w:val="auto"/>
          <w:shd w:val="clear" w:color="auto" w:fill="auto"/>
        </w:rPr>
        <w:t>2.</w:t>
      </w:r>
      <w:r>
        <w:rPr>
          <w:rFonts w:hint="eastAsia"/>
          <w:color w:val="auto"/>
          <w:shd w:val="clear" w:color="auto" w:fill="auto"/>
          <w:lang w:val="en-US" w:eastAsia="zh-CN"/>
        </w:rPr>
        <w:t>1.1</w:t>
      </w:r>
      <w:r>
        <w:rPr>
          <w:rFonts w:hint="eastAsia"/>
          <w:color w:val="auto"/>
          <w:shd w:val="clear" w:color="auto" w:fill="auto"/>
        </w:rPr>
        <w:t>.2 码头吞吐量</w:t>
      </w:r>
    </w:p>
    <w:p>
      <w:pPr>
        <w:ind w:firstLine="480"/>
        <w:rPr>
          <w:b/>
          <w:color w:val="auto"/>
          <w:shd w:val="clear" w:color="auto" w:fill="auto"/>
        </w:rPr>
      </w:pPr>
      <w:r>
        <w:rPr>
          <w:rFonts w:hint="eastAsia"/>
          <w:bCs/>
          <w:color w:val="auto"/>
          <w:shd w:val="clear" w:color="auto" w:fill="auto"/>
        </w:rPr>
        <w:t>码头设计</w:t>
      </w:r>
      <w:r>
        <w:rPr>
          <w:rFonts w:hint="eastAsia"/>
          <w:bCs/>
          <w:color w:val="auto"/>
          <w:shd w:val="clear" w:color="auto" w:fill="auto"/>
          <w:lang w:eastAsia="zh-CN"/>
        </w:rPr>
        <w:t>年</w:t>
      </w:r>
      <w:r>
        <w:rPr>
          <w:rFonts w:hint="eastAsia"/>
          <w:bCs/>
          <w:color w:val="auto"/>
          <w:shd w:val="clear" w:color="auto" w:fill="auto"/>
        </w:rPr>
        <w:t>吞吐量为</w:t>
      </w:r>
      <w:r>
        <w:rPr>
          <w:rFonts w:hint="eastAsia"/>
          <w:bCs/>
          <w:color w:val="auto"/>
          <w:shd w:val="clear" w:color="auto" w:fill="auto"/>
          <w:lang w:val="en-US" w:eastAsia="zh-CN"/>
        </w:rPr>
        <w:t>150</w:t>
      </w:r>
      <w:r>
        <w:rPr>
          <w:rFonts w:hint="eastAsia"/>
          <w:bCs/>
          <w:color w:val="auto"/>
          <w:shd w:val="clear" w:color="auto" w:fill="auto"/>
        </w:rPr>
        <w:t>万吨。</w:t>
      </w:r>
    </w:p>
    <w:p>
      <w:pPr>
        <w:snapToGrid w:val="0"/>
        <w:spacing w:line="240" w:lineRule="auto"/>
        <w:ind w:firstLine="0" w:firstLineChars="0"/>
        <w:jc w:val="center"/>
        <w:rPr>
          <w:rFonts w:hint="eastAsia" w:ascii="Times New Roman" w:hAnsi="Times New Roman" w:eastAsia="黑体" w:cs="Times New Roman"/>
          <w:color w:val="auto"/>
          <w:kern w:val="2"/>
          <w:sz w:val="21"/>
          <w:szCs w:val="21"/>
          <w:shd w:val="clear" w:color="auto" w:fill="auto"/>
          <w:lang w:val="en-US" w:eastAsia="zh-CN" w:bidi="ar-SA"/>
        </w:rPr>
      </w:pPr>
      <w:r>
        <w:rPr>
          <w:rFonts w:hint="eastAsia" w:ascii="Times New Roman" w:hAnsi="Times New Roman" w:eastAsia="黑体" w:cs="Times New Roman"/>
          <w:color w:val="auto"/>
          <w:kern w:val="2"/>
          <w:sz w:val="21"/>
          <w:szCs w:val="21"/>
          <w:shd w:val="clear" w:color="auto" w:fill="auto"/>
          <w:lang w:val="en-US" w:eastAsia="zh-CN" w:bidi="ar-SA"/>
        </w:rPr>
        <w:t>表2.1-2 拟建工程吞吐量表</w:t>
      </w:r>
    </w:p>
    <w:tbl>
      <w:tblPr>
        <w:tblStyle w:val="26"/>
        <w:tblW w:w="894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49"/>
        <w:gridCol w:w="1714"/>
        <w:gridCol w:w="1304"/>
        <w:gridCol w:w="2109"/>
        <w:gridCol w:w="277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49" w:type="dxa"/>
            <w:noWrap w:val="0"/>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序号</w:t>
            </w:r>
          </w:p>
        </w:tc>
        <w:tc>
          <w:tcPr>
            <w:tcW w:w="1714" w:type="dxa"/>
            <w:noWrap w:val="0"/>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货种</w:t>
            </w:r>
          </w:p>
        </w:tc>
        <w:tc>
          <w:tcPr>
            <w:tcW w:w="1304" w:type="dxa"/>
            <w:noWrap w:val="0"/>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进/出口</w:t>
            </w:r>
          </w:p>
        </w:tc>
        <w:tc>
          <w:tcPr>
            <w:tcW w:w="2109" w:type="dxa"/>
            <w:noWrap w:val="0"/>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cs="Times New Roman"/>
                <w:color w:val="auto"/>
                <w:sz w:val="21"/>
                <w:szCs w:val="21"/>
                <w:shd w:val="clear" w:color="auto" w:fill="auto"/>
                <w:lang w:eastAsia="zh-CN"/>
              </w:rPr>
              <w:t>年</w:t>
            </w:r>
            <w:r>
              <w:rPr>
                <w:rFonts w:hint="eastAsia" w:eastAsia="宋体" w:cs="Times New Roman"/>
                <w:color w:val="auto"/>
                <w:sz w:val="21"/>
                <w:szCs w:val="21"/>
                <w:shd w:val="clear" w:color="auto" w:fill="auto"/>
              </w:rPr>
              <w:t>吞吐量（万吨）</w:t>
            </w:r>
          </w:p>
        </w:tc>
        <w:tc>
          <w:tcPr>
            <w:tcW w:w="2770" w:type="dxa"/>
            <w:noWrap w:val="0"/>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流向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49" w:type="dxa"/>
            <w:noWrap w:val="0"/>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1</w:t>
            </w:r>
          </w:p>
        </w:tc>
        <w:tc>
          <w:tcPr>
            <w:tcW w:w="1714" w:type="dxa"/>
            <w:noWrap w:val="0"/>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矿建</w:t>
            </w:r>
            <w:r>
              <w:rPr>
                <w:rFonts w:eastAsia="宋体" w:cs="Times New Roman"/>
                <w:color w:val="auto"/>
                <w:sz w:val="21"/>
                <w:szCs w:val="21"/>
                <w:shd w:val="clear" w:color="auto" w:fill="auto"/>
              </w:rPr>
              <w:t>材料</w:t>
            </w:r>
          </w:p>
        </w:tc>
        <w:tc>
          <w:tcPr>
            <w:tcW w:w="1304" w:type="dxa"/>
            <w:noWrap w:val="0"/>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进口</w:t>
            </w:r>
          </w:p>
        </w:tc>
        <w:tc>
          <w:tcPr>
            <w:tcW w:w="2109" w:type="dxa"/>
            <w:noWrap w:val="0"/>
            <w:vAlign w:val="center"/>
          </w:tcPr>
          <w:p>
            <w:pPr>
              <w:spacing w:line="240" w:lineRule="auto"/>
              <w:ind w:firstLine="0" w:firstLineChars="0"/>
              <w:jc w:val="center"/>
              <w:rPr>
                <w:rFonts w:eastAsia="宋体" w:cs="Times New Roman"/>
                <w:color w:val="auto"/>
                <w:sz w:val="21"/>
                <w:szCs w:val="21"/>
                <w:shd w:val="clear" w:color="auto" w:fill="auto"/>
              </w:rPr>
            </w:pPr>
            <w:r>
              <w:rPr>
                <w:rFonts w:eastAsia="宋体" w:cs="Times New Roman"/>
                <w:color w:val="auto"/>
                <w:sz w:val="21"/>
                <w:szCs w:val="21"/>
                <w:shd w:val="clear" w:color="auto" w:fill="auto"/>
              </w:rPr>
              <w:t>1</w:t>
            </w:r>
            <w:r>
              <w:rPr>
                <w:rFonts w:hint="eastAsia" w:cs="Times New Roman"/>
                <w:color w:val="auto"/>
                <w:sz w:val="21"/>
                <w:szCs w:val="21"/>
                <w:shd w:val="clear" w:color="auto" w:fill="auto"/>
                <w:lang w:val="en-US" w:eastAsia="zh-CN"/>
              </w:rPr>
              <w:t>5</w:t>
            </w:r>
            <w:r>
              <w:rPr>
                <w:rFonts w:eastAsia="宋体" w:cs="Times New Roman"/>
                <w:color w:val="auto"/>
                <w:sz w:val="21"/>
                <w:szCs w:val="21"/>
                <w:shd w:val="clear" w:color="auto" w:fill="auto"/>
              </w:rPr>
              <w:t>0</w:t>
            </w:r>
          </w:p>
        </w:tc>
        <w:tc>
          <w:tcPr>
            <w:tcW w:w="2770" w:type="dxa"/>
            <w:noWrap w:val="0"/>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省内</w:t>
            </w:r>
          </w:p>
        </w:tc>
      </w:tr>
    </w:tbl>
    <w:p>
      <w:pPr>
        <w:keepNext w:val="0"/>
        <w:keepLines w:val="0"/>
        <w:pageBreakBefore w:val="0"/>
        <w:widowControl w:val="0"/>
        <w:kinsoku/>
        <w:wordWrap/>
        <w:overflowPunct/>
        <w:topLinePunct w:val="0"/>
        <w:autoSpaceDE/>
        <w:autoSpaceDN/>
        <w:bidi w:val="0"/>
        <w:adjustRightInd/>
        <w:snapToGrid/>
        <w:spacing w:line="240" w:lineRule="auto"/>
        <w:ind w:firstLine="482"/>
        <w:jc w:val="center"/>
        <w:textAlignment w:val="auto"/>
        <w:outlineLvl w:val="9"/>
        <w:rPr>
          <w:rFonts w:hint="eastAsia" w:ascii="Times New Roman" w:hAnsi="Times New Roman" w:eastAsia="黑体" w:cs="Times New Roman"/>
          <w:color w:val="auto"/>
          <w:kern w:val="2"/>
          <w:sz w:val="24"/>
          <w:szCs w:val="24"/>
          <w:shd w:val="clear" w:color="auto" w:fill="auto"/>
          <w:lang w:val="en-US" w:eastAsia="zh-CN" w:bidi="ar-SA"/>
        </w:rPr>
      </w:pPr>
    </w:p>
    <w:p>
      <w:pPr>
        <w:pStyle w:val="6"/>
        <w:rPr>
          <w:color w:val="auto"/>
          <w:shd w:val="clear" w:color="auto" w:fill="auto"/>
        </w:rPr>
      </w:pPr>
      <w:r>
        <w:rPr>
          <w:rFonts w:hint="eastAsia"/>
          <w:color w:val="auto"/>
          <w:shd w:val="clear" w:color="auto" w:fill="auto"/>
        </w:rPr>
        <w:t>2.</w:t>
      </w:r>
      <w:r>
        <w:rPr>
          <w:rFonts w:hint="eastAsia"/>
          <w:color w:val="auto"/>
          <w:shd w:val="clear" w:color="auto" w:fill="auto"/>
          <w:lang w:val="en-US" w:eastAsia="zh-CN"/>
        </w:rPr>
        <w:t>1.1</w:t>
      </w:r>
      <w:r>
        <w:rPr>
          <w:rFonts w:hint="eastAsia"/>
          <w:color w:val="auto"/>
          <w:shd w:val="clear" w:color="auto" w:fill="auto"/>
        </w:rPr>
        <w:t>.3 设计船型</w:t>
      </w:r>
    </w:p>
    <w:p>
      <w:pPr>
        <w:ind w:firstLine="480"/>
        <w:rPr>
          <w:color w:val="auto"/>
          <w:shd w:val="clear" w:color="auto" w:fill="auto"/>
        </w:rPr>
      </w:pPr>
      <w:r>
        <w:rPr>
          <w:rFonts w:hint="eastAsia"/>
          <w:color w:val="auto"/>
          <w:shd w:val="clear" w:color="auto" w:fill="auto"/>
        </w:rPr>
        <w:t>设计代表船型：</w:t>
      </w:r>
    </w:p>
    <w:p>
      <w:pPr>
        <w:ind w:firstLine="480"/>
        <w:rPr>
          <w:color w:val="auto"/>
          <w:shd w:val="clear" w:color="auto" w:fill="auto"/>
        </w:rPr>
      </w:pPr>
      <w:r>
        <w:rPr>
          <w:rFonts w:hint="eastAsia"/>
          <w:color w:val="auto"/>
          <w:shd w:val="clear" w:color="auto" w:fill="auto"/>
        </w:rPr>
        <w:t>1000t货船（总长×型宽×</w:t>
      </w:r>
      <w:r>
        <w:rPr>
          <w:rFonts w:hint="eastAsia"/>
          <w:color w:val="auto"/>
          <w:shd w:val="clear" w:color="auto" w:fill="auto"/>
          <w:lang w:eastAsia="zh-CN"/>
        </w:rPr>
        <w:t>满载</w:t>
      </w:r>
      <w:r>
        <w:rPr>
          <w:rFonts w:hint="eastAsia"/>
          <w:color w:val="auto"/>
          <w:shd w:val="clear" w:color="auto" w:fill="auto"/>
        </w:rPr>
        <w:t>吃水）</w:t>
      </w:r>
      <w:r>
        <w:rPr>
          <w:rFonts w:hint="eastAsia"/>
          <w:color w:val="auto"/>
          <w:shd w:val="clear" w:color="auto" w:fill="auto"/>
          <w:lang w:val="en-US" w:eastAsia="zh-CN"/>
        </w:rPr>
        <w:t>60</w:t>
      </w:r>
      <w:r>
        <w:rPr>
          <w:rFonts w:hint="eastAsia"/>
          <w:color w:val="auto"/>
          <w:shd w:val="clear" w:color="auto" w:fill="auto"/>
        </w:rPr>
        <w:t>×</w:t>
      </w:r>
      <w:r>
        <w:rPr>
          <w:rFonts w:hint="eastAsia"/>
          <w:color w:val="auto"/>
          <w:shd w:val="clear" w:color="auto" w:fill="auto"/>
          <w:lang w:val="en-US" w:eastAsia="zh-CN"/>
        </w:rPr>
        <w:t>10.8</w:t>
      </w:r>
      <w:r>
        <w:rPr>
          <w:rFonts w:hint="eastAsia"/>
          <w:color w:val="auto"/>
          <w:shd w:val="clear" w:color="auto" w:fill="auto"/>
        </w:rPr>
        <w:t>×</w:t>
      </w:r>
      <w:r>
        <w:rPr>
          <w:rFonts w:hint="eastAsia"/>
          <w:color w:val="auto"/>
          <w:shd w:val="clear" w:color="auto" w:fill="auto"/>
          <w:lang w:val="en-US" w:eastAsia="zh-CN"/>
        </w:rPr>
        <w:t>3.0</w:t>
      </w:r>
      <w:r>
        <w:rPr>
          <w:rFonts w:hint="eastAsia"/>
          <w:color w:val="auto"/>
          <w:shd w:val="clear" w:color="auto" w:fill="auto"/>
          <w:lang w:eastAsia="zh-CN"/>
        </w:rPr>
        <w:t>m</w:t>
      </w:r>
      <w:r>
        <w:rPr>
          <w:rFonts w:hint="eastAsia"/>
          <w:color w:val="auto"/>
          <w:shd w:val="clear" w:color="auto" w:fill="auto"/>
        </w:rPr>
        <w:t>。</w:t>
      </w:r>
    </w:p>
    <w:p>
      <w:pPr>
        <w:pStyle w:val="5"/>
        <w:rPr>
          <w:rFonts w:hint="eastAsia" w:eastAsia="宋体"/>
          <w:color w:val="auto"/>
          <w:shd w:val="clear" w:color="auto" w:fill="auto"/>
          <w:lang w:eastAsia="zh-CN"/>
        </w:rPr>
      </w:pPr>
      <w:bookmarkStart w:id="121" w:name="_Toc1299"/>
      <w:bookmarkStart w:id="122" w:name="_Toc21500"/>
      <w:bookmarkStart w:id="123" w:name="_Toc328986580"/>
      <w:bookmarkStart w:id="124" w:name="_Toc22089"/>
      <w:bookmarkStart w:id="125" w:name="_Toc21607_WPSOffice_Level2"/>
      <w:bookmarkStart w:id="126" w:name="_Toc30924"/>
      <w:bookmarkStart w:id="127" w:name="_Toc13542"/>
      <w:bookmarkStart w:id="128" w:name="_Toc25485"/>
      <w:bookmarkStart w:id="129" w:name="_Toc328911799"/>
      <w:bookmarkStart w:id="130" w:name="_Toc328967860"/>
      <w:bookmarkStart w:id="131" w:name="_Toc23063_WPSOffice_Level2"/>
      <w:r>
        <w:rPr>
          <w:rFonts w:hint="eastAsia"/>
          <w:color w:val="auto"/>
          <w:shd w:val="clear" w:color="auto" w:fill="auto"/>
        </w:rPr>
        <w:t>2.</w:t>
      </w:r>
      <w:r>
        <w:rPr>
          <w:rFonts w:hint="eastAsia"/>
          <w:color w:val="auto"/>
          <w:shd w:val="clear" w:color="auto" w:fill="auto"/>
          <w:lang w:val="en-US" w:eastAsia="zh-CN"/>
        </w:rPr>
        <w:t>1.2</w:t>
      </w:r>
      <w:r>
        <w:rPr>
          <w:rFonts w:hint="eastAsia"/>
          <w:color w:val="auto"/>
          <w:shd w:val="clear" w:color="auto" w:fill="auto"/>
        </w:rPr>
        <w:t xml:space="preserve"> 主要指标</w:t>
      </w:r>
      <w:bookmarkEnd w:id="121"/>
      <w:bookmarkEnd w:id="122"/>
      <w:bookmarkEnd w:id="123"/>
      <w:bookmarkEnd w:id="124"/>
      <w:bookmarkEnd w:id="125"/>
      <w:bookmarkEnd w:id="126"/>
      <w:bookmarkEnd w:id="127"/>
      <w:bookmarkEnd w:id="128"/>
      <w:bookmarkEnd w:id="129"/>
      <w:bookmarkEnd w:id="130"/>
      <w:bookmarkEnd w:id="131"/>
      <w:r>
        <w:rPr>
          <w:rFonts w:hint="eastAsia"/>
          <w:color w:val="auto"/>
          <w:shd w:val="clear" w:color="auto" w:fill="auto"/>
          <w:lang w:eastAsia="zh-CN"/>
        </w:rPr>
        <w:t>及工程量</w:t>
      </w:r>
    </w:p>
    <w:p>
      <w:pPr>
        <w:ind w:firstLine="480"/>
        <w:rPr>
          <w:rFonts w:hint="eastAsia"/>
          <w:color w:val="auto"/>
          <w:shd w:val="clear" w:color="auto" w:fill="auto"/>
          <w:lang w:val="en-US" w:eastAsia="zh-CN"/>
        </w:rPr>
      </w:pPr>
      <w:r>
        <w:rPr>
          <w:rFonts w:hint="eastAsia"/>
          <w:color w:val="auto"/>
          <w:shd w:val="clear" w:color="auto" w:fill="auto"/>
        </w:rPr>
        <w:t>拟建工程码头区域主要指标</w:t>
      </w:r>
      <w:r>
        <w:rPr>
          <w:rFonts w:hint="eastAsia"/>
          <w:color w:val="auto"/>
          <w:shd w:val="clear" w:color="auto" w:fill="auto"/>
          <w:lang w:eastAsia="zh-CN"/>
        </w:rPr>
        <w:t>和工程量</w:t>
      </w:r>
      <w:r>
        <w:rPr>
          <w:rFonts w:hint="eastAsia"/>
          <w:color w:val="auto"/>
          <w:shd w:val="clear" w:color="auto" w:fill="auto"/>
        </w:rPr>
        <w:t>见表2.</w:t>
      </w:r>
      <w:r>
        <w:rPr>
          <w:rFonts w:hint="eastAsia"/>
          <w:color w:val="auto"/>
          <w:shd w:val="clear" w:color="auto" w:fill="auto"/>
          <w:lang w:val="en-US" w:eastAsia="zh-CN"/>
        </w:rPr>
        <w:t>1</w:t>
      </w:r>
      <w:r>
        <w:rPr>
          <w:rFonts w:hint="eastAsia"/>
          <w:color w:val="auto"/>
          <w:shd w:val="clear" w:color="auto" w:fill="auto"/>
        </w:rPr>
        <w:t>-</w:t>
      </w:r>
      <w:r>
        <w:rPr>
          <w:rFonts w:hint="eastAsia"/>
          <w:color w:val="auto"/>
          <w:shd w:val="clear" w:color="auto" w:fill="auto"/>
          <w:lang w:val="en-US" w:eastAsia="zh-CN"/>
        </w:rPr>
        <w:t>3。</w:t>
      </w:r>
    </w:p>
    <w:p>
      <w:pPr>
        <w:spacing w:before="120" w:beforeLines="50" w:line="240" w:lineRule="auto"/>
        <w:ind w:firstLine="482"/>
        <w:jc w:val="center"/>
        <w:rPr>
          <w:rFonts w:hint="eastAsia" w:ascii="Times New Roman" w:hAnsi="Times New Roman" w:eastAsia="黑体" w:cs="Times New Roman"/>
          <w:color w:val="auto"/>
          <w:kern w:val="2"/>
          <w:sz w:val="21"/>
          <w:szCs w:val="21"/>
          <w:shd w:val="clear" w:color="auto" w:fill="auto"/>
          <w:lang w:val="en-US" w:eastAsia="zh-CN" w:bidi="ar-SA"/>
        </w:rPr>
      </w:pPr>
      <w:r>
        <w:rPr>
          <w:rFonts w:hint="eastAsia" w:ascii="Times New Roman" w:hAnsi="Times New Roman" w:eastAsia="黑体" w:cs="Times New Roman"/>
          <w:color w:val="auto"/>
          <w:kern w:val="2"/>
          <w:sz w:val="21"/>
          <w:szCs w:val="21"/>
          <w:shd w:val="clear" w:color="auto" w:fill="auto"/>
          <w:lang w:val="en-US" w:eastAsia="zh-CN" w:bidi="ar-SA"/>
        </w:rPr>
        <w:t>表2.1-3 码头区域主要指标及工程量表</w:t>
      </w:r>
    </w:p>
    <w:tbl>
      <w:tblPr>
        <w:tblStyle w:val="26"/>
        <w:tblW w:w="8946"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10"/>
        <w:gridCol w:w="1079"/>
        <w:gridCol w:w="1515"/>
        <w:gridCol w:w="874"/>
        <w:gridCol w:w="2918"/>
        <w:gridCol w:w="185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5" w:hRule="atLeast"/>
          <w:jc w:val="center"/>
        </w:trPr>
        <w:tc>
          <w:tcPr>
            <w:tcW w:w="71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bookmarkStart w:id="132" w:name="_Toc30218"/>
            <w:bookmarkStart w:id="133" w:name="_Toc24280"/>
            <w:bookmarkStart w:id="134" w:name="_Toc31595"/>
            <w:bookmarkStart w:id="135" w:name="_Toc328967861"/>
            <w:bookmarkStart w:id="136" w:name="_Toc328986581"/>
            <w:bookmarkStart w:id="137" w:name="_Toc17938"/>
            <w:bookmarkStart w:id="138" w:name="_Toc26081"/>
            <w:bookmarkStart w:id="139" w:name="_Toc328911800"/>
            <w:bookmarkStart w:id="140" w:name="_Toc22451"/>
            <w:bookmarkStart w:id="141" w:name="_Toc27392_WPSOffice_Level2"/>
            <w:bookmarkStart w:id="142" w:name="_Toc28965_WPSOffice_Level2"/>
            <w:r>
              <w:rPr>
                <w:rFonts w:hint="eastAsia" w:eastAsia="宋体" w:cs="Times New Roman"/>
                <w:color w:val="auto"/>
                <w:sz w:val="21"/>
                <w:szCs w:val="21"/>
                <w:shd w:val="clear" w:color="auto" w:fill="auto"/>
              </w:rPr>
              <w:t>序号</w:t>
            </w:r>
          </w:p>
        </w:tc>
        <w:tc>
          <w:tcPr>
            <w:tcW w:w="2594" w:type="dxa"/>
            <w:gridSpan w:val="2"/>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项  目</w:t>
            </w:r>
          </w:p>
        </w:tc>
        <w:tc>
          <w:tcPr>
            <w:tcW w:w="874"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单位</w:t>
            </w:r>
          </w:p>
        </w:tc>
        <w:tc>
          <w:tcPr>
            <w:tcW w:w="2918"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指标</w:t>
            </w:r>
          </w:p>
        </w:tc>
        <w:tc>
          <w:tcPr>
            <w:tcW w:w="185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备  注</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1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1</w:t>
            </w:r>
          </w:p>
        </w:tc>
        <w:tc>
          <w:tcPr>
            <w:tcW w:w="2594" w:type="dxa"/>
            <w:gridSpan w:val="2"/>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年设计吞吐量</w:t>
            </w:r>
          </w:p>
        </w:tc>
        <w:tc>
          <w:tcPr>
            <w:tcW w:w="874"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万t</w:t>
            </w:r>
          </w:p>
        </w:tc>
        <w:tc>
          <w:tcPr>
            <w:tcW w:w="2918" w:type="dxa"/>
            <w:noWrap w:val="0"/>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eastAsia="zh-CN"/>
              </w:rPr>
              <w:t>150</w:t>
            </w:r>
          </w:p>
        </w:tc>
        <w:tc>
          <w:tcPr>
            <w:tcW w:w="185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1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2</w:t>
            </w:r>
          </w:p>
        </w:tc>
        <w:tc>
          <w:tcPr>
            <w:tcW w:w="1079"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船型</w:t>
            </w:r>
          </w:p>
        </w:tc>
        <w:tc>
          <w:tcPr>
            <w:tcW w:w="151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设计船型</w:t>
            </w:r>
          </w:p>
        </w:tc>
        <w:tc>
          <w:tcPr>
            <w:tcW w:w="874" w:type="dxa"/>
            <w:noWrap w:val="0"/>
            <w:vAlign w:val="center"/>
          </w:tcPr>
          <w:p>
            <w:pPr>
              <w:spacing w:line="240" w:lineRule="auto"/>
              <w:ind w:firstLine="0" w:firstLineChars="0"/>
              <w:jc w:val="center"/>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w:t>
            </w:r>
          </w:p>
        </w:tc>
        <w:tc>
          <w:tcPr>
            <w:tcW w:w="2918" w:type="dxa"/>
            <w:noWrap w:val="0"/>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eastAsia="宋体" w:cs="Times New Roman"/>
                <w:color w:val="auto"/>
                <w:sz w:val="21"/>
                <w:szCs w:val="21"/>
                <w:shd w:val="clear" w:color="auto" w:fill="auto"/>
              </w:rPr>
              <w:t>1000吨货船60×</w:t>
            </w:r>
            <w:r>
              <w:rPr>
                <w:rFonts w:hint="eastAsia" w:cs="Times New Roman"/>
                <w:color w:val="auto"/>
                <w:sz w:val="21"/>
                <w:szCs w:val="21"/>
                <w:shd w:val="clear" w:color="auto" w:fill="auto"/>
                <w:lang w:val="en-US" w:eastAsia="zh-CN"/>
              </w:rPr>
              <w:t>10.8</w:t>
            </w:r>
            <w:r>
              <w:rPr>
                <w:rFonts w:hint="eastAsia" w:eastAsia="宋体" w:cs="Times New Roman"/>
                <w:color w:val="auto"/>
                <w:sz w:val="21"/>
                <w:szCs w:val="21"/>
                <w:shd w:val="clear" w:color="auto" w:fill="auto"/>
              </w:rPr>
              <w:t>×3.0</w:t>
            </w:r>
            <w:r>
              <w:rPr>
                <w:rFonts w:hint="eastAsia" w:cs="Times New Roman"/>
                <w:color w:val="auto"/>
                <w:sz w:val="21"/>
                <w:szCs w:val="21"/>
                <w:shd w:val="clear" w:color="auto" w:fill="auto"/>
                <w:lang w:eastAsia="zh-CN"/>
              </w:rPr>
              <w:t>m</w:t>
            </w:r>
          </w:p>
        </w:tc>
        <w:tc>
          <w:tcPr>
            <w:tcW w:w="185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10" w:type="dxa"/>
            <w:vMerge w:val="restart"/>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4</w:t>
            </w:r>
          </w:p>
        </w:tc>
        <w:tc>
          <w:tcPr>
            <w:tcW w:w="1079" w:type="dxa"/>
            <w:vMerge w:val="restart"/>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设计水位</w:t>
            </w:r>
          </w:p>
        </w:tc>
        <w:tc>
          <w:tcPr>
            <w:tcW w:w="151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设计高水位</w:t>
            </w:r>
          </w:p>
        </w:tc>
        <w:tc>
          <w:tcPr>
            <w:tcW w:w="874" w:type="dxa"/>
            <w:noWrap w:val="0"/>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eastAsia="zh-CN"/>
              </w:rPr>
              <w:t>m</w:t>
            </w:r>
          </w:p>
        </w:tc>
        <w:tc>
          <w:tcPr>
            <w:tcW w:w="2918"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cs="Times New Roman"/>
                <w:color w:val="auto"/>
                <w:sz w:val="21"/>
                <w:szCs w:val="21"/>
                <w:shd w:val="clear" w:color="auto" w:fill="auto"/>
                <w:lang w:val="en-US" w:eastAsia="zh-CN"/>
              </w:rPr>
              <w:t>32.8</w:t>
            </w:r>
            <w:r>
              <w:rPr>
                <w:rFonts w:hint="eastAsia" w:cs="Times New Roman"/>
                <w:color w:val="auto"/>
                <w:sz w:val="21"/>
                <w:szCs w:val="21"/>
                <w:shd w:val="clear" w:color="auto" w:fill="auto"/>
                <w:lang w:eastAsia="zh-CN"/>
              </w:rPr>
              <w:t>m</w:t>
            </w:r>
            <w:r>
              <w:rPr>
                <w:rFonts w:hint="eastAsia" w:eastAsia="宋体" w:cs="Times New Roman"/>
                <w:color w:val="auto"/>
                <w:sz w:val="21"/>
                <w:szCs w:val="21"/>
                <w:shd w:val="clear" w:color="auto" w:fill="auto"/>
              </w:rPr>
              <w:t>（平滩水位）</w:t>
            </w:r>
          </w:p>
        </w:tc>
        <w:tc>
          <w:tcPr>
            <w:tcW w:w="1850" w:type="dxa"/>
            <w:vMerge w:val="restart"/>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1985国家高程基准</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10" w:type="dxa"/>
            <w:vMerge w:val="continue"/>
            <w:noWrap w:val="0"/>
            <w:vAlign w:val="center"/>
          </w:tcPr>
          <w:p>
            <w:pPr>
              <w:spacing w:line="240" w:lineRule="auto"/>
              <w:ind w:firstLine="0" w:firstLineChars="0"/>
              <w:jc w:val="center"/>
              <w:rPr>
                <w:rFonts w:hint="eastAsia" w:eastAsia="宋体" w:cs="Times New Roman"/>
                <w:color w:val="auto"/>
                <w:sz w:val="21"/>
                <w:szCs w:val="21"/>
                <w:shd w:val="clear" w:color="auto" w:fill="auto"/>
              </w:rPr>
            </w:pPr>
          </w:p>
        </w:tc>
        <w:tc>
          <w:tcPr>
            <w:tcW w:w="1079" w:type="dxa"/>
            <w:vMerge w:val="continue"/>
            <w:noWrap w:val="0"/>
            <w:vAlign w:val="center"/>
          </w:tcPr>
          <w:p>
            <w:pPr>
              <w:spacing w:line="240" w:lineRule="auto"/>
              <w:ind w:firstLine="0" w:firstLineChars="0"/>
              <w:jc w:val="center"/>
              <w:rPr>
                <w:rFonts w:hint="eastAsia" w:eastAsia="宋体" w:cs="Times New Roman"/>
                <w:color w:val="auto"/>
                <w:sz w:val="21"/>
                <w:szCs w:val="21"/>
                <w:shd w:val="clear" w:color="auto" w:fill="auto"/>
              </w:rPr>
            </w:pPr>
          </w:p>
        </w:tc>
        <w:tc>
          <w:tcPr>
            <w:tcW w:w="151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设计低水位</w:t>
            </w:r>
          </w:p>
        </w:tc>
        <w:tc>
          <w:tcPr>
            <w:tcW w:w="874" w:type="dxa"/>
            <w:noWrap w:val="0"/>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eastAsia="zh-CN"/>
              </w:rPr>
              <w:t>m</w:t>
            </w:r>
          </w:p>
        </w:tc>
        <w:tc>
          <w:tcPr>
            <w:tcW w:w="2918"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cs="Times New Roman"/>
                <w:color w:val="auto"/>
                <w:sz w:val="21"/>
                <w:szCs w:val="21"/>
                <w:shd w:val="clear" w:color="auto" w:fill="auto"/>
                <w:lang w:val="en-US" w:eastAsia="zh-CN"/>
              </w:rPr>
              <w:t>24.5</w:t>
            </w:r>
            <w:r>
              <w:rPr>
                <w:rFonts w:hint="eastAsia" w:cs="Times New Roman"/>
                <w:color w:val="auto"/>
                <w:sz w:val="21"/>
                <w:szCs w:val="21"/>
                <w:shd w:val="clear" w:color="auto" w:fill="auto"/>
                <w:lang w:eastAsia="zh-CN"/>
              </w:rPr>
              <w:t>m</w:t>
            </w:r>
            <w:r>
              <w:rPr>
                <w:rFonts w:hint="eastAsia" w:eastAsia="宋体" w:cs="Times New Roman"/>
                <w:color w:val="auto"/>
                <w:sz w:val="21"/>
                <w:szCs w:val="21"/>
                <w:shd w:val="clear" w:color="auto" w:fill="auto"/>
              </w:rPr>
              <w:t>（98%保证率）</w:t>
            </w:r>
          </w:p>
        </w:tc>
        <w:tc>
          <w:tcPr>
            <w:tcW w:w="1850" w:type="dxa"/>
            <w:vMerge w:val="continue"/>
            <w:noWrap w:val="0"/>
            <w:vAlign w:val="center"/>
          </w:tcPr>
          <w:p>
            <w:pPr>
              <w:spacing w:line="240" w:lineRule="auto"/>
              <w:ind w:firstLine="0" w:firstLineChars="0"/>
              <w:jc w:val="center"/>
              <w:rPr>
                <w:rFonts w:hint="eastAsia" w:eastAsia="宋体" w:cs="Times New Roman"/>
                <w:color w:val="auto"/>
                <w:sz w:val="21"/>
                <w:szCs w:val="21"/>
                <w:shd w:val="clear" w:color="auto" w:fil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10" w:type="dxa"/>
            <w:vMerge w:val="restart"/>
            <w:noWrap w:val="0"/>
            <w:vAlign w:val="center"/>
          </w:tcPr>
          <w:p>
            <w:pPr>
              <w:spacing w:line="240" w:lineRule="auto"/>
              <w:ind w:firstLine="0" w:firstLineChars="0"/>
              <w:jc w:val="center"/>
              <w:rPr>
                <w:rFonts w:hint="eastAsia" w:eastAsia="宋体" w:cs="Times New Roman"/>
                <w:color w:val="auto"/>
                <w:sz w:val="21"/>
                <w:szCs w:val="21"/>
                <w:shd w:val="clear" w:color="auto" w:fill="auto"/>
              </w:rPr>
            </w:pPr>
          </w:p>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5</w:t>
            </w:r>
          </w:p>
        </w:tc>
        <w:tc>
          <w:tcPr>
            <w:tcW w:w="1079" w:type="dxa"/>
            <w:vMerge w:val="restart"/>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设计高程</w:t>
            </w:r>
          </w:p>
        </w:tc>
        <w:tc>
          <w:tcPr>
            <w:tcW w:w="151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码头面高程</w:t>
            </w:r>
          </w:p>
        </w:tc>
        <w:tc>
          <w:tcPr>
            <w:tcW w:w="874" w:type="dxa"/>
            <w:noWrap w:val="0"/>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eastAsia="zh-CN"/>
              </w:rPr>
              <w:t>m</w:t>
            </w:r>
          </w:p>
        </w:tc>
        <w:tc>
          <w:tcPr>
            <w:tcW w:w="2918" w:type="dxa"/>
            <w:noWrap w:val="0"/>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33.0</w:t>
            </w:r>
          </w:p>
        </w:tc>
        <w:tc>
          <w:tcPr>
            <w:tcW w:w="185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10" w:type="dxa"/>
            <w:vMerge w:val="continue"/>
            <w:noWrap w:val="0"/>
            <w:vAlign w:val="center"/>
          </w:tcPr>
          <w:p>
            <w:pPr>
              <w:spacing w:line="240" w:lineRule="auto"/>
              <w:ind w:firstLine="0" w:firstLineChars="0"/>
              <w:jc w:val="center"/>
              <w:rPr>
                <w:rFonts w:hint="eastAsia" w:eastAsia="宋体" w:cs="Times New Roman"/>
                <w:color w:val="auto"/>
                <w:sz w:val="21"/>
                <w:szCs w:val="21"/>
                <w:shd w:val="clear" w:color="auto" w:fill="auto"/>
              </w:rPr>
            </w:pPr>
          </w:p>
        </w:tc>
        <w:tc>
          <w:tcPr>
            <w:tcW w:w="1079" w:type="dxa"/>
            <w:vMerge w:val="continue"/>
            <w:noWrap w:val="0"/>
            <w:vAlign w:val="center"/>
          </w:tcPr>
          <w:p>
            <w:pPr>
              <w:spacing w:line="240" w:lineRule="auto"/>
              <w:ind w:firstLine="0" w:firstLineChars="0"/>
              <w:jc w:val="center"/>
              <w:rPr>
                <w:rFonts w:hint="eastAsia" w:eastAsia="宋体" w:cs="Times New Roman"/>
                <w:color w:val="auto"/>
                <w:sz w:val="21"/>
                <w:szCs w:val="21"/>
                <w:shd w:val="clear" w:color="auto" w:fill="auto"/>
              </w:rPr>
            </w:pPr>
          </w:p>
        </w:tc>
        <w:tc>
          <w:tcPr>
            <w:tcW w:w="151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港池底高程</w:t>
            </w:r>
          </w:p>
        </w:tc>
        <w:tc>
          <w:tcPr>
            <w:tcW w:w="874" w:type="dxa"/>
            <w:noWrap w:val="0"/>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eastAsia="zh-CN"/>
              </w:rPr>
              <w:t>m</w:t>
            </w:r>
          </w:p>
        </w:tc>
        <w:tc>
          <w:tcPr>
            <w:tcW w:w="2918" w:type="dxa"/>
            <w:noWrap w:val="0"/>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21.0</w:t>
            </w:r>
          </w:p>
        </w:tc>
        <w:tc>
          <w:tcPr>
            <w:tcW w:w="185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1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6</w:t>
            </w:r>
          </w:p>
        </w:tc>
        <w:tc>
          <w:tcPr>
            <w:tcW w:w="2594" w:type="dxa"/>
            <w:gridSpan w:val="2"/>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泊位数</w:t>
            </w:r>
          </w:p>
        </w:tc>
        <w:tc>
          <w:tcPr>
            <w:tcW w:w="874"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个</w:t>
            </w:r>
          </w:p>
        </w:tc>
        <w:tc>
          <w:tcPr>
            <w:tcW w:w="2918"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3</w:t>
            </w:r>
          </w:p>
        </w:tc>
        <w:tc>
          <w:tcPr>
            <w:tcW w:w="185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1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7</w:t>
            </w:r>
          </w:p>
        </w:tc>
        <w:tc>
          <w:tcPr>
            <w:tcW w:w="2594" w:type="dxa"/>
            <w:gridSpan w:val="2"/>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占用岸线长度</w:t>
            </w:r>
          </w:p>
        </w:tc>
        <w:tc>
          <w:tcPr>
            <w:tcW w:w="874" w:type="dxa"/>
            <w:noWrap w:val="0"/>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eastAsia="zh-CN"/>
              </w:rPr>
              <w:t>m</w:t>
            </w:r>
          </w:p>
        </w:tc>
        <w:tc>
          <w:tcPr>
            <w:tcW w:w="2918" w:type="dxa"/>
            <w:noWrap w:val="0"/>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220</w:t>
            </w:r>
          </w:p>
        </w:tc>
        <w:tc>
          <w:tcPr>
            <w:tcW w:w="185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1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8</w:t>
            </w:r>
          </w:p>
        </w:tc>
        <w:tc>
          <w:tcPr>
            <w:tcW w:w="2594" w:type="dxa"/>
            <w:gridSpan w:val="2"/>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码头尺度</w:t>
            </w:r>
          </w:p>
        </w:tc>
        <w:tc>
          <w:tcPr>
            <w:tcW w:w="874" w:type="dxa"/>
            <w:noWrap w:val="0"/>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eastAsia="zh-CN"/>
              </w:rPr>
              <w:t>m</w:t>
            </w:r>
          </w:p>
        </w:tc>
        <w:tc>
          <w:tcPr>
            <w:tcW w:w="2918" w:type="dxa"/>
            <w:noWrap w:val="0"/>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val="en-US" w:eastAsia="zh-CN"/>
              </w:rPr>
              <w:t>220</w:t>
            </w:r>
            <w:r>
              <w:rPr>
                <w:rFonts w:hint="eastAsia" w:eastAsia="宋体" w:cs="Times New Roman"/>
                <w:color w:val="auto"/>
                <w:sz w:val="21"/>
                <w:szCs w:val="21"/>
                <w:shd w:val="clear" w:color="auto" w:fill="auto"/>
              </w:rPr>
              <w:t>×2</w:t>
            </w:r>
            <w:r>
              <w:rPr>
                <w:rFonts w:hint="eastAsia" w:cs="Times New Roman"/>
                <w:color w:val="auto"/>
                <w:sz w:val="21"/>
                <w:szCs w:val="21"/>
                <w:shd w:val="clear" w:color="auto" w:fill="auto"/>
                <w:lang w:val="en-US" w:eastAsia="zh-CN"/>
              </w:rPr>
              <w:t>5</w:t>
            </w:r>
          </w:p>
        </w:tc>
        <w:tc>
          <w:tcPr>
            <w:tcW w:w="185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1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9</w:t>
            </w:r>
          </w:p>
        </w:tc>
        <w:tc>
          <w:tcPr>
            <w:tcW w:w="2594" w:type="dxa"/>
            <w:gridSpan w:val="2"/>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征地面积</w:t>
            </w:r>
          </w:p>
        </w:tc>
        <w:tc>
          <w:tcPr>
            <w:tcW w:w="874"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亩</w:t>
            </w:r>
          </w:p>
        </w:tc>
        <w:tc>
          <w:tcPr>
            <w:tcW w:w="2918"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河滩地54.2亩，陆域</w:t>
            </w:r>
            <w:r>
              <w:rPr>
                <w:rFonts w:hint="eastAsia" w:cs="Times New Roman"/>
                <w:color w:val="auto"/>
                <w:sz w:val="21"/>
                <w:szCs w:val="21"/>
                <w:shd w:val="clear" w:color="auto" w:fill="auto"/>
                <w:lang w:val="en-US" w:eastAsia="zh-CN"/>
              </w:rPr>
              <w:t>3</w:t>
            </w:r>
            <w:r>
              <w:rPr>
                <w:rFonts w:hint="eastAsia" w:eastAsia="宋体" w:cs="Times New Roman"/>
                <w:color w:val="auto"/>
                <w:sz w:val="21"/>
                <w:szCs w:val="21"/>
                <w:shd w:val="clear" w:color="auto" w:fill="auto"/>
              </w:rPr>
              <w:t>6亩</w:t>
            </w:r>
          </w:p>
        </w:tc>
        <w:tc>
          <w:tcPr>
            <w:tcW w:w="185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10" w:type="dxa"/>
            <w:noWrap w:val="0"/>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eastAsia="宋体" w:cs="Times New Roman"/>
                <w:color w:val="auto"/>
                <w:sz w:val="21"/>
                <w:szCs w:val="21"/>
                <w:shd w:val="clear" w:color="auto" w:fill="auto"/>
              </w:rPr>
              <w:t>1</w:t>
            </w:r>
            <w:r>
              <w:rPr>
                <w:rFonts w:hint="eastAsia" w:cs="Times New Roman"/>
                <w:color w:val="auto"/>
                <w:sz w:val="21"/>
                <w:szCs w:val="21"/>
                <w:shd w:val="clear" w:color="auto" w:fill="auto"/>
                <w:lang w:val="en-US" w:eastAsia="zh-CN"/>
              </w:rPr>
              <w:t>0</w:t>
            </w:r>
          </w:p>
        </w:tc>
        <w:tc>
          <w:tcPr>
            <w:tcW w:w="2594" w:type="dxa"/>
            <w:gridSpan w:val="2"/>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主要工艺设备</w:t>
            </w:r>
          </w:p>
        </w:tc>
        <w:tc>
          <w:tcPr>
            <w:tcW w:w="874" w:type="dxa"/>
            <w:noWrap w:val="0"/>
            <w:vAlign w:val="center"/>
          </w:tcPr>
          <w:p>
            <w:pPr>
              <w:spacing w:line="240" w:lineRule="auto"/>
              <w:ind w:firstLine="0" w:firstLineChars="0"/>
              <w:jc w:val="center"/>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w:t>
            </w:r>
          </w:p>
        </w:tc>
        <w:tc>
          <w:tcPr>
            <w:tcW w:w="2918"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固定吊、装车料斗、自卸汽车</w:t>
            </w:r>
          </w:p>
        </w:tc>
        <w:tc>
          <w:tcPr>
            <w:tcW w:w="185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p>
        </w:tc>
      </w:tr>
    </w:tbl>
    <w:p>
      <w:pPr>
        <w:rPr>
          <w:rFonts w:hint="eastAsia"/>
          <w:color w:val="auto"/>
          <w:shd w:val="clear" w:color="auto" w:fill="auto"/>
        </w:rPr>
      </w:pPr>
    </w:p>
    <w:p>
      <w:pPr>
        <w:pStyle w:val="5"/>
        <w:rPr>
          <w:color w:val="auto"/>
          <w:shd w:val="clear" w:color="auto" w:fill="auto"/>
        </w:rPr>
      </w:pPr>
      <w:r>
        <w:rPr>
          <w:rFonts w:hint="eastAsia"/>
          <w:color w:val="auto"/>
          <w:shd w:val="clear" w:color="auto" w:fill="auto"/>
        </w:rPr>
        <w:t>2.</w:t>
      </w:r>
      <w:r>
        <w:rPr>
          <w:rFonts w:hint="eastAsia"/>
          <w:color w:val="auto"/>
          <w:shd w:val="clear" w:color="auto" w:fill="auto"/>
          <w:lang w:val="en-US" w:eastAsia="zh-CN"/>
        </w:rPr>
        <w:t>1.3</w:t>
      </w:r>
      <w:r>
        <w:rPr>
          <w:rFonts w:hint="eastAsia"/>
          <w:color w:val="auto"/>
          <w:shd w:val="clear" w:color="auto" w:fill="auto"/>
        </w:rPr>
        <w:t xml:space="preserve"> </w:t>
      </w:r>
      <w:bookmarkEnd w:id="132"/>
      <w:bookmarkEnd w:id="133"/>
      <w:bookmarkEnd w:id="134"/>
      <w:bookmarkEnd w:id="135"/>
      <w:bookmarkEnd w:id="136"/>
      <w:bookmarkEnd w:id="137"/>
      <w:bookmarkEnd w:id="138"/>
      <w:bookmarkEnd w:id="139"/>
      <w:bookmarkEnd w:id="140"/>
      <w:r>
        <w:rPr>
          <w:rFonts w:hint="eastAsia"/>
          <w:color w:val="auto"/>
          <w:shd w:val="clear" w:color="auto" w:fill="auto"/>
        </w:rPr>
        <w:t>总平面布置</w:t>
      </w:r>
      <w:bookmarkEnd w:id="141"/>
      <w:bookmarkEnd w:id="142"/>
    </w:p>
    <w:p>
      <w:pPr>
        <w:ind w:firstLine="484" w:firstLineChars="202"/>
        <w:rPr>
          <w:rFonts w:hint="eastAsia"/>
          <w:color w:val="auto"/>
          <w:szCs w:val="21"/>
          <w:shd w:val="clear" w:color="auto" w:fill="auto"/>
        </w:rPr>
      </w:pPr>
      <w:r>
        <w:rPr>
          <w:rFonts w:hint="eastAsia"/>
          <w:color w:val="auto"/>
          <w:szCs w:val="21"/>
          <w:shd w:val="clear" w:color="auto" w:fill="auto"/>
          <w:lang w:eastAsia="zh-CN"/>
        </w:rPr>
        <w:t>本</w:t>
      </w:r>
      <w:r>
        <w:rPr>
          <w:rFonts w:hint="eastAsia"/>
          <w:color w:val="auto"/>
          <w:szCs w:val="21"/>
          <w:shd w:val="clear" w:color="auto" w:fill="auto"/>
        </w:rPr>
        <w:t>工程共建设3个散货泊位，切滩后退形成港池，自上游向下游连续布置直立式泊位。</w:t>
      </w:r>
    </w:p>
    <w:p>
      <w:pPr>
        <w:bidi w:val="0"/>
        <w:rPr>
          <w:color w:val="auto"/>
          <w:shd w:val="clear" w:color="auto" w:fill="auto"/>
        </w:rPr>
      </w:pPr>
      <w:r>
        <w:rPr>
          <w:rFonts w:hint="eastAsia"/>
          <w:color w:val="auto"/>
          <w:shd w:val="clear" w:color="auto" w:fill="auto"/>
          <w:lang w:val="en-US" w:eastAsia="zh-CN"/>
        </w:rPr>
        <w:t>1、</w:t>
      </w:r>
      <w:r>
        <w:rPr>
          <w:rFonts w:hint="eastAsia"/>
          <w:color w:val="auto"/>
          <w:shd w:val="clear" w:color="auto" w:fill="auto"/>
        </w:rPr>
        <w:t>前沿线布置</w:t>
      </w:r>
    </w:p>
    <w:p>
      <w:pPr>
        <w:bidi w:val="0"/>
        <w:rPr>
          <w:rFonts w:hint="eastAsia"/>
          <w:color w:val="auto"/>
          <w:shd w:val="clear" w:color="auto" w:fill="auto"/>
          <w:lang w:eastAsia="zh-CN"/>
        </w:rPr>
      </w:pPr>
      <w:r>
        <w:rPr>
          <w:rFonts w:hint="eastAsia"/>
          <w:color w:val="auto"/>
          <w:shd w:val="clear" w:color="auto" w:fill="auto"/>
        </w:rPr>
        <w:t>根据本处自然条件、航道条件和规划，码头前沿线距航道边线为101.3～104.4</w:t>
      </w:r>
      <w:r>
        <w:rPr>
          <w:rFonts w:hint="eastAsia"/>
          <w:color w:val="auto"/>
          <w:shd w:val="clear" w:color="auto" w:fill="auto"/>
          <w:lang w:eastAsia="zh-CN"/>
        </w:rPr>
        <w:t>m</w:t>
      </w:r>
      <w:r>
        <w:rPr>
          <w:rFonts w:hint="eastAsia"/>
          <w:color w:val="auto"/>
          <w:shd w:val="clear" w:color="auto" w:fill="auto"/>
        </w:rPr>
        <w:t>，停泊</w:t>
      </w:r>
      <w:r>
        <w:rPr>
          <w:color w:val="auto"/>
          <w:shd w:val="clear" w:color="auto" w:fill="auto"/>
        </w:rPr>
        <w:t>水域</w:t>
      </w:r>
      <w:r>
        <w:rPr>
          <w:rFonts w:hint="eastAsia"/>
          <w:color w:val="auto"/>
          <w:shd w:val="clear" w:color="auto" w:fill="auto"/>
        </w:rPr>
        <w:t>不占用主航道</w:t>
      </w:r>
      <w:r>
        <w:rPr>
          <w:rFonts w:hint="eastAsia"/>
          <w:color w:val="auto"/>
          <w:shd w:val="clear" w:color="auto" w:fill="auto"/>
          <w:lang w:eastAsia="zh-CN"/>
        </w:rPr>
        <w:t>。</w:t>
      </w:r>
    </w:p>
    <w:p>
      <w:pPr>
        <w:bidi w:val="0"/>
        <w:rPr>
          <w:color w:val="auto"/>
          <w:shd w:val="clear" w:color="auto" w:fill="auto"/>
        </w:rPr>
      </w:pPr>
      <w:r>
        <w:rPr>
          <w:rFonts w:hint="eastAsia"/>
          <w:color w:val="auto"/>
          <w:shd w:val="clear" w:color="auto" w:fill="auto"/>
          <w:lang w:val="en-US" w:eastAsia="zh-CN"/>
        </w:rPr>
        <w:t>2、</w:t>
      </w:r>
      <w:r>
        <w:rPr>
          <w:rFonts w:hint="eastAsia"/>
          <w:color w:val="auto"/>
          <w:shd w:val="clear" w:color="auto" w:fill="auto"/>
        </w:rPr>
        <w:t>码头</w:t>
      </w:r>
      <w:r>
        <w:rPr>
          <w:color w:val="auto"/>
          <w:shd w:val="clear" w:color="auto" w:fill="auto"/>
        </w:rPr>
        <w:t>平面布置</w:t>
      </w:r>
    </w:p>
    <w:p>
      <w:pPr>
        <w:spacing w:line="360" w:lineRule="auto"/>
        <w:ind w:firstLine="480" w:firstLineChars="200"/>
        <w:rPr>
          <w:rFonts w:hint="eastAsia"/>
          <w:color w:val="auto"/>
          <w:szCs w:val="21"/>
          <w:shd w:val="clear" w:color="auto" w:fill="auto"/>
          <w:lang w:eastAsia="zh-CN"/>
        </w:rPr>
      </w:pPr>
      <w:bookmarkStart w:id="143" w:name="_Toc502826033"/>
      <w:bookmarkStart w:id="144" w:name="_Toc340409367"/>
      <w:bookmarkStart w:id="145" w:name="_Toc347392985"/>
      <w:r>
        <w:rPr>
          <w:rFonts w:hint="eastAsia"/>
          <w:color w:val="auto"/>
          <w:szCs w:val="21"/>
          <w:shd w:val="clear" w:color="auto" w:fill="auto"/>
          <w:lang w:eastAsia="zh-CN"/>
        </w:rPr>
        <w:t>泊位从规划岸线最下游端依次往上布置3个1000吨级连续直立式泊位。码头平台长220m，宽25m，后方通过挡墙与滩地连成整体，考虑到车辆行驶，码头后方设置一条5m宽加宽道路。码头上下游各设置一条9m宽循环道路，疏港道路宽15m，斜向上堤顶后与现有大堤道路平交连接。</w:t>
      </w:r>
    </w:p>
    <w:p>
      <w:pPr>
        <w:spacing w:line="360" w:lineRule="auto"/>
        <w:ind w:firstLine="480" w:firstLineChars="200"/>
        <w:rPr>
          <w:color w:val="auto"/>
          <w:shd w:val="clear" w:color="auto" w:fill="auto"/>
        </w:rPr>
      </w:pPr>
      <w:r>
        <w:rPr>
          <w:rFonts w:hint="eastAsia"/>
          <w:color w:val="auto"/>
          <w:shd w:val="clear" w:color="auto" w:fill="auto"/>
        </w:rPr>
        <w:t>码头配套的管理用房</w:t>
      </w:r>
      <w:r>
        <w:rPr>
          <w:rFonts w:hint="eastAsia"/>
          <w:color w:val="auto"/>
          <w:shd w:val="clear" w:color="auto" w:fill="auto"/>
          <w:lang w:eastAsia="zh-CN"/>
        </w:rPr>
        <w:t>、配电房、移动厕所，以及三级</w:t>
      </w:r>
      <w:r>
        <w:rPr>
          <w:rFonts w:hint="eastAsia"/>
          <w:color w:val="auto"/>
          <w:shd w:val="clear" w:color="auto" w:fill="auto"/>
        </w:rPr>
        <w:t>沉淀池、</w:t>
      </w:r>
      <w:r>
        <w:rPr>
          <w:rFonts w:hint="eastAsia"/>
          <w:color w:val="auto"/>
          <w:shd w:val="clear" w:color="auto" w:fill="auto"/>
          <w:lang w:eastAsia="zh-CN"/>
        </w:rPr>
        <w:t>隔油沉淀池、</w:t>
      </w:r>
      <w:r>
        <w:rPr>
          <w:rFonts w:hint="eastAsia"/>
          <w:color w:val="auto"/>
          <w:shd w:val="clear" w:color="auto" w:fill="auto"/>
        </w:rPr>
        <w:t>地磅等均布置在码头平台后方的滩地上。</w:t>
      </w:r>
    </w:p>
    <w:bookmarkEnd w:id="143"/>
    <w:bookmarkEnd w:id="144"/>
    <w:bookmarkEnd w:id="145"/>
    <w:p>
      <w:pPr>
        <w:pStyle w:val="5"/>
        <w:rPr>
          <w:color w:val="auto"/>
          <w:shd w:val="clear" w:color="auto" w:fill="auto"/>
        </w:rPr>
      </w:pPr>
      <w:bookmarkStart w:id="146" w:name="_Toc31282_WPSOffice_Level2"/>
      <w:bookmarkStart w:id="147" w:name="_Toc13977_WPSOffice_Level2"/>
      <w:r>
        <w:rPr>
          <w:rFonts w:hint="eastAsia"/>
          <w:color w:val="auto"/>
          <w:shd w:val="clear" w:color="auto" w:fill="auto"/>
        </w:rPr>
        <w:t>2.</w:t>
      </w:r>
      <w:r>
        <w:rPr>
          <w:rFonts w:hint="eastAsia"/>
          <w:color w:val="auto"/>
          <w:shd w:val="clear" w:color="auto" w:fill="auto"/>
          <w:lang w:val="en-US" w:eastAsia="zh-CN"/>
        </w:rPr>
        <w:t>1.4</w:t>
      </w:r>
      <w:r>
        <w:rPr>
          <w:rFonts w:hint="eastAsia"/>
          <w:color w:val="auto"/>
          <w:shd w:val="clear" w:color="auto" w:fill="auto"/>
        </w:rPr>
        <w:t xml:space="preserve"> 装卸工艺</w:t>
      </w:r>
      <w:bookmarkEnd w:id="146"/>
      <w:bookmarkEnd w:id="147"/>
    </w:p>
    <w:p>
      <w:pPr>
        <w:pStyle w:val="6"/>
        <w:bidi w:val="0"/>
        <w:rPr>
          <w:rFonts w:hint="eastAsia"/>
          <w:color w:val="auto"/>
          <w:shd w:val="clear" w:color="auto" w:fill="auto"/>
        </w:rPr>
      </w:pPr>
      <w:bookmarkStart w:id="148" w:name="_Toc340409371"/>
      <w:bookmarkStart w:id="149" w:name="_Toc347392989"/>
      <w:bookmarkStart w:id="150" w:name="_Toc301084628"/>
      <w:bookmarkStart w:id="151" w:name="_Toc502826037"/>
      <w:bookmarkStart w:id="152" w:name="_Toc309108677"/>
      <w:r>
        <w:rPr>
          <w:rFonts w:hint="eastAsia"/>
          <w:color w:val="auto"/>
          <w:shd w:val="clear" w:color="auto" w:fill="auto"/>
        </w:rPr>
        <w:t>2.</w:t>
      </w:r>
      <w:r>
        <w:rPr>
          <w:rFonts w:hint="eastAsia"/>
          <w:color w:val="auto"/>
          <w:shd w:val="clear" w:color="auto" w:fill="auto"/>
          <w:lang w:val="en-US" w:eastAsia="zh-CN"/>
        </w:rPr>
        <w:t>1.4.1</w:t>
      </w:r>
      <w:r>
        <w:rPr>
          <w:rFonts w:hint="eastAsia"/>
          <w:color w:val="auto"/>
          <w:shd w:val="clear" w:color="auto" w:fill="auto"/>
        </w:rPr>
        <w:t>主要设计参数</w:t>
      </w:r>
      <w:bookmarkEnd w:id="148"/>
      <w:bookmarkEnd w:id="149"/>
      <w:bookmarkEnd w:id="150"/>
      <w:bookmarkEnd w:id="151"/>
      <w:bookmarkEnd w:id="152"/>
    </w:p>
    <w:p>
      <w:pPr>
        <w:pStyle w:val="43"/>
        <w:rPr>
          <w:rFonts w:hint="eastAsia"/>
          <w:color w:val="auto"/>
          <w:sz w:val="21"/>
          <w:szCs w:val="21"/>
          <w:shd w:val="clear" w:color="auto" w:fill="auto"/>
        </w:rPr>
      </w:pPr>
      <w:r>
        <w:rPr>
          <w:rFonts w:hint="eastAsia"/>
          <w:color w:val="auto"/>
          <w:sz w:val="21"/>
          <w:szCs w:val="21"/>
          <w:shd w:val="clear" w:color="auto" w:fill="auto"/>
          <w:lang w:val="en-US" w:eastAsia="zh-CN"/>
        </w:rPr>
        <w:t xml:space="preserve">表2.1-4 </w:t>
      </w:r>
      <w:r>
        <w:rPr>
          <w:rFonts w:hint="eastAsia"/>
          <w:color w:val="auto"/>
          <w:sz w:val="21"/>
          <w:szCs w:val="21"/>
          <w:shd w:val="clear" w:color="auto" w:fill="auto"/>
        </w:rPr>
        <w:t>主要货种物理特性</w:t>
      </w:r>
    </w:p>
    <w:tbl>
      <w:tblPr>
        <w:tblStyle w:val="26"/>
        <w:tblW w:w="87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09"/>
        <w:gridCol w:w="3285"/>
        <w:gridCol w:w="31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9"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货种</w:t>
            </w:r>
          </w:p>
        </w:tc>
        <w:tc>
          <w:tcPr>
            <w:tcW w:w="328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物理特性</w:t>
            </w:r>
          </w:p>
        </w:tc>
        <w:tc>
          <w:tcPr>
            <w:tcW w:w="3194"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9"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黄砂</w:t>
            </w:r>
          </w:p>
        </w:tc>
        <w:tc>
          <w:tcPr>
            <w:tcW w:w="328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1.3～1.6g/c</w:t>
            </w:r>
            <w:r>
              <w:rPr>
                <w:rFonts w:hint="eastAsia" w:cs="Times New Roman"/>
                <w:color w:val="auto"/>
                <w:sz w:val="21"/>
                <w:szCs w:val="21"/>
                <w:shd w:val="clear" w:color="auto" w:fill="auto"/>
                <w:vertAlign w:val="baseline"/>
                <w:lang w:eastAsia="zh-CN"/>
              </w:rPr>
              <w:t>m</w:t>
            </w:r>
            <w:r>
              <w:rPr>
                <w:rFonts w:hint="eastAsia" w:cs="Times New Roman"/>
                <w:color w:val="auto"/>
                <w:sz w:val="21"/>
                <w:szCs w:val="21"/>
                <w:shd w:val="clear" w:color="auto" w:fill="auto"/>
                <w:vertAlign w:val="superscript"/>
                <w:lang w:eastAsia="zh-CN"/>
              </w:rPr>
              <w:t>3</w:t>
            </w:r>
          </w:p>
        </w:tc>
        <w:tc>
          <w:tcPr>
            <w:tcW w:w="3194"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块、粒状固体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9"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碎石</w:t>
            </w:r>
          </w:p>
        </w:tc>
        <w:tc>
          <w:tcPr>
            <w:tcW w:w="328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1.5～1.8g/c</w:t>
            </w:r>
            <w:r>
              <w:rPr>
                <w:rFonts w:hint="eastAsia" w:cs="Times New Roman"/>
                <w:color w:val="auto"/>
                <w:sz w:val="21"/>
                <w:szCs w:val="21"/>
                <w:shd w:val="clear" w:color="auto" w:fill="auto"/>
                <w:vertAlign w:val="baseline"/>
                <w:lang w:eastAsia="zh-CN"/>
              </w:rPr>
              <w:t>m</w:t>
            </w:r>
            <w:r>
              <w:rPr>
                <w:rFonts w:hint="eastAsia" w:cs="Times New Roman"/>
                <w:color w:val="auto"/>
                <w:sz w:val="21"/>
                <w:szCs w:val="21"/>
                <w:shd w:val="clear" w:color="auto" w:fill="auto"/>
                <w:vertAlign w:val="superscript"/>
                <w:lang w:eastAsia="zh-CN"/>
              </w:rPr>
              <w:t>3</w:t>
            </w:r>
          </w:p>
        </w:tc>
        <w:tc>
          <w:tcPr>
            <w:tcW w:w="3194" w:type="dxa"/>
            <w:noWrap w:val="0"/>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eastAsia="宋体" w:cs="Times New Roman"/>
                <w:color w:val="auto"/>
                <w:sz w:val="21"/>
                <w:szCs w:val="21"/>
                <w:shd w:val="clear" w:color="auto" w:fill="auto"/>
              </w:rPr>
              <w:t>块状，块径≤10c</w:t>
            </w:r>
            <w:r>
              <w:rPr>
                <w:rFonts w:hint="eastAsia" w:cs="Times New Roman"/>
                <w:color w:val="auto"/>
                <w:sz w:val="21"/>
                <w:szCs w:val="21"/>
                <w:shd w:val="clear" w:color="auto" w:fill="auto"/>
                <w:lang w:eastAsia="zh-CN"/>
              </w:rPr>
              <w:t>m</w:t>
            </w:r>
          </w:p>
        </w:tc>
      </w:tr>
    </w:tbl>
    <w:p>
      <w:pPr>
        <w:pStyle w:val="43"/>
        <w:rPr>
          <w:rFonts w:hint="eastAsia"/>
          <w:color w:val="auto"/>
          <w:shd w:val="clear" w:color="auto" w:fill="auto"/>
          <w:lang w:val="en-US" w:eastAsia="zh-CN"/>
        </w:rPr>
      </w:pPr>
    </w:p>
    <w:p>
      <w:pPr>
        <w:pStyle w:val="43"/>
        <w:rPr>
          <w:rFonts w:hint="eastAsia"/>
          <w:color w:val="auto"/>
          <w:sz w:val="21"/>
          <w:szCs w:val="21"/>
          <w:shd w:val="clear" w:color="auto" w:fill="auto"/>
        </w:rPr>
      </w:pPr>
      <w:r>
        <w:rPr>
          <w:rFonts w:hint="eastAsia"/>
          <w:color w:val="auto"/>
          <w:sz w:val="21"/>
          <w:szCs w:val="21"/>
          <w:shd w:val="clear" w:color="auto" w:fill="auto"/>
          <w:lang w:val="en-US" w:eastAsia="zh-CN"/>
        </w:rPr>
        <w:t xml:space="preserve">表2.1-5 </w:t>
      </w:r>
      <w:r>
        <w:rPr>
          <w:rFonts w:hint="eastAsia"/>
          <w:color w:val="auto"/>
          <w:sz w:val="21"/>
          <w:szCs w:val="21"/>
          <w:shd w:val="clear" w:color="auto" w:fill="auto"/>
        </w:rPr>
        <w:t>主要货种、吞吐量及泊位利用率</w:t>
      </w:r>
    </w:p>
    <w:tbl>
      <w:tblPr>
        <w:tblStyle w:val="26"/>
        <w:tblW w:w="87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95"/>
        <w:gridCol w:w="1575"/>
        <w:gridCol w:w="1695"/>
        <w:gridCol w:w="1605"/>
        <w:gridCol w:w="1995"/>
        <w:gridCol w:w="11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序号</w:t>
            </w:r>
          </w:p>
        </w:tc>
        <w:tc>
          <w:tcPr>
            <w:tcW w:w="157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货种</w:t>
            </w:r>
          </w:p>
        </w:tc>
        <w:tc>
          <w:tcPr>
            <w:tcW w:w="169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进口运量(万吨)</w:t>
            </w:r>
          </w:p>
        </w:tc>
        <w:tc>
          <w:tcPr>
            <w:tcW w:w="160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设计船型(吨)</w:t>
            </w:r>
          </w:p>
        </w:tc>
        <w:tc>
          <w:tcPr>
            <w:tcW w:w="199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港口生产不平衡系数</w:t>
            </w:r>
          </w:p>
        </w:tc>
        <w:tc>
          <w:tcPr>
            <w:tcW w:w="117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1</w:t>
            </w:r>
          </w:p>
        </w:tc>
        <w:tc>
          <w:tcPr>
            <w:tcW w:w="157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黄砂、碎石</w:t>
            </w:r>
          </w:p>
        </w:tc>
        <w:tc>
          <w:tcPr>
            <w:tcW w:w="1695" w:type="dxa"/>
            <w:noWrap w:val="0"/>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eastAsia="zh-CN"/>
              </w:rPr>
              <w:t>150</w:t>
            </w:r>
          </w:p>
        </w:tc>
        <w:tc>
          <w:tcPr>
            <w:tcW w:w="160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1000</w:t>
            </w:r>
          </w:p>
        </w:tc>
        <w:tc>
          <w:tcPr>
            <w:tcW w:w="199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1.3</w:t>
            </w:r>
          </w:p>
        </w:tc>
        <w:tc>
          <w:tcPr>
            <w:tcW w:w="1175"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散货进口</w:t>
            </w:r>
          </w:p>
        </w:tc>
      </w:tr>
    </w:tbl>
    <w:p>
      <w:pPr>
        <w:pStyle w:val="43"/>
        <w:rPr>
          <w:rFonts w:hint="eastAsia"/>
          <w:color w:val="auto"/>
          <w:shd w:val="clear" w:color="auto" w:fill="auto"/>
          <w:lang w:val="en-US" w:eastAsia="zh-CN"/>
        </w:rPr>
      </w:pPr>
    </w:p>
    <w:p>
      <w:pPr>
        <w:pStyle w:val="43"/>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表2.1-6 作业天数、工作班制、昼夜非生产作业时间及船时效率</w:t>
      </w:r>
    </w:p>
    <w:tbl>
      <w:tblPr>
        <w:tblStyle w:val="26"/>
        <w:tblW w:w="87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60"/>
        <w:gridCol w:w="1460"/>
        <w:gridCol w:w="1460"/>
        <w:gridCol w:w="1460"/>
        <w:gridCol w:w="1460"/>
        <w:gridCol w:w="14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14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泊位</w:t>
            </w:r>
          </w:p>
        </w:tc>
        <w:tc>
          <w:tcPr>
            <w:tcW w:w="14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作业天数</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（天）</w:t>
            </w:r>
          </w:p>
        </w:tc>
        <w:tc>
          <w:tcPr>
            <w:tcW w:w="14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作业班制</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color w:val="auto"/>
                <w:sz w:val="21"/>
                <w:szCs w:val="21"/>
                <w:shd w:val="clear" w:color="auto" w:fill="auto"/>
              </w:rPr>
            </w:pPr>
            <w:r>
              <w:rPr>
                <w:rFonts w:eastAsia="宋体" w:cs="Times New Roman"/>
                <w:color w:val="auto"/>
                <w:sz w:val="21"/>
                <w:szCs w:val="21"/>
                <w:shd w:val="clear" w:color="auto" w:fill="auto"/>
              </w:rPr>
              <w:t>(</w:t>
            </w:r>
            <w:r>
              <w:rPr>
                <w:rFonts w:hint="eastAsia" w:eastAsia="宋体" w:cs="Times New Roman"/>
                <w:color w:val="auto"/>
                <w:sz w:val="21"/>
                <w:szCs w:val="21"/>
                <w:shd w:val="clear" w:color="auto" w:fill="auto"/>
              </w:rPr>
              <w:t>h</w:t>
            </w:r>
            <w:r>
              <w:rPr>
                <w:rFonts w:eastAsia="宋体" w:cs="Times New Roman"/>
                <w:color w:val="auto"/>
                <w:sz w:val="21"/>
                <w:szCs w:val="21"/>
                <w:shd w:val="clear" w:color="auto" w:fill="auto"/>
              </w:rPr>
              <w:t>)</w:t>
            </w:r>
          </w:p>
        </w:tc>
        <w:tc>
          <w:tcPr>
            <w:tcW w:w="14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辅助作业</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时间（h）</w:t>
            </w:r>
          </w:p>
        </w:tc>
        <w:tc>
          <w:tcPr>
            <w:tcW w:w="14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昼夜非生产作业时间</w:t>
            </w:r>
            <w:r>
              <w:rPr>
                <w:rFonts w:eastAsia="宋体" w:cs="Times New Roman"/>
                <w:color w:val="auto"/>
                <w:sz w:val="21"/>
                <w:szCs w:val="21"/>
                <w:shd w:val="clear" w:color="auto" w:fill="auto"/>
              </w:rPr>
              <w:t>(h)</w:t>
            </w:r>
          </w:p>
        </w:tc>
        <w:tc>
          <w:tcPr>
            <w:tcW w:w="14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平均船时效率</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color w:val="auto"/>
                <w:sz w:val="21"/>
                <w:szCs w:val="21"/>
                <w:shd w:val="clear" w:color="auto" w:fill="auto"/>
              </w:rPr>
            </w:pPr>
            <w:r>
              <w:rPr>
                <w:rFonts w:eastAsia="宋体" w:cs="Times New Roman"/>
                <w:color w:val="auto"/>
                <w:sz w:val="21"/>
                <w:szCs w:val="21"/>
                <w:shd w:val="clear" w:color="auto" w:fill="auto"/>
              </w:rPr>
              <w:t>(t/h)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4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散货进口</w:t>
            </w:r>
          </w:p>
        </w:tc>
        <w:tc>
          <w:tcPr>
            <w:tcW w:w="14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color w:val="auto"/>
                <w:sz w:val="21"/>
                <w:szCs w:val="21"/>
                <w:shd w:val="clear" w:color="auto" w:fill="auto"/>
              </w:rPr>
            </w:pPr>
            <w:r>
              <w:rPr>
                <w:rFonts w:eastAsia="宋体" w:cs="Times New Roman"/>
                <w:color w:val="auto"/>
                <w:sz w:val="21"/>
                <w:szCs w:val="21"/>
                <w:shd w:val="clear" w:color="auto" w:fill="auto"/>
              </w:rPr>
              <w:t>3</w:t>
            </w:r>
            <w:r>
              <w:rPr>
                <w:rFonts w:hint="eastAsia" w:cs="Times New Roman"/>
                <w:color w:val="auto"/>
                <w:sz w:val="21"/>
                <w:szCs w:val="21"/>
                <w:shd w:val="clear" w:color="auto" w:fill="auto"/>
                <w:lang w:val="en-US" w:eastAsia="zh-CN"/>
              </w:rPr>
              <w:t>2</w:t>
            </w:r>
            <w:r>
              <w:rPr>
                <w:rFonts w:eastAsia="宋体" w:cs="Times New Roman"/>
                <w:color w:val="auto"/>
                <w:sz w:val="21"/>
                <w:szCs w:val="21"/>
                <w:shd w:val="clear" w:color="auto" w:fill="auto"/>
              </w:rPr>
              <w:t>0</w:t>
            </w:r>
          </w:p>
        </w:tc>
        <w:tc>
          <w:tcPr>
            <w:tcW w:w="14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3</w:t>
            </w:r>
          </w:p>
        </w:tc>
        <w:tc>
          <w:tcPr>
            <w:tcW w:w="14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2.0</w:t>
            </w:r>
          </w:p>
        </w:tc>
        <w:tc>
          <w:tcPr>
            <w:tcW w:w="14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5.5</w:t>
            </w:r>
          </w:p>
        </w:tc>
        <w:tc>
          <w:tcPr>
            <w:tcW w:w="14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140</w:t>
            </w:r>
          </w:p>
        </w:tc>
      </w:tr>
    </w:tbl>
    <w:p>
      <w:pPr>
        <w:pStyle w:val="6"/>
        <w:rPr>
          <w:color w:val="auto"/>
          <w:shd w:val="clear" w:color="auto" w:fill="auto"/>
        </w:rPr>
      </w:pPr>
      <w:bookmarkStart w:id="153" w:name="_Toc347392990"/>
      <w:bookmarkStart w:id="154" w:name="_Toc340409372"/>
      <w:bookmarkStart w:id="155" w:name="_Toc502826038"/>
      <w:r>
        <w:rPr>
          <w:rFonts w:hint="eastAsia"/>
          <w:color w:val="auto"/>
          <w:shd w:val="clear" w:color="auto" w:fill="auto"/>
        </w:rPr>
        <w:t>2.</w:t>
      </w:r>
      <w:r>
        <w:rPr>
          <w:rFonts w:hint="eastAsia"/>
          <w:color w:val="auto"/>
          <w:shd w:val="clear" w:color="auto" w:fill="auto"/>
          <w:lang w:val="en-US" w:eastAsia="zh-CN"/>
        </w:rPr>
        <w:t>1.4.2</w:t>
      </w:r>
      <w:r>
        <w:rPr>
          <w:rFonts w:hint="eastAsia"/>
          <w:color w:val="auto"/>
          <w:shd w:val="clear" w:color="auto" w:fill="auto"/>
        </w:rPr>
        <w:t>装卸工艺</w:t>
      </w:r>
      <w:bookmarkEnd w:id="153"/>
      <w:bookmarkEnd w:id="154"/>
      <w:bookmarkEnd w:id="155"/>
      <w:r>
        <w:rPr>
          <w:rFonts w:hint="eastAsia"/>
          <w:color w:val="auto"/>
          <w:shd w:val="clear" w:color="auto" w:fill="auto"/>
        </w:rPr>
        <w:t>方案</w:t>
      </w:r>
    </w:p>
    <w:p>
      <w:pPr>
        <w:ind w:firstLine="480"/>
        <w:rPr>
          <w:rFonts w:hint="eastAsia"/>
          <w:color w:val="auto"/>
          <w:shd w:val="clear" w:color="auto" w:fill="auto"/>
        </w:rPr>
      </w:pPr>
      <w:r>
        <w:rPr>
          <w:rFonts w:hint="eastAsia"/>
          <w:color w:val="auto"/>
          <w:shd w:val="clear" w:color="auto" w:fill="auto"/>
        </w:rPr>
        <w:t>本工程拟建设3个1000吨级散货进口泊位。每泊位前方布置2台</w:t>
      </w:r>
      <w:r>
        <w:rPr>
          <w:rFonts w:hint="eastAsia"/>
          <w:color w:val="auto"/>
          <w:shd w:val="clear" w:color="auto" w:fill="auto"/>
          <w:lang w:eastAsia="zh-CN"/>
        </w:rPr>
        <w:t>10t-20m</w:t>
      </w:r>
      <w:r>
        <w:rPr>
          <w:rFonts w:hint="eastAsia"/>
          <w:color w:val="auto"/>
          <w:shd w:val="clear" w:color="auto" w:fill="auto"/>
        </w:rPr>
        <w:t>抓斗固定吊作为装卸设备，固定吊下方配备装车料斗，自卸汽车上码头平台进行装卸。装车料斗内设喷雾装置进行抑尘。</w:t>
      </w:r>
    </w:p>
    <w:p>
      <w:pPr>
        <w:ind w:firstLine="480"/>
        <w:rPr>
          <w:rFonts w:hint="eastAsia"/>
          <w:color w:val="auto"/>
          <w:shd w:val="clear" w:color="auto" w:fill="auto"/>
        </w:rPr>
      </w:pPr>
      <w:r>
        <w:rPr>
          <w:rFonts w:hint="eastAsia"/>
          <w:color w:val="auto"/>
          <w:shd w:val="clear" w:color="auto" w:fill="auto"/>
        </w:rPr>
        <w:t>码头前方通过循环道路连接大堤，装卸工艺采用车船直取方式，水平运输车辆由货主自备。进出港车辆通过循环道路两侧的地磅计量。</w:t>
      </w:r>
    </w:p>
    <w:p>
      <w:pPr>
        <w:pStyle w:val="6"/>
        <w:bidi w:val="0"/>
        <w:rPr>
          <w:color w:val="auto"/>
          <w:shd w:val="clear" w:color="auto" w:fill="auto"/>
        </w:rPr>
      </w:pPr>
      <w:r>
        <w:rPr>
          <w:rFonts w:hint="eastAsia"/>
          <w:color w:val="auto"/>
          <w:shd w:val="clear" w:color="auto" w:fill="auto"/>
          <w:lang w:val="en-US" w:eastAsia="zh-CN"/>
        </w:rPr>
        <w:t>2.1.4.3</w:t>
      </w:r>
      <w:r>
        <w:rPr>
          <w:rFonts w:hint="eastAsia"/>
          <w:color w:val="auto"/>
          <w:shd w:val="clear" w:color="auto" w:fill="auto"/>
        </w:rPr>
        <w:t>装卸工艺流程</w:t>
      </w:r>
    </w:p>
    <w:p>
      <w:pPr>
        <w:ind w:firstLine="480"/>
        <w:rPr>
          <w:rFonts w:hint="eastAsia"/>
          <w:color w:val="auto"/>
          <w:shd w:val="clear" w:color="auto" w:fill="auto"/>
        </w:rPr>
      </w:pPr>
      <w:r>
        <w:rPr>
          <w:rFonts w:hint="eastAsia"/>
          <w:color w:val="auto"/>
          <w:shd w:val="clear" w:color="auto" w:fill="auto"/>
        </w:rPr>
        <w:t>进口：船→</w:t>
      </w:r>
      <w:r>
        <w:rPr>
          <w:rFonts w:hint="eastAsia"/>
          <w:color w:val="auto"/>
          <w:shd w:val="clear" w:color="auto" w:fill="auto"/>
          <w:lang w:eastAsia="zh-CN"/>
        </w:rPr>
        <w:t>10t-20m</w:t>
      </w:r>
      <w:r>
        <w:rPr>
          <w:rFonts w:hint="eastAsia"/>
          <w:color w:val="auto"/>
          <w:shd w:val="clear" w:color="auto" w:fill="auto"/>
        </w:rPr>
        <w:t>抓斗固定吊→装车料斗→货主汽车→港外</w:t>
      </w:r>
    </w:p>
    <w:p>
      <w:pPr>
        <w:pStyle w:val="6"/>
        <w:bidi w:val="0"/>
        <w:rPr>
          <w:rFonts w:hint="eastAsia"/>
          <w:color w:val="auto"/>
          <w:shd w:val="clear" w:color="auto" w:fill="auto"/>
          <w:lang w:val="en-US" w:eastAsia="zh-CN"/>
        </w:rPr>
      </w:pPr>
      <w:r>
        <w:rPr>
          <w:rFonts w:hint="eastAsia"/>
          <w:color w:val="auto"/>
          <w:shd w:val="clear" w:color="auto" w:fill="auto"/>
          <w:lang w:val="en-US" w:eastAsia="zh-CN"/>
        </w:rPr>
        <w:t>2.1.4.4工艺计算</w:t>
      </w:r>
    </w:p>
    <w:p>
      <w:pPr>
        <w:pStyle w:val="43"/>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表2.1-7 泊位通过能力计算</w:t>
      </w:r>
    </w:p>
    <w:tbl>
      <w:tblPr>
        <w:tblStyle w:val="26"/>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6"/>
        <w:gridCol w:w="3408"/>
        <w:gridCol w:w="996"/>
        <w:gridCol w:w="1856"/>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88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序号</w:t>
            </w:r>
          </w:p>
        </w:tc>
        <w:tc>
          <w:tcPr>
            <w:tcW w:w="3408"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名称</w:t>
            </w:r>
          </w:p>
        </w:tc>
        <w:tc>
          <w:tcPr>
            <w:tcW w:w="99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符号</w:t>
            </w:r>
          </w:p>
        </w:tc>
        <w:tc>
          <w:tcPr>
            <w:tcW w:w="185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单位</w:t>
            </w:r>
          </w:p>
        </w:tc>
        <w:tc>
          <w:tcPr>
            <w:tcW w:w="180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散货进口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1</w:t>
            </w:r>
          </w:p>
        </w:tc>
        <w:tc>
          <w:tcPr>
            <w:tcW w:w="3408"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船型</w:t>
            </w:r>
          </w:p>
        </w:tc>
        <w:tc>
          <w:tcPr>
            <w:tcW w:w="99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eastAsia="zh-CN"/>
              </w:rPr>
              <w:t>/</w:t>
            </w:r>
          </w:p>
        </w:tc>
        <w:tc>
          <w:tcPr>
            <w:tcW w:w="185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吨</w:t>
            </w:r>
          </w:p>
        </w:tc>
        <w:tc>
          <w:tcPr>
            <w:tcW w:w="1800"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2</w:t>
            </w:r>
          </w:p>
        </w:tc>
        <w:tc>
          <w:tcPr>
            <w:tcW w:w="3408"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年吞吐量</w:t>
            </w:r>
          </w:p>
        </w:tc>
        <w:tc>
          <w:tcPr>
            <w:tcW w:w="99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Qn</w:t>
            </w:r>
          </w:p>
        </w:tc>
        <w:tc>
          <w:tcPr>
            <w:tcW w:w="185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万T/年</w:t>
            </w:r>
          </w:p>
        </w:tc>
        <w:tc>
          <w:tcPr>
            <w:tcW w:w="1800"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3</w:t>
            </w:r>
          </w:p>
        </w:tc>
        <w:tc>
          <w:tcPr>
            <w:tcW w:w="3408"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泊位年营运天数</w:t>
            </w:r>
          </w:p>
        </w:tc>
        <w:tc>
          <w:tcPr>
            <w:tcW w:w="99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Ty</w:t>
            </w:r>
          </w:p>
        </w:tc>
        <w:tc>
          <w:tcPr>
            <w:tcW w:w="185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天</w:t>
            </w:r>
          </w:p>
        </w:tc>
        <w:tc>
          <w:tcPr>
            <w:tcW w:w="1800"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4</w:t>
            </w:r>
          </w:p>
        </w:tc>
        <w:tc>
          <w:tcPr>
            <w:tcW w:w="3408"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泊位有效利用率</w:t>
            </w:r>
          </w:p>
        </w:tc>
        <w:tc>
          <w:tcPr>
            <w:tcW w:w="99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ρ</w:t>
            </w:r>
          </w:p>
        </w:tc>
        <w:tc>
          <w:tcPr>
            <w:tcW w:w="185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w:t>
            </w:r>
          </w:p>
        </w:tc>
        <w:tc>
          <w:tcPr>
            <w:tcW w:w="1800"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5</w:t>
            </w:r>
          </w:p>
        </w:tc>
        <w:tc>
          <w:tcPr>
            <w:tcW w:w="3408"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船舶实际载重量</w:t>
            </w:r>
          </w:p>
        </w:tc>
        <w:tc>
          <w:tcPr>
            <w:tcW w:w="99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G</w:t>
            </w:r>
          </w:p>
        </w:tc>
        <w:tc>
          <w:tcPr>
            <w:tcW w:w="185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T</w:t>
            </w:r>
          </w:p>
        </w:tc>
        <w:tc>
          <w:tcPr>
            <w:tcW w:w="1800"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6</w:t>
            </w:r>
          </w:p>
        </w:tc>
        <w:tc>
          <w:tcPr>
            <w:tcW w:w="3408"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设计船时效率</w:t>
            </w:r>
          </w:p>
        </w:tc>
        <w:tc>
          <w:tcPr>
            <w:tcW w:w="99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p</w:t>
            </w:r>
          </w:p>
        </w:tc>
        <w:tc>
          <w:tcPr>
            <w:tcW w:w="185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T/小时</w:t>
            </w:r>
          </w:p>
        </w:tc>
        <w:tc>
          <w:tcPr>
            <w:tcW w:w="1800"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7</w:t>
            </w:r>
          </w:p>
        </w:tc>
        <w:tc>
          <w:tcPr>
            <w:tcW w:w="3408"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一艘船纯装卸时间</w:t>
            </w:r>
          </w:p>
        </w:tc>
        <w:tc>
          <w:tcPr>
            <w:tcW w:w="99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tZ</w:t>
            </w:r>
          </w:p>
        </w:tc>
        <w:tc>
          <w:tcPr>
            <w:tcW w:w="185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小时</w:t>
            </w:r>
          </w:p>
        </w:tc>
        <w:tc>
          <w:tcPr>
            <w:tcW w:w="1800"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7.14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8</w:t>
            </w:r>
          </w:p>
        </w:tc>
        <w:tc>
          <w:tcPr>
            <w:tcW w:w="3408"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昼夜小时数</w:t>
            </w:r>
          </w:p>
        </w:tc>
        <w:tc>
          <w:tcPr>
            <w:tcW w:w="99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td</w:t>
            </w:r>
          </w:p>
        </w:tc>
        <w:tc>
          <w:tcPr>
            <w:tcW w:w="185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小时</w:t>
            </w:r>
          </w:p>
        </w:tc>
        <w:tc>
          <w:tcPr>
            <w:tcW w:w="1800"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9</w:t>
            </w:r>
          </w:p>
        </w:tc>
        <w:tc>
          <w:tcPr>
            <w:tcW w:w="3408"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昼夜非生产小时数</w:t>
            </w:r>
          </w:p>
        </w:tc>
        <w:tc>
          <w:tcPr>
            <w:tcW w:w="99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tS</w:t>
            </w:r>
          </w:p>
        </w:tc>
        <w:tc>
          <w:tcPr>
            <w:tcW w:w="185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小时</w:t>
            </w:r>
          </w:p>
        </w:tc>
        <w:tc>
          <w:tcPr>
            <w:tcW w:w="1800"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10</w:t>
            </w:r>
          </w:p>
        </w:tc>
        <w:tc>
          <w:tcPr>
            <w:tcW w:w="3408"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装卸辅助作业时间</w:t>
            </w:r>
          </w:p>
        </w:tc>
        <w:tc>
          <w:tcPr>
            <w:tcW w:w="99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tf</w:t>
            </w:r>
          </w:p>
        </w:tc>
        <w:tc>
          <w:tcPr>
            <w:tcW w:w="185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小时</w:t>
            </w:r>
          </w:p>
        </w:tc>
        <w:tc>
          <w:tcPr>
            <w:tcW w:w="1800"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11</w:t>
            </w:r>
          </w:p>
        </w:tc>
        <w:tc>
          <w:tcPr>
            <w:tcW w:w="3408"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与货种对应的年通过能力</w:t>
            </w:r>
          </w:p>
        </w:tc>
        <w:tc>
          <w:tcPr>
            <w:tcW w:w="99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Pt1</w:t>
            </w:r>
          </w:p>
        </w:tc>
        <w:tc>
          <w:tcPr>
            <w:tcW w:w="185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T</w:t>
            </w:r>
          </w:p>
        </w:tc>
        <w:tc>
          <w:tcPr>
            <w:tcW w:w="1800"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524363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12</w:t>
            </w:r>
          </w:p>
        </w:tc>
        <w:tc>
          <w:tcPr>
            <w:tcW w:w="3408"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泊位数</w:t>
            </w:r>
          </w:p>
        </w:tc>
        <w:tc>
          <w:tcPr>
            <w:tcW w:w="99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w:t>
            </w:r>
          </w:p>
        </w:tc>
        <w:tc>
          <w:tcPr>
            <w:tcW w:w="185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eastAsia="zh-CN"/>
              </w:rPr>
              <w:t>/</w:t>
            </w:r>
          </w:p>
        </w:tc>
        <w:tc>
          <w:tcPr>
            <w:tcW w:w="1800"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13</w:t>
            </w:r>
          </w:p>
        </w:tc>
        <w:tc>
          <w:tcPr>
            <w:tcW w:w="3408"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泊位年通过能力</w:t>
            </w:r>
          </w:p>
        </w:tc>
        <w:tc>
          <w:tcPr>
            <w:tcW w:w="99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Pt</w:t>
            </w:r>
          </w:p>
        </w:tc>
        <w:tc>
          <w:tcPr>
            <w:tcW w:w="1856"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T</w:t>
            </w:r>
          </w:p>
        </w:tc>
        <w:tc>
          <w:tcPr>
            <w:tcW w:w="1800" w:type="dxa"/>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1573090</w:t>
            </w:r>
          </w:p>
        </w:tc>
      </w:tr>
    </w:tbl>
    <w:p>
      <w:pPr>
        <w:pStyle w:val="6"/>
        <w:bidi w:val="0"/>
        <w:rPr>
          <w:rFonts w:hint="eastAsia"/>
          <w:color w:val="auto"/>
          <w:shd w:val="clear" w:color="auto" w:fill="auto"/>
          <w:lang w:val="en-US" w:eastAsia="zh-CN"/>
        </w:rPr>
      </w:pPr>
      <w:bookmarkStart w:id="156" w:name="_Toc20071_WPSOffice_Level2"/>
      <w:bookmarkStart w:id="157" w:name="_Toc533837110"/>
      <w:bookmarkStart w:id="158" w:name="_Toc534986823"/>
      <w:bookmarkStart w:id="159" w:name="_Toc534986234"/>
      <w:bookmarkStart w:id="160" w:name="_Toc12314"/>
      <w:r>
        <w:rPr>
          <w:rFonts w:hint="eastAsia"/>
          <w:color w:val="auto"/>
          <w:shd w:val="clear" w:color="auto" w:fill="auto"/>
          <w:lang w:val="en-US" w:eastAsia="zh-CN"/>
        </w:rPr>
        <w:t>2.1.4.5库场面积计算</w:t>
      </w:r>
      <w:bookmarkEnd w:id="156"/>
      <w:bookmarkEnd w:id="157"/>
      <w:bookmarkEnd w:id="158"/>
      <w:bookmarkEnd w:id="159"/>
      <w:bookmarkEnd w:id="160"/>
    </w:p>
    <w:p>
      <w:pPr>
        <w:ind w:firstLine="480"/>
        <w:rPr>
          <w:rFonts w:hint="eastAsia" w:eastAsia="宋体"/>
          <w:color w:val="auto"/>
          <w:shd w:val="clear" w:color="auto" w:fill="auto"/>
          <w:lang w:val="en-US" w:eastAsia="zh-CN"/>
        </w:rPr>
      </w:pPr>
      <w:r>
        <w:rPr>
          <w:rFonts w:hint="eastAsia"/>
          <w:color w:val="auto"/>
          <w:shd w:val="clear" w:color="auto" w:fill="auto"/>
        </w:rPr>
        <w:t>本工程因受条件所限，仓库面积为6550平</w:t>
      </w:r>
      <w:r>
        <w:rPr>
          <w:rFonts w:hint="eastAsia"/>
          <w:color w:val="auto"/>
          <w:shd w:val="clear" w:color="auto" w:fill="auto"/>
          <w:lang w:val="en-US" w:eastAsia="zh-CN"/>
        </w:rPr>
        <w:t>方米</w:t>
      </w:r>
      <w:r>
        <w:rPr>
          <w:rFonts w:hint="eastAsia"/>
          <w:color w:val="auto"/>
          <w:shd w:val="clear" w:color="auto" w:fill="auto"/>
          <w:lang w:eastAsia="zh-CN"/>
        </w:rPr>
        <w:t>。</w:t>
      </w:r>
    </w:p>
    <w:p>
      <w:pPr>
        <w:pStyle w:val="6"/>
        <w:bidi w:val="0"/>
        <w:rPr>
          <w:rFonts w:hint="eastAsia" w:ascii="Times New Roman" w:hAnsi="Times New Roman"/>
          <w:b w:val="0"/>
          <w:bCs w:val="0"/>
          <w:color w:val="auto"/>
          <w:shd w:val="clear" w:color="auto" w:fill="auto"/>
          <w:lang w:val="en-US" w:eastAsia="zh-CN"/>
        </w:rPr>
      </w:pPr>
      <w:bookmarkStart w:id="161" w:name="_Toc534986235"/>
      <w:bookmarkStart w:id="162" w:name="_Toc441"/>
      <w:bookmarkStart w:id="163" w:name="_Toc25553_WPSOffice_Level2"/>
      <w:bookmarkStart w:id="164" w:name="_Toc534986824"/>
      <w:bookmarkStart w:id="165" w:name="_Toc533837111"/>
      <w:r>
        <w:rPr>
          <w:rFonts w:hint="eastAsia"/>
          <w:color w:val="auto"/>
          <w:shd w:val="clear" w:color="auto" w:fill="auto"/>
          <w:lang w:val="en-US" w:eastAsia="zh-CN"/>
        </w:rPr>
        <w:t>2.1.4.6</w:t>
      </w:r>
      <w:r>
        <w:rPr>
          <w:rFonts w:hint="eastAsia"/>
          <w:color w:val="auto"/>
          <w:shd w:val="clear" w:color="auto" w:fill="auto"/>
        </w:rPr>
        <w:t>主要机械设备及</w:t>
      </w:r>
      <w:r>
        <w:rPr>
          <w:color w:val="auto"/>
          <w:shd w:val="clear" w:color="auto" w:fill="auto"/>
        </w:rPr>
        <w:t>人员配备</w:t>
      </w:r>
      <w:bookmarkEnd w:id="161"/>
      <w:bookmarkEnd w:id="162"/>
      <w:bookmarkEnd w:id="163"/>
      <w:bookmarkEnd w:id="164"/>
      <w:bookmarkEnd w:id="165"/>
    </w:p>
    <w:p>
      <w:pPr>
        <w:pStyle w:val="43"/>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表2.1-8 主要机械设备表</w:t>
      </w:r>
    </w:p>
    <w:tbl>
      <w:tblPr>
        <w:tblStyle w:val="26"/>
        <w:tblW w:w="8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2352"/>
        <w:gridCol w:w="735"/>
        <w:gridCol w:w="645"/>
        <w:gridCol w:w="4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1" w:type="dxa"/>
            <w:shd w:val="clear" w:color="auto" w:fill="auto"/>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序号</w:t>
            </w:r>
          </w:p>
        </w:tc>
        <w:tc>
          <w:tcPr>
            <w:tcW w:w="2352" w:type="dxa"/>
            <w:shd w:val="clear" w:color="auto" w:fill="auto"/>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设备名称</w:t>
            </w:r>
          </w:p>
        </w:tc>
        <w:tc>
          <w:tcPr>
            <w:tcW w:w="735" w:type="dxa"/>
            <w:shd w:val="clear" w:color="auto" w:fill="auto"/>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单位</w:t>
            </w:r>
          </w:p>
        </w:tc>
        <w:tc>
          <w:tcPr>
            <w:tcW w:w="645" w:type="dxa"/>
            <w:shd w:val="clear" w:color="auto" w:fill="auto"/>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数量</w:t>
            </w:r>
          </w:p>
        </w:tc>
        <w:tc>
          <w:tcPr>
            <w:tcW w:w="4473" w:type="dxa"/>
            <w:shd w:val="clear" w:color="auto" w:fill="auto"/>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性能参数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1" w:type="dxa"/>
            <w:shd w:val="clear" w:color="auto" w:fill="auto"/>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1</w:t>
            </w:r>
          </w:p>
        </w:tc>
        <w:tc>
          <w:tcPr>
            <w:tcW w:w="2352" w:type="dxa"/>
            <w:shd w:val="clear" w:color="auto" w:fill="auto"/>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lang w:val="en-US" w:eastAsia="zh-CN"/>
              </w:rPr>
              <w:t>10t-20</w:t>
            </w:r>
            <w:r>
              <w:rPr>
                <w:rFonts w:hint="eastAsia" w:cs="Times New Roman"/>
                <w:color w:val="auto"/>
                <w:sz w:val="21"/>
                <w:szCs w:val="21"/>
                <w:shd w:val="clear" w:color="auto" w:fill="auto"/>
                <w:lang w:eastAsia="zh-CN"/>
              </w:rPr>
              <w:t>m</w:t>
            </w:r>
            <w:r>
              <w:rPr>
                <w:rFonts w:hint="eastAsia" w:eastAsia="宋体" w:cs="Times New Roman"/>
                <w:color w:val="auto"/>
                <w:sz w:val="21"/>
                <w:szCs w:val="21"/>
                <w:shd w:val="clear" w:color="auto" w:fill="auto"/>
              </w:rPr>
              <w:t>抓斗固定吊</w:t>
            </w:r>
          </w:p>
        </w:tc>
        <w:tc>
          <w:tcPr>
            <w:tcW w:w="735" w:type="dxa"/>
            <w:shd w:val="clear" w:color="auto" w:fill="auto"/>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台</w:t>
            </w:r>
          </w:p>
        </w:tc>
        <w:tc>
          <w:tcPr>
            <w:tcW w:w="645" w:type="dxa"/>
            <w:shd w:val="clear" w:color="auto" w:fill="auto"/>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val="en-US" w:eastAsia="zh-CN"/>
              </w:rPr>
              <w:t>3</w:t>
            </w:r>
          </w:p>
        </w:tc>
        <w:tc>
          <w:tcPr>
            <w:tcW w:w="4473" w:type="dxa"/>
            <w:shd w:val="clear" w:color="auto" w:fill="auto"/>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eastAsia="宋体" w:cs="Times New Roman"/>
                <w:color w:val="auto"/>
                <w:sz w:val="21"/>
                <w:szCs w:val="21"/>
                <w:shd w:val="clear" w:color="auto" w:fill="auto"/>
              </w:rPr>
              <w:t>额定起重量</w:t>
            </w:r>
            <w:r>
              <w:rPr>
                <w:rFonts w:hint="eastAsia" w:eastAsia="宋体" w:cs="Times New Roman"/>
                <w:color w:val="auto"/>
                <w:sz w:val="21"/>
                <w:szCs w:val="21"/>
                <w:shd w:val="clear" w:color="auto" w:fill="auto"/>
                <w:lang w:val="en-US" w:eastAsia="zh-CN"/>
              </w:rPr>
              <w:t>1</w:t>
            </w:r>
            <w:r>
              <w:rPr>
                <w:rFonts w:hint="eastAsia" w:eastAsia="宋体" w:cs="Times New Roman"/>
                <w:color w:val="auto"/>
                <w:sz w:val="21"/>
                <w:szCs w:val="21"/>
                <w:shd w:val="clear" w:color="auto" w:fill="auto"/>
              </w:rPr>
              <w:t>0t，工作幅度</w:t>
            </w:r>
            <w:r>
              <w:rPr>
                <w:rFonts w:hint="eastAsia" w:cs="Times New Roman"/>
                <w:color w:val="auto"/>
                <w:sz w:val="21"/>
                <w:szCs w:val="21"/>
                <w:shd w:val="clear" w:color="auto" w:fill="auto"/>
                <w:lang w:val="en-US" w:eastAsia="zh-CN"/>
              </w:rPr>
              <w:t>7.5</w:t>
            </w:r>
            <w:r>
              <w:rPr>
                <w:rFonts w:hint="eastAsia" w:eastAsia="宋体" w:cs="Times New Roman"/>
                <w:color w:val="auto"/>
                <w:sz w:val="21"/>
                <w:szCs w:val="21"/>
                <w:shd w:val="clear" w:color="auto" w:fill="auto"/>
              </w:rPr>
              <w:t>-</w:t>
            </w:r>
            <w:r>
              <w:rPr>
                <w:rFonts w:hint="eastAsia" w:cs="Times New Roman"/>
                <w:color w:val="auto"/>
                <w:sz w:val="21"/>
                <w:szCs w:val="21"/>
                <w:shd w:val="clear" w:color="auto" w:fill="auto"/>
                <w:lang w:val="en-US" w:eastAsia="zh-CN"/>
              </w:rPr>
              <w:t>20</w:t>
            </w:r>
            <w:r>
              <w:rPr>
                <w:rFonts w:hint="eastAsia" w:cs="Times New Roman"/>
                <w:color w:val="auto"/>
                <w:sz w:val="21"/>
                <w:szCs w:val="21"/>
                <w:shd w:val="clear" w:color="auto" w:fill="auto"/>
                <w:lang w:eastAsia="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1" w:type="dxa"/>
            <w:shd w:val="clear" w:color="auto" w:fill="auto"/>
            <w:vAlign w:val="center"/>
          </w:tcPr>
          <w:p>
            <w:pPr>
              <w:spacing w:line="240" w:lineRule="auto"/>
              <w:ind w:firstLine="0" w:firstLineChars="0"/>
              <w:jc w:val="center"/>
              <w:rPr>
                <w:rFonts w:eastAsia="宋体" w:cs="Times New Roman"/>
                <w:color w:val="auto"/>
                <w:sz w:val="21"/>
                <w:szCs w:val="21"/>
                <w:shd w:val="clear" w:color="auto" w:fill="auto"/>
              </w:rPr>
            </w:pPr>
            <w:r>
              <w:rPr>
                <w:rFonts w:eastAsia="宋体" w:cs="Times New Roman"/>
                <w:color w:val="auto"/>
                <w:sz w:val="21"/>
                <w:szCs w:val="21"/>
                <w:shd w:val="clear" w:color="auto" w:fill="auto"/>
              </w:rPr>
              <w:t>2</w:t>
            </w:r>
          </w:p>
        </w:tc>
        <w:tc>
          <w:tcPr>
            <w:tcW w:w="2352" w:type="dxa"/>
            <w:shd w:val="clear" w:color="auto" w:fill="auto"/>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装车料斗</w:t>
            </w:r>
          </w:p>
        </w:tc>
        <w:tc>
          <w:tcPr>
            <w:tcW w:w="735" w:type="dxa"/>
            <w:shd w:val="clear" w:color="auto" w:fill="auto"/>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eastAsia="宋体" w:cs="Times New Roman"/>
                <w:color w:val="auto"/>
                <w:sz w:val="21"/>
                <w:szCs w:val="21"/>
                <w:shd w:val="clear" w:color="auto" w:fill="auto"/>
                <w:lang w:eastAsia="zh-CN"/>
              </w:rPr>
              <w:t>个</w:t>
            </w:r>
          </w:p>
        </w:tc>
        <w:tc>
          <w:tcPr>
            <w:tcW w:w="645" w:type="dxa"/>
            <w:shd w:val="clear" w:color="auto" w:fill="auto"/>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val="en-US" w:eastAsia="zh-CN"/>
              </w:rPr>
              <w:t>3</w:t>
            </w:r>
          </w:p>
        </w:tc>
        <w:tc>
          <w:tcPr>
            <w:tcW w:w="4473" w:type="dxa"/>
            <w:shd w:val="clear" w:color="auto" w:fill="auto"/>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开口尺寸</w:t>
            </w:r>
            <w:r>
              <w:rPr>
                <w:rFonts w:hint="eastAsia" w:cs="Times New Roman"/>
                <w:color w:val="auto"/>
                <w:sz w:val="21"/>
                <w:szCs w:val="21"/>
                <w:shd w:val="clear" w:color="auto" w:fill="auto"/>
                <w:lang w:val="en-US" w:eastAsia="zh-CN"/>
              </w:rPr>
              <w:t>6</w:t>
            </w:r>
            <w:r>
              <w:rPr>
                <w:rFonts w:hint="eastAsia" w:eastAsia="宋体" w:cs="Times New Roman"/>
                <w:color w:val="auto"/>
                <w:sz w:val="21"/>
                <w:szCs w:val="21"/>
                <w:shd w:val="clear" w:color="auto" w:fill="auto"/>
              </w:rPr>
              <w:t>×</w:t>
            </w:r>
            <w:r>
              <w:rPr>
                <w:rFonts w:hint="eastAsia" w:cs="Times New Roman"/>
                <w:color w:val="auto"/>
                <w:sz w:val="21"/>
                <w:szCs w:val="21"/>
                <w:shd w:val="clear" w:color="auto" w:fill="auto"/>
                <w:lang w:val="en-US" w:eastAsia="zh-CN"/>
              </w:rPr>
              <w:t>6</w:t>
            </w:r>
            <w:r>
              <w:rPr>
                <w:rFonts w:hint="eastAsia" w:cs="Times New Roman"/>
                <w:color w:val="auto"/>
                <w:sz w:val="21"/>
                <w:szCs w:val="21"/>
                <w:shd w:val="clear" w:color="auto" w:fill="auto"/>
                <w:lang w:eastAsia="zh-CN"/>
              </w:rPr>
              <w:t>m</w:t>
            </w:r>
            <w:r>
              <w:rPr>
                <w:rFonts w:hint="eastAsia" w:eastAsia="宋体" w:cs="Times New Roman"/>
                <w:color w:val="auto"/>
                <w:sz w:val="21"/>
                <w:szCs w:val="21"/>
                <w:shd w:val="clear" w:color="auto" w:fill="auto"/>
              </w:rPr>
              <w:t>，斗容20</w:t>
            </w:r>
            <w:r>
              <w:rPr>
                <w:rFonts w:hint="eastAsia" w:cs="Times New Roman"/>
                <w:color w:val="auto"/>
                <w:sz w:val="21"/>
                <w:szCs w:val="21"/>
                <w:shd w:val="clear" w:color="auto" w:fill="auto"/>
                <w:lang w:eastAsia="zh-CN"/>
              </w:rPr>
              <w:t>m</w:t>
            </w:r>
            <w:r>
              <w:rPr>
                <w:rFonts w:hint="eastAsia" w:eastAsia="宋体" w:cs="Times New Roman"/>
                <w:color w:val="auto"/>
                <w:sz w:val="21"/>
                <w:szCs w:val="21"/>
                <w:shd w:val="clear" w:color="auto" w:fill="auto"/>
              </w:rPr>
              <w:t>³</w:t>
            </w:r>
            <w:r>
              <w:rPr>
                <w:rFonts w:hint="eastAsia" w:cs="Times New Roman"/>
                <w:color w:val="auto"/>
                <w:sz w:val="21"/>
                <w:szCs w:val="21"/>
                <w:shd w:val="clear" w:color="auto" w:fill="auto"/>
                <w:lang w:eastAsia="zh-CN"/>
              </w:rPr>
              <w:t>，</w:t>
            </w:r>
            <w:r>
              <w:rPr>
                <w:rFonts w:hint="eastAsia" w:eastAsia="宋体" w:cs="Times New Roman"/>
                <w:color w:val="auto"/>
                <w:sz w:val="21"/>
                <w:szCs w:val="21"/>
                <w:shd w:val="clear" w:color="auto" w:fill="auto"/>
              </w:rPr>
              <w:t>带喷雾除尘装置和腭式阀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1" w:type="dxa"/>
            <w:shd w:val="clear" w:color="auto" w:fill="auto"/>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eastAsia="宋体" w:cs="Times New Roman"/>
                <w:color w:val="auto"/>
                <w:sz w:val="21"/>
                <w:szCs w:val="21"/>
                <w:shd w:val="clear" w:color="auto" w:fill="auto"/>
                <w:lang w:val="en-US" w:eastAsia="zh-CN"/>
              </w:rPr>
              <w:t>3</w:t>
            </w:r>
          </w:p>
        </w:tc>
        <w:tc>
          <w:tcPr>
            <w:tcW w:w="2352" w:type="dxa"/>
            <w:shd w:val="clear" w:color="auto" w:fill="auto"/>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地磅</w:t>
            </w:r>
          </w:p>
        </w:tc>
        <w:tc>
          <w:tcPr>
            <w:tcW w:w="735" w:type="dxa"/>
            <w:shd w:val="clear" w:color="auto" w:fill="auto"/>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台</w:t>
            </w:r>
          </w:p>
        </w:tc>
        <w:tc>
          <w:tcPr>
            <w:tcW w:w="645" w:type="dxa"/>
            <w:shd w:val="clear" w:color="auto" w:fill="auto"/>
            <w:vAlign w:val="center"/>
          </w:tcPr>
          <w:p>
            <w:pPr>
              <w:spacing w:line="240" w:lineRule="auto"/>
              <w:ind w:firstLine="0" w:firstLineChars="0"/>
              <w:jc w:val="center"/>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w:t>
            </w:r>
          </w:p>
        </w:tc>
        <w:tc>
          <w:tcPr>
            <w:tcW w:w="4473" w:type="dxa"/>
            <w:shd w:val="clear" w:color="auto" w:fill="auto"/>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val="en-US" w:eastAsia="zh-CN"/>
              </w:rPr>
              <w:t>12</w:t>
            </w:r>
            <w:r>
              <w:rPr>
                <w:rFonts w:hint="eastAsia" w:eastAsia="宋体" w:cs="Times New Roman"/>
                <w:color w:val="auto"/>
                <w:sz w:val="21"/>
                <w:szCs w:val="21"/>
                <w:shd w:val="clear" w:color="auto" w:fill="auto"/>
              </w:rPr>
              <w:t>0t，台面尺寸18×3.4</w:t>
            </w:r>
            <w:r>
              <w:rPr>
                <w:rFonts w:hint="eastAsia" w:cs="Times New Roman"/>
                <w:color w:val="auto"/>
                <w:sz w:val="21"/>
                <w:szCs w:val="21"/>
                <w:shd w:val="clear" w:color="auto" w:fill="auto"/>
                <w:lang w:eastAsia="zh-CN"/>
              </w:rPr>
              <w:t>m</w:t>
            </w:r>
          </w:p>
        </w:tc>
      </w:tr>
    </w:tbl>
    <w:p>
      <w:pPr>
        <w:pStyle w:val="43"/>
        <w:rPr>
          <w:rFonts w:hint="eastAsia"/>
          <w:color w:val="auto"/>
          <w:sz w:val="21"/>
          <w:szCs w:val="21"/>
          <w:shd w:val="clear" w:color="auto" w:fill="auto"/>
          <w:lang w:val="en-US" w:eastAsia="zh-CN"/>
        </w:rPr>
      </w:pPr>
    </w:p>
    <w:p>
      <w:pPr>
        <w:pStyle w:val="43"/>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表2.1-9 人员配备表</w:t>
      </w:r>
    </w:p>
    <w:tbl>
      <w:tblPr>
        <w:tblStyle w:val="26"/>
        <w:tblW w:w="8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6"/>
        <w:gridCol w:w="2236"/>
        <w:gridCol w:w="2236"/>
        <w:gridCol w:w="22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6" w:type="dxa"/>
            <w:noWrap/>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序号</w:t>
            </w:r>
          </w:p>
        </w:tc>
        <w:tc>
          <w:tcPr>
            <w:tcW w:w="2236" w:type="dxa"/>
            <w:noWrap/>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机械司机</w:t>
            </w:r>
          </w:p>
        </w:tc>
        <w:tc>
          <w:tcPr>
            <w:tcW w:w="2236" w:type="dxa"/>
            <w:noWrap/>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装卸工人</w:t>
            </w:r>
          </w:p>
        </w:tc>
        <w:tc>
          <w:tcPr>
            <w:tcW w:w="2238" w:type="dxa"/>
            <w:noWrap/>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6" w:type="dxa"/>
            <w:noWrap w:val="0"/>
            <w:vAlign w:val="center"/>
          </w:tcPr>
          <w:p>
            <w:pPr>
              <w:spacing w:line="240" w:lineRule="auto"/>
              <w:ind w:firstLine="0" w:firstLineChars="0"/>
              <w:jc w:val="center"/>
              <w:rPr>
                <w:rFonts w:eastAsia="宋体" w:cs="Times New Roman"/>
                <w:color w:val="auto"/>
                <w:sz w:val="21"/>
                <w:szCs w:val="21"/>
                <w:shd w:val="clear" w:color="auto" w:fill="auto"/>
              </w:rPr>
            </w:pPr>
            <w:r>
              <w:rPr>
                <w:rFonts w:hint="eastAsia" w:eastAsia="宋体" w:cs="Times New Roman"/>
                <w:color w:val="auto"/>
                <w:sz w:val="21"/>
                <w:szCs w:val="21"/>
                <w:shd w:val="clear" w:color="auto" w:fill="auto"/>
              </w:rPr>
              <w:t>散货进口泊位</w:t>
            </w:r>
          </w:p>
        </w:tc>
        <w:tc>
          <w:tcPr>
            <w:tcW w:w="2236" w:type="dxa"/>
            <w:noWrap/>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w:t>
            </w:r>
          </w:p>
        </w:tc>
        <w:tc>
          <w:tcPr>
            <w:tcW w:w="2236" w:type="dxa"/>
            <w:noWrap/>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12</w:t>
            </w:r>
          </w:p>
        </w:tc>
        <w:tc>
          <w:tcPr>
            <w:tcW w:w="2238" w:type="dxa"/>
            <w:noWrap/>
            <w:vAlign w:val="center"/>
          </w:tcPr>
          <w:p>
            <w:pPr>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27</w:t>
            </w:r>
          </w:p>
        </w:tc>
      </w:tr>
    </w:tbl>
    <w:p>
      <w:pPr>
        <w:pStyle w:val="6"/>
        <w:bidi w:val="0"/>
        <w:rPr>
          <w:rFonts w:hint="eastAsia"/>
          <w:color w:val="auto"/>
          <w:shd w:val="clear" w:color="auto" w:fill="auto"/>
          <w:lang w:val="en-US" w:eastAsia="zh-CN"/>
        </w:rPr>
      </w:pPr>
      <w:bookmarkStart w:id="166" w:name="_Toc534986236"/>
      <w:bookmarkStart w:id="167" w:name="_Toc5029_WPSOffice_Level2"/>
      <w:bookmarkStart w:id="168" w:name="_Toc533837112"/>
      <w:bookmarkStart w:id="169" w:name="_Toc28265"/>
      <w:bookmarkStart w:id="170" w:name="_Toc534986825"/>
      <w:r>
        <w:rPr>
          <w:rFonts w:hint="eastAsia"/>
          <w:color w:val="auto"/>
          <w:shd w:val="clear" w:color="auto" w:fill="auto"/>
          <w:lang w:val="en-US" w:eastAsia="zh-CN"/>
        </w:rPr>
        <w:t>2.1.4.7主要技术经济指标表</w:t>
      </w:r>
      <w:bookmarkEnd w:id="166"/>
      <w:bookmarkEnd w:id="167"/>
      <w:bookmarkEnd w:id="168"/>
      <w:bookmarkEnd w:id="169"/>
      <w:bookmarkEnd w:id="170"/>
    </w:p>
    <w:p>
      <w:pPr>
        <w:pStyle w:val="43"/>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表2.1-10 主要技术经济指标表</w:t>
      </w:r>
    </w:p>
    <w:tbl>
      <w:tblPr>
        <w:tblStyle w:val="26"/>
        <w:tblW w:w="88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71"/>
        <w:gridCol w:w="3104"/>
        <w:gridCol w:w="1768"/>
        <w:gridCol w:w="28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71"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序号</w:t>
            </w:r>
          </w:p>
        </w:tc>
        <w:tc>
          <w:tcPr>
            <w:tcW w:w="3104"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名称</w:t>
            </w:r>
          </w:p>
        </w:tc>
        <w:tc>
          <w:tcPr>
            <w:tcW w:w="1768"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单位</w:t>
            </w:r>
          </w:p>
        </w:tc>
        <w:tc>
          <w:tcPr>
            <w:tcW w:w="2805" w:type="dxa"/>
            <w:noWrap w:val="0"/>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71"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1</w:t>
            </w:r>
          </w:p>
        </w:tc>
        <w:tc>
          <w:tcPr>
            <w:tcW w:w="3104"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设计代表船型</w:t>
            </w:r>
          </w:p>
        </w:tc>
        <w:tc>
          <w:tcPr>
            <w:tcW w:w="1768"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吨</w:t>
            </w:r>
          </w:p>
        </w:tc>
        <w:tc>
          <w:tcPr>
            <w:tcW w:w="2805" w:type="dxa"/>
            <w:noWrap w:val="0"/>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eastAsia" w:cs="Times New Roman"/>
                <w:color w:val="auto"/>
                <w:sz w:val="21"/>
                <w:szCs w:val="21"/>
                <w:shd w:val="clear" w:color="auto" w:fill="auto"/>
                <w:lang w:val="en-US" w:eastAsia="zh-CN"/>
              </w:rPr>
              <w:t>1</w:t>
            </w:r>
            <w:r>
              <w:rPr>
                <w:rFonts w:hint="default" w:ascii="Times New Roman" w:hAnsi="Times New Roman" w:eastAsia="宋体" w:cs="Times New Roman"/>
                <w:color w:val="auto"/>
                <w:sz w:val="21"/>
                <w:szCs w:val="21"/>
                <w:shd w:val="clear" w:color="auto" w:fill="auto"/>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71"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2</w:t>
            </w:r>
          </w:p>
        </w:tc>
        <w:tc>
          <w:tcPr>
            <w:tcW w:w="3104"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年吞吐量</w:t>
            </w:r>
          </w:p>
        </w:tc>
        <w:tc>
          <w:tcPr>
            <w:tcW w:w="1768"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万吨/年</w:t>
            </w:r>
          </w:p>
        </w:tc>
        <w:tc>
          <w:tcPr>
            <w:tcW w:w="2805" w:type="dxa"/>
            <w:noWrap w:val="0"/>
            <w:vAlign w:val="center"/>
          </w:tcPr>
          <w:p>
            <w:pPr>
              <w:spacing w:line="240" w:lineRule="auto"/>
              <w:ind w:firstLine="0" w:firstLineChars="0"/>
              <w:jc w:val="center"/>
              <w:rPr>
                <w:rFonts w:hint="eastAsia" w:ascii="Times New Roman" w:hAnsi="Times New Roman" w:eastAsia="宋体" w:cs="Times New Roman"/>
                <w:color w:val="auto"/>
                <w:sz w:val="21"/>
                <w:szCs w:val="21"/>
                <w:shd w:val="clear" w:color="auto" w:fill="auto"/>
                <w:lang w:eastAsia="zh-CN"/>
              </w:rPr>
            </w:pPr>
            <w:r>
              <w:rPr>
                <w:rFonts w:hint="eastAsia" w:cs="Times New Roman"/>
                <w:color w:val="auto"/>
                <w:sz w:val="21"/>
                <w:szCs w:val="21"/>
                <w:shd w:val="clear" w:color="auto" w:fill="auto"/>
                <w:lang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71"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3</w:t>
            </w:r>
          </w:p>
        </w:tc>
        <w:tc>
          <w:tcPr>
            <w:tcW w:w="3104"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年通过能力</w:t>
            </w:r>
          </w:p>
        </w:tc>
        <w:tc>
          <w:tcPr>
            <w:tcW w:w="1768"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万吨/年</w:t>
            </w:r>
          </w:p>
        </w:tc>
        <w:tc>
          <w:tcPr>
            <w:tcW w:w="2805" w:type="dxa"/>
            <w:noWrap w:val="0"/>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157.31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71"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4</w:t>
            </w:r>
          </w:p>
        </w:tc>
        <w:tc>
          <w:tcPr>
            <w:tcW w:w="3104"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泊位数</w:t>
            </w:r>
          </w:p>
        </w:tc>
        <w:tc>
          <w:tcPr>
            <w:tcW w:w="1768"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个</w:t>
            </w:r>
          </w:p>
        </w:tc>
        <w:tc>
          <w:tcPr>
            <w:tcW w:w="2805" w:type="dxa"/>
            <w:noWrap w:val="0"/>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71"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5</w:t>
            </w:r>
          </w:p>
        </w:tc>
        <w:tc>
          <w:tcPr>
            <w:tcW w:w="3104"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船时效率</w:t>
            </w:r>
          </w:p>
        </w:tc>
        <w:tc>
          <w:tcPr>
            <w:tcW w:w="1768"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吨/小时</w:t>
            </w:r>
          </w:p>
        </w:tc>
        <w:tc>
          <w:tcPr>
            <w:tcW w:w="2805" w:type="dxa"/>
            <w:noWrap w:val="0"/>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71"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6</w:t>
            </w:r>
          </w:p>
        </w:tc>
        <w:tc>
          <w:tcPr>
            <w:tcW w:w="3104"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rPr>
              <w:t>港口生产不平衡系数</w:t>
            </w:r>
          </w:p>
        </w:tc>
        <w:tc>
          <w:tcPr>
            <w:tcW w:w="1768"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rPr>
              <w:t>%</w:t>
            </w:r>
          </w:p>
        </w:tc>
        <w:tc>
          <w:tcPr>
            <w:tcW w:w="2805" w:type="dxa"/>
            <w:noWrap w:val="0"/>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71"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7</w:t>
            </w:r>
          </w:p>
        </w:tc>
        <w:tc>
          <w:tcPr>
            <w:tcW w:w="3104"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工作班制</w:t>
            </w:r>
          </w:p>
        </w:tc>
        <w:tc>
          <w:tcPr>
            <w:tcW w:w="1768"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班</w:t>
            </w:r>
          </w:p>
        </w:tc>
        <w:tc>
          <w:tcPr>
            <w:tcW w:w="2805" w:type="dxa"/>
            <w:noWrap w:val="0"/>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171"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8</w:t>
            </w:r>
          </w:p>
        </w:tc>
        <w:tc>
          <w:tcPr>
            <w:tcW w:w="3104"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司机/辅助工人</w:t>
            </w:r>
          </w:p>
        </w:tc>
        <w:tc>
          <w:tcPr>
            <w:tcW w:w="1768"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人</w:t>
            </w:r>
          </w:p>
        </w:tc>
        <w:tc>
          <w:tcPr>
            <w:tcW w:w="2805" w:type="dxa"/>
            <w:noWrap w:val="0"/>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w:t>
            </w:r>
            <w:r>
              <w:rPr>
                <w:rFonts w:hint="default" w:ascii="Times New Roman" w:hAnsi="Times New Roman" w:eastAsia="宋体" w:cs="Times New Roman"/>
                <w:color w:val="auto"/>
                <w:sz w:val="21"/>
                <w:szCs w:val="21"/>
                <w:shd w:val="clear" w:color="auto" w:fill="auto"/>
              </w:rPr>
              <w:t>/</w:t>
            </w:r>
            <w:r>
              <w:rPr>
                <w:rFonts w:hint="eastAsia" w:cs="Times New Roman"/>
                <w:color w:val="auto"/>
                <w:sz w:val="21"/>
                <w:szCs w:val="21"/>
                <w:shd w:val="clear" w:color="auto" w:fill="auto"/>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71"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9</w:t>
            </w:r>
          </w:p>
        </w:tc>
        <w:tc>
          <w:tcPr>
            <w:tcW w:w="3104"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装机总容量</w:t>
            </w:r>
          </w:p>
        </w:tc>
        <w:tc>
          <w:tcPr>
            <w:tcW w:w="1768"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千瓦</w:t>
            </w:r>
          </w:p>
        </w:tc>
        <w:tc>
          <w:tcPr>
            <w:tcW w:w="2805" w:type="dxa"/>
            <w:noWrap w:val="0"/>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705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71"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10</w:t>
            </w:r>
          </w:p>
        </w:tc>
        <w:tc>
          <w:tcPr>
            <w:tcW w:w="3104"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设备总投资</w:t>
            </w:r>
          </w:p>
        </w:tc>
        <w:tc>
          <w:tcPr>
            <w:tcW w:w="1768" w:type="dxa"/>
            <w:noWrap/>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万元</w:t>
            </w:r>
          </w:p>
        </w:tc>
        <w:tc>
          <w:tcPr>
            <w:tcW w:w="2805" w:type="dxa"/>
            <w:noWrap w:val="0"/>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704</w:t>
            </w:r>
          </w:p>
        </w:tc>
      </w:tr>
    </w:tbl>
    <w:p>
      <w:pPr>
        <w:pStyle w:val="5"/>
        <w:rPr>
          <w:color w:val="auto"/>
          <w:shd w:val="clear" w:color="auto" w:fill="auto"/>
        </w:rPr>
      </w:pPr>
      <w:r>
        <w:rPr>
          <w:rFonts w:hint="eastAsia"/>
          <w:color w:val="auto"/>
          <w:shd w:val="clear" w:color="auto" w:fill="auto"/>
        </w:rPr>
        <w:t>2.</w:t>
      </w:r>
      <w:r>
        <w:rPr>
          <w:rFonts w:hint="eastAsia"/>
          <w:color w:val="auto"/>
          <w:shd w:val="clear" w:color="auto" w:fill="auto"/>
          <w:lang w:val="en-US" w:eastAsia="zh-CN"/>
        </w:rPr>
        <w:t>1.5</w:t>
      </w:r>
      <w:r>
        <w:rPr>
          <w:rFonts w:hint="eastAsia"/>
          <w:color w:val="auto"/>
          <w:shd w:val="clear" w:color="auto" w:fill="auto"/>
        </w:rPr>
        <w:t>水工建筑物</w:t>
      </w:r>
    </w:p>
    <w:p>
      <w:pPr>
        <w:autoSpaceDE w:val="0"/>
        <w:autoSpaceDN w:val="0"/>
        <w:adjustRightInd w:val="0"/>
        <w:ind w:firstLine="480" w:firstLineChars="200"/>
        <w:jc w:val="left"/>
        <w:rPr>
          <w:rFonts w:hint="eastAsia"/>
          <w:color w:val="auto"/>
          <w:shd w:val="clear" w:color="auto" w:fill="auto"/>
        </w:rPr>
      </w:pPr>
      <w:bookmarkStart w:id="171" w:name="_Toc340409383"/>
      <w:bookmarkStart w:id="172" w:name="_Toc502826046"/>
      <w:bookmarkStart w:id="173" w:name="_Toc347393002"/>
      <w:r>
        <w:rPr>
          <w:rFonts w:hint="eastAsia"/>
          <w:color w:val="auto"/>
          <w:shd w:val="clear" w:color="auto" w:fill="auto"/>
        </w:rPr>
        <w:t>码头平台尺度为220×25</w:t>
      </w:r>
      <w:r>
        <w:rPr>
          <w:rFonts w:hint="eastAsia"/>
          <w:color w:val="auto"/>
          <w:shd w:val="clear" w:color="auto" w:fill="auto"/>
          <w:lang w:eastAsia="zh-CN"/>
        </w:rPr>
        <w:t>m</w:t>
      </w:r>
      <w:r>
        <w:rPr>
          <w:rFonts w:hint="eastAsia"/>
          <w:color w:val="auto"/>
          <w:shd w:val="clear" w:color="auto" w:fill="auto"/>
        </w:rPr>
        <w:t>，高桩框架结构，标准跨排架间距按7</w:t>
      </w:r>
      <w:r>
        <w:rPr>
          <w:rFonts w:hint="eastAsia"/>
          <w:color w:val="auto"/>
          <w:shd w:val="clear" w:color="auto" w:fill="auto"/>
          <w:lang w:eastAsia="zh-CN"/>
        </w:rPr>
        <w:t>m</w:t>
      </w:r>
      <w:r>
        <w:rPr>
          <w:rFonts w:hint="eastAsia"/>
          <w:color w:val="auto"/>
          <w:shd w:val="clear" w:color="auto" w:fill="auto"/>
        </w:rPr>
        <w:t>布置，吊机跨和沉降缝跨间距为4</w:t>
      </w:r>
      <w:r>
        <w:rPr>
          <w:rFonts w:hint="eastAsia"/>
          <w:color w:val="auto"/>
          <w:shd w:val="clear" w:color="auto" w:fill="auto"/>
          <w:lang w:eastAsia="zh-CN"/>
        </w:rPr>
        <w:t>m</w:t>
      </w:r>
      <w:r>
        <w:rPr>
          <w:rFonts w:hint="eastAsia"/>
          <w:color w:val="auto"/>
          <w:shd w:val="clear" w:color="auto" w:fill="auto"/>
        </w:rPr>
        <w:t>。每个排架采用5根φ1000</w:t>
      </w:r>
      <w:r>
        <w:rPr>
          <w:rFonts w:hint="eastAsia"/>
          <w:color w:val="auto"/>
          <w:shd w:val="clear" w:color="auto" w:fill="auto"/>
          <w:lang w:eastAsia="zh-CN"/>
        </w:rPr>
        <w:t>mm</w:t>
      </w:r>
      <w:r>
        <w:rPr>
          <w:rFonts w:hint="eastAsia"/>
          <w:color w:val="auto"/>
          <w:shd w:val="clear" w:color="auto" w:fill="auto"/>
        </w:rPr>
        <w:t>钻孔灌注桩基础，上部为现浇横梁、纵向梁系和靠船构件、叠合面板。为满足低水靠泊需求，码头面以下设有二层系船柱。平台前沿竖向设SA-A300，L=2000橡胶护舷，两榀排架之间的前边梁和靠船梁设有SA-A300，L=1500橡胶护舷。</w:t>
      </w:r>
    </w:p>
    <w:p>
      <w:pPr>
        <w:autoSpaceDE w:val="0"/>
        <w:autoSpaceDN w:val="0"/>
        <w:adjustRightInd w:val="0"/>
        <w:ind w:firstLine="480" w:firstLineChars="200"/>
        <w:jc w:val="left"/>
        <w:rPr>
          <w:rFonts w:hint="eastAsia"/>
          <w:color w:val="auto"/>
          <w:shd w:val="clear" w:color="auto" w:fill="auto"/>
        </w:rPr>
      </w:pPr>
      <w:r>
        <w:rPr>
          <w:rFonts w:hint="eastAsia"/>
          <w:color w:val="auto"/>
          <w:shd w:val="clear" w:color="auto" w:fill="auto"/>
        </w:rPr>
        <w:t>码头平台有道路出设现浇砼结构挡土墙，使得码头平台与道路连成整体，便于车辆行驶及作业。码头采用挖入式港池，边坡坡度为1：3，平台下方护坡结构采用23c</w:t>
      </w:r>
      <w:r>
        <w:rPr>
          <w:rFonts w:hint="eastAsia"/>
          <w:color w:val="auto"/>
          <w:shd w:val="clear" w:color="auto" w:fill="auto"/>
          <w:lang w:eastAsia="zh-CN"/>
        </w:rPr>
        <w:t>m</w:t>
      </w:r>
      <w:r>
        <w:rPr>
          <w:rFonts w:hint="eastAsia"/>
          <w:color w:val="auto"/>
          <w:shd w:val="clear" w:color="auto" w:fill="auto"/>
        </w:rPr>
        <w:t>雷诺护垫。</w:t>
      </w:r>
    </w:p>
    <w:p>
      <w:pPr>
        <w:pStyle w:val="5"/>
        <w:rPr>
          <w:rFonts w:hint="eastAsia"/>
          <w:color w:val="auto"/>
          <w:shd w:val="clear" w:color="auto" w:fill="auto"/>
        </w:rPr>
      </w:pPr>
      <w:r>
        <w:rPr>
          <w:rFonts w:hint="eastAsia"/>
          <w:color w:val="auto"/>
          <w:shd w:val="clear" w:color="auto" w:fill="auto"/>
        </w:rPr>
        <w:t>2.</w:t>
      </w:r>
      <w:r>
        <w:rPr>
          <w:rFonts w:hint="eastAsia"/>
          <w:color w:val="auto"/>
          <w:shd w:val="clear" w:color="auto" w:fill="auto"/>
          <w:lang w:val="en-US" w:eastAsia="zh-CN"/>
        </w:rPr>
        <w:t>1.6</w:t>
      </w:r>
      <w:r>
        <w:rPr>
          <w:rFonts w:hint="eastAsia"/>
          <w:color w:val="auto"/>
          <w:shd w:val="clear" w:color="auto" w:fill="auto"/>
        </w:rPr>
        <w:t>陆域形成及道路</w:t>
      </w:r>
      <w:bookmarkEnd w:id="171"/>
      <w:bookmarkEnd w:id="172"/>
      <w:bookmarkEnd w:id="173"/>
    </w:p>
    <w:p>
      <w:pPr>
        <w:pStyle w:val="6"/>
        <w:rPr>
          <w:color w:val="auto"/>
          <w:shd w:val="clear" w:color="auto" w:fill="auto"/>
        </w:rPr>
      </w:pPr>
      <w:bookmarkStart w:id="174" w:name="_Toc261012693"/>
      <w:bookmarkStart w:id="175" w:name="_Toc502826047"/>
      <w:bookmarkStart w:id="176" w:name="_Toc392659866"/>
      <w:r>
        <w:rPr>
          <w:rFonts w:hint="eastAsia"/>
          <w:color w:val="auto"/>
          <w:shd w:val="clear" w:color="auto" w:fill="auto"/>
        </w:rPr>
        <w:t>2.</w:t>
      </w:r>
      <w:r>
        <w:rPr>
          <w:rFonts w:hint="eastAsia"/>
          <w:color w:val="auto"/>
          <w:shd w:val="clear" w:color="auto" w:fill="auto"/>
          <w:lang w:val="en-US" w:eastAsia="zh-CN"/>
        </w:rPr>
        <w:t>1.6.1</w:t>
      </w:r>
      <w:r>
        <w:rPr>
          <w:rFonts w:hint="eastAsia"/>
          <w:color w:val="auto"/>
          <w:shd w:val="clear" w:color="auto" w:fill="auto"/>
        </w:rPr>
        <w:t>陆域形成</w:t>
      </w:r>
      <w:bookmarkEnd w:id="174"/>
      <w:bookmarkEnd w:id="175"/>
      <w:bookmarkEnd w:id="176"/>
    </w:p>
    <w:p>
      <w:pPr>
        <w:autoSpaceDE w:val="0"/>
        <w:autoSpaceDN w:val="0"/>
        <w:adjustRightInd w:val="0"/>
        <w:ind w:firstLine="480" w:firstLineChars="200"/>
        <w:jc w:val="left"/>
        <w:rPr>
          <w:rFonts w:hint="eastAsia"/>
          <w:color w:val="auto"/>
          <w:shd w:val="clear" w:color="auto" w:fill="auto"/>
        </w:rPr>
      </w:pPr>
      <w:r>
        <w:rPr>
          <w:rFonts w:hint="eastAsia"/>
          <w:color w:val="auto"/>
          <w:shd w:val="clear" w:color="auto" w:fill="auto"/>
        </w:rPr>
        <w:t>本工程陆域平均纵深约80</w:t>
      </w:r>
      <w:r>
        <w:rPr>
          <w:rFonts w:hint="eastAsia"/>
          <w:color w:val="auto"/>
          <w:shd w:val="clear" w:color="auto" w:fill="auto"/>
          <w:lang w:eastAsia="zh-CN"/>
        </w:rPr>
        <w:t>m</w:t>
      </w:r>
      <w:r>
        <w:rPr>
          <w:rFonts w:hint="eastAsia"/>
          <w:color w:val="auto"/>
          <w:shd w:val="clear" w:color="auto" w:fill="auto"/>
        </w:rPr>
        <w:t>，宽175</w:t>
      </w:r>
      <w:r>
        <w:rPr>
          <w:rFonts w:hint="eastAsia"/>
          <w:color w:val="auto"/>
          <w:shd w:val="clear" w:color="auto" w:fill="auto"/>
          <w:lang w:eastAsia="zh-CN"/>
        </w:rPr>
        <w:t>m</w:t>
      </w:r>
      <w:r>
        <w:rPr>
          <w:rFonts w:hint="eastAsia"/>
          <w:color w:val="auto"/>
          <w:shd w:val="clear" w:color="auto" w:fill="auto"/>
        </w:rPr>
        <w:t>，共占地约</w:t>
      </w:r>
      <w:r>
        <w:rPr>
          <w:rFonts w:hint="eastAsia"/>
          <w:color w:val="auto"/>
          <w:shd w:val="clear" w:color="auto" w:fill="auto"/>
          <w:lang w:val="en-US" w:eastAsia="zh-CN"/>
        </w:rPr>
        <w:t>36</w:t>
      </w:r>
      <w:r>
        <w:rPr>
          <w:rFonts w:hint="eastAsia"/>
          <w:color w:val="auto"/>
          <w:shd w:val="clear" w:color="auto" w:fill="auto"/>
        </w:rPr>
        <w:t>亩。为便于陆域排水</w:t>
      </w:r>
      <w:r>
        <w:rPr>
          <w:rFonts w:hint="eastAsia"/>
          <w:color w:val="auto"/>
          <w:shd w:val="clear" w:color="auto" w:fill="auto"/>
          <w:lang w:eastAsia="zh-CN"/>
        </w:rPr>
        <w:t>，</w:t>
      </w:r>
      <w:r>
        <w:rPr>
          <w:rFonts w:hint="eastAsia"/>
          <w:color w:val="auto"/>
          <w:shd w:val="clear" w:color="auto" w:fill="auto"/>
        </w:rPr>
        <w:t>码头平台后方平接陆域，陆域形成后的高程和码头前方高程一致取33.0～33.5</w:t>
      </w:r>
      <w:r>
        <w:rPr>
          <w:rFonts w:hint="eastAsia"/>
          <w:color w:val="auto"/>
          <w:shd w:val="clear" w:color="auto" w:fill="auto"/>
          <w:lang w:eastAsia="zh-CN"/>
        </w:rPr>
        <w:t>m</w:t>
      </w:r>
      <w:r>
        <w:rPr>
          <w:rFonts w:hint="eastAsia"/>
          <w:color w:val="auto"/>
          <w:shd w:val="clear" w:color="auto" w:fill="auto"/>
        </w:rPr>
        <w:t>。</w:t>
      </w:r>
    </w:p>
    <w:p>
      <w:pPr>
        <w:autoSpaceDE w:val="0"/>
        <w:autoSpaceDN w:val="0"/>
        <w:adjustRightInd w:val="0"/>
        <w:ind w:firstLine="480" w:firstLineChars="200"/>
        <w:jc w:val="left"/>
        <w:rPr>
          <w:rFonts w:hint="eastAsia"/>
          <w:color w:val="auto"/>
          <w:shd w:val="clear" w:color="auto" w:fill="auto"/>
        </w:rPr>
      </w:pPr>
      <w:r>
        <w:rPr>
          <w:rFonts w:hint="eastAsia"/>
          <w:color w:val="auto"/>
          <w:shd w:val="clear" w:color="auto" w:fill="auto"/>
        </w:rPr>
        <w:t>陆域地基处理采用换填法</w:t>
      </w:r>
      <w:r>
        <w:rPr>
          <w:rFonts w:hint="eastAsia"/>
          <w:color w:val="auto"/>
          <w:shd w:val="clear" w:color="auto" w:fill="auto"/>
          <w:lang w:eastAsia="zh-CN"/>
        </w:rPr>
        <w:t>，</w:t>
      </w:r>
      <w:r>
        <w:rPr>
          <w:rFonts w:hint="eastAsia"/>
          <w:color w:val="auto"/>
          <w:shd w:val="clear" w:color="auto" w:fill="auto"/>
        </w:rPr>
        <w:t>就是将基础底面以下不太深的一定范围内的软弱土层挖去，然后以质地坚硬、强度较高、性能稳定、具有抗侵蚀性的砂、碎石、卵石、素土、灰土、粉煤灰、矿渣等材料以及土工合成材料分层充填，并同时以人工或机械方法分层压、夯、振动，使之达到要求的密实度，成为良好的人工地基。</w:t>
      </w:r>
    </w:p>
    <w:p>
      <w:pPr>
        <w:autoSpaceDE w:val="0"/>
        <w:autoSpaceDN w:val="0"/>
        <w:adjustRightInd w:val="0"/>
        <w:ind w:firstLine="480" w:firstLineChars="200"/>
        <w:jc w:val="left"/>
        <w:rPr>
          <w:rFonts w:hint="eastAsia" w:eastAsia="宋体"/>
          <w:color w:val="auto"/>
          <w:shd w:val="clear" w:color="auto" w:fill="auto"/>
          <w:lang w:eastAsia="zh-CN"/>
        </w:rPr>
      </w:pPr>
      <w:r>
        <w:rPr>
          <w:rFonts w:hint="eastAsia"/>
          <w:color w:val="auto"/>
          <w:shd w:val="clear" w:color="auto" w:fill="auto"/>
        </w:rPr>
        <w:t>首先对场地进行清表30c</w:t>
      </w:r>
      <w:r>
        <w:rPr>
          <w:rFonts w:hint="eastAsia"/>
          <w:color w:val="auto"/>
          <w:shd w:val="clear" w:color="auto" w:fill="auto"/>
          <w:lang w:eastAsia="zh-CN"/>
        </w:rPr>
        <w:t>m</w:t>
      </w:r>
      <w:r>
        <w:rPr>
          <w:rFonts w:hint="eastAsia"/>
          <w:color w:val="auto"/>
          <w:shd w:val="clear" w:color="auto" w:fill="auto"/>
        </w:rPr>
        <w:t>，然后根据现场地形分区域整平场地；若反挖后高程低于铺面结构层底高程，路面结构层以下0～60c</w:t>
      </w:r>
      <w:r>
        <w:rPr>
          <w:rFonts w:hint="eastAsia"/>
          <w:color w:val="auto"/>
          <w:shd w:val="clear" w:color="auto" w:fill="auto"/>
          <w:lang w:eastAsia="zh-CN"/>
        </w:rPr>
        <w:t>m</w:t>
      </w:r>
      <w:r>
        <w:rPr>
          <w:rFonts w:hint="eastAsia"/>
          <w:color w:val="auto"/>
          <w:shd w:val="clear" w:color="auto" w:fill="auto"/>
        </w:rPr>
        <w:t>路床回填三层20c</w:t>
      </w:r>
      <w:r>
        <w:rPr>
          <w:rFonts w:hint="eastAsia"/>
          <w:color w:val="auto"/>
          <w:shd w:val="clear" w:color="auto" w:fill="auto"/>
          <w:lang w:eastAsia="zh-CN"/>
        </w:rPr>
        <w:t>m</w:t>
      </w:r>
      <w:r>
        <w:rPr>
          <w:rFonts w:hint="eastAsia"/>
          <w:color w:val="auto"/>
          <w:shd w:val="clear" w:color="auto" w:fill="auto"/>
          <w:lang w:val="en-US" w:eastAsia="zh-CN"/>
        </w:rPr>
        <w:t xml:space="preserve"> </w:t>
      </w:r>
      <w:r>
        <w:rPr>
          <w:rFonts w:hint="eastAsia"/>
          <w:color w:val="auto"/>
          <w:shd w:val="clear" w:color="auto" w:fill="auto"/>
        </w:rPr>
        <w:t>8%石灰改善土，60c</w:t>
      </w:r>
      <w:r>
        <w:rPr>
          <w:rFonts w:hint="eastAsia"/>
          <w:color w:val="auto"/>
          <w:shd w:val="clear" w:color="auto" w:fill="auto"/>
          <w:lang w:eastAsia="zh-CN"/>
        </w:rPr>
        <w:t>m</w:t>
      </w:r>
      <w:r>
        <w:rPr>
          <w:rFonts w:hint="eastAsia"/>
          <w:color w:val="auto"/>
          <w:shd w:val="clear" w:color="auto" w:fill="auto"/>
        </w:rPr>
        <w:t>路床以下回填4%石灰改善土；若反挖后高程高于铺面结构层底高程，则需继续开挖至结构层底设计高程，换填三层20c</w:t>
      </w:r>
      <w:r>
        <w:rPr>
          <w:rFonts w:hint="eastAsia"/>
          <w:color w:val="auto"/>
          <w:shd w:val="clear" w:color="auto" w:fill="auto"/>
          <w:lang w:eastAsia="zh-CN"/>
        </w:rPr>
        <w:t>m</w:t>
      </w:r>
      <w:r>
        <w:rPr>
          <w:rFonts w:hint="eastAsia"/>
          <w:color w:val="auto"/>
          <w:shd w:val="clear" w:color="auto" w:fill="auto"/>
          <w:lang w:val="en-US" w:eastAsia="zh-CN"/>
        </w:rPr>
        <w:t xml:space="preserve"> </w:t>
      </w:r>
      <w:r>
        <w:rPr>
          <w:rFonts w:hint="eastAsia"/>
          <w:color w:val="auto"/>
          <w:shd w:val="clear" w:color="auto" w:fill="auto"/>
        </w:rPr>
        <w:t>8%</w:t>
      </w:r>
      <w:r>
        <w:rPr>
          <w:rFonts w:hint="eastAsia"/>
          <w:color w:val="auto"/>
          <w:shd w:val="clear" w:color="auto" w:fill="auto"/>
          <w:lang w:val="en-US" w:eastAsia="zh-CN"/>
        </w:rPr>
        <w:t xml:space="preserve"> </w:t>
      </w:r>
      <w:r>
        <w:rPr>
          <w:rFonts w:hint="eastAsia"/>
          <w:color w:val="auto"/>
          <w:shd w:val="clear" w:color="auto" w:fill="auto"/>
        </w:rPr>
        <w:t>石灰改善土。路基填料最小强度和最大粒径、压实度（重型）要求需满足相关规范的规定</w:t>
      </w:r>
      <w:r>
        <w:rPr>
          <w:rFonts w:hint="eastAsia"/>
          <w:color w:val="auto"/>
          <w:shd w:val="clear" w:color="auto" w:fill="auto"/>
          <w:lang w:eastAsia="zh-CN"/>
        </w:rPr>
        <w:t>。</w:t>
      </w:r>
    </w:p>
    <w:p>
      <w:pPr>
        <w:pStyle w:val="6"/>
        <w:rPr>
          <w:rFonts w:hint="eastAsia"/>
          <w:b w:val="0"/>
          <w:bCs w:val="0"/>
          <w:color w:val="auto"/>
          <w:shd w:val="clear" w:color="auto" w:fill="auto"/>
        </w:rPr>
      </w:pPr>
      <w:bookmarkStart w:id="177" w:name="_Toc261012694"/>
      <w:bookmarkStart w:id="178" w:name="_Toc392659867"/>
      <w:bookmarkStart w:id="179" w:name="_Toc502826048"/>
      <w:r>
        <w:rPr>
          <w:rFonts w:hint="eastAsia"/>
          <w:color w:val="auto"/>
          <w:shd w:val="clear" w:color="auto" w:fill="auto"/>
          <w:lang w:val="en-US" w:eastAsia="zh-CN"/>
        </w:rPr>
        <w:t>2.1.6.2</w:t>
      </w:r>
      <w:r>
        <w:rPr>
          <w:rFonts w:hint="eastAsia"/>
          <w:color w:val="auto"/>
          <w:shd w:val="clear" w:color="auto" w:fill="auto"/>
        </w:rPr>
        <w:t>道路</w:t>
      </w:r>
      <w:bookmarkEnd w:id="177"/>
      <w:bookmarkEnd w:id="178"/>
      <w:bookmarkEnd w:id="179"/>
      <w:r>
        <w:rPr>
          <w:rFonts w:hint="eastAsia"/>
          <w:b w:val="0"/>
          <w:bCs w:val="0"/>
          <w:color w:val="auto"/>
          <w:shd w:val="clear" w:color="auto" w:fill="auto"/>
        </w:rPr>
        <w:t xml:space="preserve"> </w:t>
      </w:r>
    </w:p>
    <w:p>
      <w:pPr>
        <w:tabs>
          <w:tab w:val="left" w:pos="336"/>
        </w:tabs>
        <w:autoSpaceDE w:val="0"/>
        <w:autoSpaceDN w:val="0"/>
        <w:spacing w:line="360" w:lineRule="auto"/>
        <w:ind w:firstLine="567"/>
        <w:jc w:val="left"/>
        <w:rPr>
          <w:rFonts w:hint="eastAsia"/>
          <w:b w:val="0"/>
          <w:bCs w:val="0"/>
          <w:color w:val="auto"/>
          <w:shd w:val="clear" w:color="auto" w:fill="auto"/>
        </w:rPr>
      </w:pPr>
      <w:r>
        <w:rPr>
          <w:rFonts w:hint="eastAsia"/>
          <w:b w:val="0"/>
          <w:bCs w:val="0"/>
          <w:color w:val="auto"/>
          <w:shd w:val="clear" w:color="auto" w:fill="auto"/>
        </w:rPr>
        <w:t>港区周围设环形道路，港区主干道宽15</w:t>
      </w:r>
      <w:r>
        <w:rPr>
          <w:rFonts w:hint="eastAsia"/>
          <w:b w:val="0"/>
          <w:bCs w:val="0"/>
          <w:color w:val="auto"/>
          <w:shd w:val="clear" w:color="auto" w:fill="auto"/>
          <w:lang w:eastAsia="zh-CN"/>
        </w:rPr>
        <w:t>m</w:t>
      </w:r>
      <w:r>
        <w:rPr>
          <w:rFonts w:hint="eastAsia"/>
          <w:b w:val="0"/>
          <w:bCs w:val="0"/>
          <w:color w:val="auto"/>
          <w:shd w:val="clear" w:color="auto" w:fill="auto"/>
        </w:rPr>
        <w:t>，循环道路宽9</w:t>
      </w:r>
      <w:r>
        <w:rPr>
          <w:rFonts w:hint="eastAsia"/>
          <w:b w:val="0"/>
          <w:bCs w:val="0"/>
          <w:color w:val="auto"/>
          <w:shd w:val="clear" w:color="auto" w:fill="auto"/>
          <w:lang w:eastAsia="zh-CN"/>
        </w:rPr>
        <w:t>m</w:t>
      </w:r>
      <w:r>
        <w:rPr>
          <w:rFonts w:hint="eastAsia"/>
          <w:b w:val="0"/>
          <w:bCs w:val="0"/>
          <w:color w:val="auto"/>
          <w:shd w:val="clear" w:color="auto" w:fill="auto"/>
        </w:rPr>
        <w:t>。</w:t>
      </w:r>
    </w:p>
    <w:p>
      <w:pPr>
        <w:tabs>
          <w:tab w:val="left" w:pos="336"/>
        </w:tabs>
        <w:autoSpaceDE w:val="0"/>
        <w:autoSpaceDN w:val="0"/>
        <w:spacing w:line="360" w:lineRule="auto"/>
        <w:ind w:firstLine="567"/>
        <w:jc w:val="left"/>
        <w:rPr>
          <w:rFonts w:hint="eastAsia" w:ascii="Calibri" w:hAnsi="Calibri"/>
          <w:color w:val="auto"/>
          <w:sz w:val="28"/>
          <w:szCs w:val="28"/>
          <w:shd w:val="clear" w:color="auto" w:fill="auto"/>
        </w:rPr>
      </w:pPr>
      <w:r>
        <w:rPr>
          <w:rFonts w:hint="eastAsia"/>
          <w:b w:val="0"/>
          <w:bCs w:val="0"/>
          <w:color w:val="auto"/>
          <w:shd w:val="clear" w:color="auto" w:fill="auto"/>
        </w:rPr>
        <w:t>考虑港区重载车辆较多，道路采用水泥混凝土路面，结构层自上而下为：</w:t>
      </w:r>
      <w:bookmarkStart w:id="180" w:name="_Toc261012695"/>
      <w:r>
        <w:rPr>
          <w:rFonts w:hint="eastAsia"/>
          <w:b w:val="0"/>
          <w:bCs w:val="0"/>
          <w:color w:val="auto"/>
          <w:shd w:val="clear" w:color="auto" w:fill="auto"/>
        </w:rPr>
        <w:t>26c</w:t>
      </w:r>
      <w:r>
        <w:rPr>
          <w:rFonts w:hint="eastAsia"/>
          <w:b w:val="0"/>
          <w:bCs w:val="0"/>
          <w:color w:val="auto"/>
          <w:shd w:val="clear" w:color="auto" w:fill="auto"/>
          <w:lang w:eastAsia="zh-CN"/>
        </w:rPr>
        <w:t>m</w:t>
      </w:r>
      <w:r>
        <w:rPr>
          <w:rFonts w:hint="eastAsia"/>
          <w:b w:val="0"/>
          <w:bCs w:val="0"/>
          <w:color w:val="auto"/>
          <w:shd w:val="clear" w:color="auto" w:fill="auto"/>
        </w:rPr>
        <w:t>C35水泥混凝土、32c</w:t>
      </w:r>
      <w:r>
        <w:rPr>
          <w:rFonts w:hint="eastAsia"/>
          <w:b w:val="0"/>
          <w:bCs w:val="0"/>
          <w:color w:val="auto"/>
          <w:shd w:val="clear" w:color="auto" w:fill="auto"/>
          <w:lang w:eastAsia="zh-CN"/>
        </w:rPr>
        <w:t>m</w:t>
      </w:r>
      <w:r>
        <w:rPr>
          <w:rFonts w:hint="eastAsia"/>
          <w:b w:val="0"/>
          <w:bCs w:val="0"/>
          <w:color w:val="auto"/>
          <w:shd w:val="clear" w:color="auto" w:fill="auto"/>
        </w:rPr>
        <w:t>水泥稳定碎石和20c</w:t>
      </w:r>
      <w:r>
        <w:rPr>
          <w:rFonts w:hint="eastAsia"/>
          <w:b w:val="0"/>
          <w:bCs w:val="0"/>
          <w:color w:val="auto"/>
          <w:shd w:val="clear" w:color="auto" w:fill="auto"/>
          <w:lang w:eastAsia="zh-CN"/>
        </w:rPr>
        <w:t>m</w:t>
      </w:r>
      <w:r>
        <w:rPr>
          <w:rFonts w:hint="eastAsia"/>
          <w:b w:val="0"/>
          <w:bCs w:val="0"/>
          <w:color w:val="auto"/>
          <w:shd w:val="clear" w:color="auto" w:fill="auto"/>
        </w:rPr>
        <w:t>低剂量水泥稳定碎石。</w:t>
      </w:r>
    </w:p>
    <w:bookmarkEnd w:id="180"/>
    <w:p>
      <w:pPr>
        <w:pStyle w:val="5"/>
        <w:rPr>
          <w:color w:val="auto"/>
          <w:shd w:val="clear" w:color="auto" w:fill="auto"/>
        </w:rPr>
      </w:pPr>
      <w:r>
        <w:rPr>
          <w:rFonts w:hint="eastAsia"/>
          <w:color w:val="auto"/>
          <w:shd w:val="clear" w:color="auto" w:fill="auto"/>
        </w:rPr>
        <w:t>2.</w:t>
      </w:r>
      <w:r>
        <w:rPr>
          <w:rFonts w:hint="eastAsia"/>
          <w:color w:val="auto"/>
          <w:shd w:val="clear" w:color="auto" w:fill="auto"/>
          <w:lang w:val="en-US" w:eastAsia="zh-CN"/>
        </w:rPr>
        <w:t>1.7</w:t>
      </w:r>
      <w:r>
        <w:rPr>
          <w:rFonts w:hint="eastAsia"/>
          <w:color w:val="auto"/>
          <w:shd w:val="clear" w:color="auto" w:fill="auto"/>
        </w:rPr>
        <w:t>配套工程</w:t>
      </w:r>
    </w:p>
    <w:p>
      <w:pPr>
        <w:ind w:firstLine="480"/>
        <w:rPr>
          <w:color w:val="auto"/>
          <w:shd w:val="clear" w:color="auto" w:fill="auto"/>
        </w:rPr>
      </w:pPr>
      <w:r>
        <w:rPr>
          <w:rFonts w:hint="eastAsia"/>
          <w:color w:val="auto"/>
          <w:shd w:val="clear" w:color="auto" w:fill="auto"/>
        </w:rPr>
        <w:t>本</w:t>
      </w:r>
      <w:r>
        <w:rPr>
          <w:rFonts w:hint="eastAsia" w:ascii="Times New Roman" w:hAnsi="Times New Roman" w:eastAsia="宋体" w:cs="Times New Roman"/>
          <w:b w:val="0"/>
          <w:bCs w:val="0"/>
          <w:color w:val="auto"/>
          <w:kern w:val="2"/>
          <w:sz w:val="24"/>
          <w:szCs w:val="24"/>
          <w:shd w:val="clear" w:color="auto" w:fill="auto"/>
          <w:lang w:val="en-US" w:eastAsia="zh-CN" w:bidi="ar-SA"/>
        </w:rPr>
        <w:t>工程配套工程包括港区道路、供电、给排水、消防、通信、自动控制、计算机管理系统、生产及辅助建筑物等。</w:t>
      </w:r>
    </w:p>
    <w:p>
      <w:pPr>
        <w:pStyle w:val="6"/>
        <w:rPr>
          <w:rFonts w:hint="eastAsia" w:eastAsia="宋体"/>
          <w:color w:val="auto"/>
          <w:shd w:val="clear" w:color="auto" w:fill="auto"/>
          <w:lang w:val="en-US" w:eastAsia="zh-CN"/>
        </w:rPr>
      </w:pPr>
      <w:bookmarkStart w:id="181" w:name="_Toc340409389"/>
      <w:bookmarkStart w:id="182" w:name="_Toc347393004"/>
      <w:bookmarkStart w:id="183" w:name="_Toc502826050"/>
      <w:r>
        <w:rPr>
          <w:rFonts w:hint="eastAsia"/>
          <w:color w:val="auto"/>
          <w:shd w:val="clear" w:color="auto" w:fill="auto"/>
        </w:rPr>
        <w:t>2.</w:t>
      </w:r>
      <w:r>
        <w:rPr>
          <w:rFonts w:hint="eastAsia"/>
          <w:color w:val="auto"/>
          <w:shd w:val="clear" w:color="auto" w:fill="auto"/>
          <w:lang w:val="en-US" w:eastAsia="zh-CN"/>
        </w:rPr>
        <w:t>1.7</w:t>
      </w:r>
      <w:r>
        <w:rPr>
          <w:rFonts w:hint="eastAsia"/>
          <w:color w:val="auto"/>
          <w:shd w:val="clear" w:color="auto" w:fill="auto"/>
        </w:rPr>
        <w:t>.1</w:t>
      </w:r>
      <w:bookmarkEnd w:id="181"/>
      <w:bookmarkEnd w:id="182"/>
      <w:bookmarkEnd w:id="183"/>
      <w:r>
        <w:rPr>
          <w:rFonts w:hint="eastAsia"/>
          <w:color w:val="auto"/>
          <w:shd w:val="clear" w:color="auto" w:fill="auto"/>
          <w:lang w:val="en-US" w:eastAsia="zh-CN"/>
        </w:rPr>
        <w:t>疏港道路</w:t>
      </w:r>
    </w:p>
    <w:p>
      <w:pPr>
        <w:rPr>
          <w:b w:val="0"/>
          <w:bCs w:val="0"/>
          <w:color w:val="auto"/>
          <w:shd w:val="clear" w:color="auto" w:fill="auto"/>
        </w:rPr>
      </w:pPr>
      <w:r>
        <w:rPr>
          <w:rFonts w:hint="eastAsia"/>
          <w:b w:val="0"/>
          <w:bCs w:val="0"/>
          <w:color w:val="auto"/>
          <w:shd w:val="clear" w:color="auto" w:fill="auto"/>
        </w:rPr>
        <w:t>1</w:t>
      </w:r>
      <w:r>
        <w:rPr>
          <w:rFonts w:hint="eastAsia"/>
          <w:b w:val="0"/>
          <w:bCs w:val="0"/>
          <w:color w:val="auto"/>
          <w:shd w:val="clear" w:color="auto" w:fill="auto"/>
          <w:lang w:eastAsia="zh-CN"/>
        </w:rPr>
        <w:t>、</w:t>
      </w:r>
      <w:r>
        <w:rPr>
          <w:rFonts w:hint="eastAsia"/>
          <w:b w:val="0"/>
          <w:bCs w:val="0"/>
          <w:color w:val="auto"/>
          <w:shd w:val="clear" w:color="auto" w:fill="auto"/>
        </w:rPr>
        <w:t>港区交通概况</w:t>
      </w:r>
    </w:p>
    <w:p>
      <w:pPr>
        <w:ind w:firstLine="480"/>
        <w:rPr>
          <w:rFonts w:hint="eastAsia"/>
          <w:b w:val="0"/>
          <w:bCs w:val="0"/>
          <w:color w:val="auto"/>
          <w:shd w:val="clear" w:color="auto" w:fill="auto"/>
        </w:rPr>
      </w:pPr>
      <w:r>
        <w:rPr>
          <w:rFonts w:hint="eastAsia"/>
          <w:b w:val="0"/>
          <w:bCs w:val="0"/>
          <w:color w:val="auto"/>
          <w:shd w:val="clear" w:color="auto" w:fill="auto"/>
        </w:rPr>
        <w:t>本工程集疏运条件较好，车辆可从050乡道直接行使到码头位置。沙颍河与淮河航道连通构成发达的内河航道网，水路运输方便。</w:t>
      </w:r>
    </w:p>
    <w:p>
      <w:pPr>
        <w:rPr>
          <w:b w:val="0"/>
          <w:bCs w:val="0"/>
          <w:color w:val="auto"/>
          <w:shd w:val="clear" w:color="auto" w:fill="auto"/>
        </w:rPr>
      </w:pPr>
      <w:r>
        <w:rPr>
          <w:rFonts w:hint="eastAsia"/>
          <w:b w:val="0"/>
          <w:bCs w:val="0"/>
          <w:color w:val="auto"/>
          <w:shd w:val="clear" w:color="auto" w:fill="auto"/>
        </w:rPr>
        <w:t>2</w:t>
      </w:r>
      <w:r>
        <w:rPr>
          <w:rFonts w:hint="eastAsia"/>
          <w:b w:val="0"/>
          <w:bCs w:val="0"/>
          <w:color w:val="auto"/>
          <w:shd w:val="clear" w:color="auto" w:fill="auto"/>
          <w:lang w:eastAsia="zh-CN"/>
        </w:rPr>
        <w:t>、</w:t>
      </w:r>
      <w:r>
        <w:rPr>
          <w:rFonts w:hint="eastAsia"/>
          <w:b w:val="0"/>
          <w:bCs w:val="0"/>
          <w:color w:val="auto"/>
          <w:shd w:val="clear" w:color="auto" w:fill="auto"/>
        </w:rPr>
        <w:t>道路方案</w:t>
      </w:r>
    </w:p>
    <w:p>
      <w:pPr>
        <w:ind w:firstLine="480"/>
        <w:rPr>
          <w:rFonts w:hint="eastAsia"/>
          <w:b w:val="0"/>
          <w:bCs w:val="0"/>
          <w:color w:val="auto"/>
          <w:shd w:val="clear" w:color="auto" w:fill="auto"/>
        </w:rPr>
      </w:pPr>
      <w:r>
        <w:rPr>
          <w:rFonts w:hint="eastAsia"/>
          <w:b w:val="0"/>
          <w:bCs w:val="0"/>
          <w:color w:val="auto"/>
          <w:shd w:val="clear" w:color="auto" w:fill="auto"/>
        </w:rPr>
        <w:t>港区周围设环形道路，港区主干道宽15</w:t>
      </w:r>
      <w:r>
        <w:rPr>
          <w:rFonts w:hint="eastAsia"/>
          <w:b w:val="0"/>
          <w:bCs w:val="0"/>
          <w:color w:val="auto"/>
          <w:shd w:val="clear" w:color="auto" w:fill="auto"/>
          <w:lang w:eastAsia="zh-CN"/>
        </w:rPr>
        <w:t>m</w:t>
      </w:r>
      <w:r>
        <w:rPr>
          <w:rFonts w:hint="eastAsia"/>
          <w:b w:val="0"/>
          <w:bCs w:val="0"/>
          <w:color w:val="auto"/>
          <w:shd w:val="clear" w:color="auto" w:fill="auto"/>
        </w:rPr>
        <w:t>，循环道路宽9</w:t>
      </w:r>
      <w:r>
        <w:rPr>
          <w:rFonts w:hint="eastAsia"/>
          <w:b w:val="0"/>
          <w:bCs w:val="0"/>
          <w:color w:val="auto"/>
          <w:shd w:val="clear" w:color="auto" w:fill="auto"/>
          <w:lang w:eastAsia="zh-CN"/>
        </w:rPr>
        <w:t>m</w:t>
      </w:r>
      <w:r>
        <w:rPr>
          <w:rFonts w:hint="eastAsia"/>
          <w:b w:val="0"/>
          <w:bCs w:val="0"/>
          <w:color w:val="auto"/>
          <w:shd w:val="clear" w:color="auto" w:fill="auto"/>
        </w:rPr>
        <w:t>。</w:t>
      </w:r>
    </w:p>
    <w:p>
      <w:pPr>
        <w:pStyle w:val="6"/>
        <w:rPr>
          <w:color w:val="auto"/>
          <w:shd w:val="clear" w:color="auto" w:fill="auto"/>
        </w:rPr>
      </w:pPr>
      <w:bookmarkStart w:id="184" w:name="_Toc347393005"/>
      <w:bookmarkStart w:id="185" w:name="_Toc502826051"/>
      <w:bookmarkStart w:id="186" w:name="_Toc340409390"/>
      <w:bookmarkStart w:id="187" w:name="_Toc225325255"/>
      <w:r>
        <w:rPr>
          <w:rFonts w:hint="eastAsia"/>
          <w:color w:val="auto"/>
          <w:shd w:val="clear" w:color="auto" w:fill="auto"/>
          <w:lang w:val="en-US" w:eastAsia="zh-CN"/>
        </w:rPr>
        <w:t>2.1.7.2</w:t>
      </w:r>
      <w:r>
        <w:rPr>
          <w:rFonts w:hint="eastAsia"/>
          <w:color w:val="auto"/>
          <w:shd w:val="clear" w:color="auto" w:fill="auto"/>
        </w:rPr>
        <w:t>供电及照明</w:t>
      </w:r>
      <w:bookmarkEnd w:id="184"/>
      <w:bookmarkEnd w:id="185"/>
      <w:bookmarkEnd w:id="186"/>
      <w:bookmarkEnd w:id="187"/>
    </w:p>
    <w:p>
      <w:pPr>
        <w:rPr>
          <w:b/>
          <w:bCs/>
          <w:color w:val="auto"/>
          <w:shd w:val="clear" w:color="auto" w:fill="auto"/>
        </w:rPr>
      </w:pPr>
      <w:r>
        <w:rPr>
          <w:rFonts w:hint="eastAsia"/>
          <w:b/>
          <w:bCs/>
          <w:color w:val="auto"/>
          <w:shd w:val="clear" w:color="auto" w:fill="auto"/>
        </w:rPr>
        <w:t>1</w:t>
      </w:r>
      <w:r>
        <w:rPr>
          <w:rFonts w:hint="eastAsia"/>
          <w:b/>
          <w:bCs/>
          <w:color w:val="auto"/>
          <w:shd w:val="clear" w:color="auto" w:fill="auto"/>
          <w:lang w:eastAsia="zh-CN"/>
        </w:rPr>
        <w:t>、</w:t>
      </w:r>
      <w:r>
        <w:rPr>
          <w:rFonts w:hint="eastAsia"/>
          <w:b/>
          <w:bCs/>
          <w:color w:val="auto"/>
          <w:shd w:val="clear" w:color="auto" w:fill="auto"/>
        </w:rPr>
        <w:t>电源</w:t>
      </w:r>
    </w:p>
    <w:p>
      <w:pPr>
        <w:ind w:firstLine="480"/>
        <w:rPr>
          <w:rFonts w:hint="eastAsia"/>
          <w:b w:val="0"/>
          <w:bCs w:val="0"/>
          <w:color w:val="auto"/>
          <w:shd w:val="clear" w:color="auto" w:fill="auto"/>
        </w:rPr>
      </w:pPr>
      <w:r>
        <w:rPr>
          <w:rFonts w:hint="eastAsia"/>
          <w:b w:val="0"/>
          <w:bCs w:val="0"/>
          <w:color w:val="auto"/>
          <w:shd w:val="clear" w:color="auto" w:fill="auto"/>
        </w:rPr>
        <w:t>本工程就近从当地市政开闭所或10kV架空线路引入一路10kV高压电源至码头新建变配电所。</w:t>
      </w:r>
    </w:p>
    <w:p>
      <w:pPr>
        <w:rPr>
          <w:b/>
          <w:bCs/>
          <w:color w:val="auto"/>
          <w:shd w:val="clear" w:color="auto" w:fill="auto"/>
        </w:rPr>
      </w:pPr>
      <w:r>
        <w:rPr>
          <w:rFonts w:hint="eastAsia"/>
          <w:b/>
          <w:bCs/>
          <w:color w:val="auto"/>
          <w:shd w:val="clear" w:color="auto" w:fill="auto"/>
        </w:rPr>
        <w:t>2</w:t>
      </w:r>
      <w:r>
        <w:rPr>
          <w:rFonts w:hint="eastAsia"/>
          <w:b/>
          <w:bCs/>
          <w:color w:val="auto"/>
          <w:shd w:val="clear" w:color="auto" w:fill="auto"/>
          <w:lang w:eastAsia="zh-CN"/>
        </w:rPr>
        <w:t>、</w:t>
      </w:r>
      <w:r>
        <w:rPr>
          <w:rFonts w:hint="eastAsia"/>
          <w:b/>
          <w:bCs/>
          <w:color w:val="auto"/>
          <w:shd w:val="clear" w:color="auto" w:fill="auto"/>
        </w:rPr>
        <w:t>供电方案</w:t>
      </w:r>
    </w:p>
    <w:p>
      <w:pPr>
        <w:ind w:firstLine="480"/>
        <w:rPr>
          <w:rFonts w:hint="eastAsia"/>
          <w:color w:val="auto"/>
          <w:shd w:val="clear" w:color="auto" w:fill="auto"/>
        </w:rPr>
      </w:pPr>
      <w:r>
        <w:rPr>
          <w:rFonts w:hint="eastAsia"/>
          <w:color w:val="auto"/>
          <w:shd w:val="clear" w:color="auto" w:fill="auto"/>
        </w:rPr>
        <w:t>港区设计范围区内供电负荷较大。新建1座10/0.4kV变配电所，对装卸设备、岸电、港区照明及管理生活等用电设备负荷供电。</w:t>
      </w:r>
    </w:p>
    <w:p>
      <w:pPr>
        <w:ind w:firstLine="480"/>
        <w:rPr>
          <w:rFonts w:hint="eastAsia"/>
          <w:color w:val="auto"/>
          <w:shd w:val="clear" w:color="auto" w:fill="auto"/>
        </w:rPr>
      </w:pPr>
      <w:r>
        <w:rPr>
          <w:rFonts w:hint="eastAsia"/>
          <w:color w:val="auto"/>
          <w:shd w:val="clear" w:color="auto" w:fill="auto"/>
        </w:rPr>
        <w:t>供电范围为与本</w:t>
      </w:r>
      <w:r>
        <w:rPr>
          <w:rFonts w:hint="eastAsia"/>
          <w:color w:val="auto"/>
          <w:shd w:val="clear" w:color="auto" w:fill="auto"/>
          <w:lang w:eastAsia="zh-CN"/>
        </w:rPr>
        <w:t>工程</w:t>
      </w:r>
      <w:r>
        <w:rPr>
          <w:rFonts w:hint="eastAsia"/>
          <w:color w:val="auto"/>
          <w:shd w:val="clear" w:color="auto" w:fill="auto"/>
        </w:rPr>
        <w:t>相关的码头范围用电，主要包括：10/0.4kV变配电所、动力配电、照明配电、岸电设施、消防用电、防雷及接地、通信监控系统用电等。</w:t>
      </w:r>
    </w:p>
    <w:p>
      <w:pPr>
        <w:rPr>
          <w:b/>
          <w:bCs/>
          <w:color w:val="auto"/>
          <w:shd w:val="clear" w:color="auto" w:fill="auto"/>
        </w:rPr>
      </w:pPr>
      <w:r>
        <w:rPr>
          <w:rFonts w:hint="eastAsia"/>
          <w:b/>
          <w:bCs/>
          <w:color w:val="auto"/>
          <w:shd w:val="clear" w:color="auto" w:fill="auto"/>
          <w:lang w:val="en-US" w:eastAsia="zh-CN"/>
        </w:rPr>
        <w:t>3、</w:t>
      </w:r>
      <w:r>
        <w:rPr>
          <w:rFonts w:hint="eastAsia"/>
          <w:b/>
          <w:bCs/>
          <w:color w:val="auto"/>
          <w:shd w:val="clear" w:color="auto" w:fill="auto"/>
        </w:rPr>
        <w:t>用电负荷及设备选择</w:t>
      </w:r>
    </w:p>
    <w:p>
      <w:pPr>
        <w:ind w:firstLine="480"/>
        <w:rPr>
          <w:b w:val="0"/>
          <w:bCs w:val="0"/>
          <w:color w:val="auto"/>
          <w:shd w:val="clear" w:color="auto" w:fill="auto"/>
        </w:rPr>
      </w:pPr>
      <w:r>
        <w:rPr>
          <w:rFonts w:hint="eastAsia"/>
          <w:b w:val="0"/>
          <w:bCs w:val="0"/>
          <w:color w:val="auto"/>
          <w:shd w:val="clear" w:color="auto" w:fill="auto"/>
        </w:rPr>
        <w:t>（1）负荷分级</w:t>
      </w:r>
    </w:p>
    <w:p>
      <w:pPr>
        <w:tabs>
          <w:tab w:val="left" w:pos="1680"/>
          <w:tab w:val="left" w:pos="2205"/>
          <w:tab w:val="left" w:pos="2646"/>
          <w:tab w:val="left" w:pos="4095"/>
        </w:tabs>
        <w:autoSpaceDE w:val="0"/>
        <w:autoSpaceDN w:val="0"/>
        <w:spacing w:line="360" w:lineRule="auto"/>
        <w:ind w:firstLine="480" w:firstLineChars="200"/>
        <w:rPr>
          <w:color w:val="auto"/>
          <w:shd w:val="clear" w:color="auto" w:fill="auto"/>
        </w:rPr>
      </w:pPr>
      <w:r>
        <w:rPr>
          <w:rFonts w:hint="eastAsia"/>
          <w:color w:val="auto"/>
          <w:shd w:val="clear" w:color="auto" w:fill="auto"/>
        </w:rPr>
        <w:t>本港区一般供电负荷按三级设计</w:t>
      </w:r>
      <w:r>
        <w:rPr>
          <w:rFonts w:hint="eastAsia" w:ascii="宋体" w:hAnsi="宋体" w:cs="宋体"/>
          <w:color w:val="auto"/>
          <w:shd w:val="clear" w:color="auto" w:fill="auto"/>
          <w:lang w:eastAsia="zh-CN"/>
        </w:rPr>
        <w:t>，</w:t>
      </w:r>
      <w:r>
        <w:rPr>
          <w:rFonts w:hint="eastAsia"/>
          <w:color w:val="auto"/>
          <w:shd w:val="clear" w:color="auto" w:fill="auto"/>
        </w:rPr>
        <w:t>消防负荷按二级设计。</w:t>
      </w:r>
    </w:p>
    <w:p>
      <w:pPr>
        <w:ind w:firstLine="480"/>
        <w:rPr>
          <w:color w:val="auto"/>
          <w:shd w:val="clear" w:color="auto" w:fill="auto"/>
        </w:rPr>
      </w:pPr>
      <w:r>
        <w:rPr>
          <w:rFonts w:hint="eastAsia"/>
          <w:color w:val="auto"/>
          <w:shd w:val="clear" w:color="auto" w:fill="auto"/>
        </w:rPr>
        <w:t>（2）供电负荷</w:t>
      </w:r>
    </w:p>
    <w:p>
      <w:pPr>
        <w:ind w:firstLine="480"/>
        <w:rPr>
          <w:rFonts w:hint="eastAsia"/>
          <w:color w:val="auto"/>
          <w:shd w:val="clear" w:color="auto" w:fill="auto"/>
        </w:rPr>
      </w:pPr>
      <w:r>
        <w:rPr>
          <w:rFonts w:hint="eastAsia"/>
          <w:color w:val="auto"/>
          <w:shd w:val="clear" w:color="auto" w:fill="auto"/>
        </w:rPr>
        <w:t>采用需要系数法计算用电负荷，计算结果如下表：</w:t>
      </w:r>
    </w:p>
    <w:p>
      <w:pPr>
        <w:pStyle w:val="43"/>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表2.1-11 供电负荷计算表</w:t>
      </w:r>
    </w:p>
    <w:tbl>
      <w:tblPr>
        <w:tblStyle w:val="26"/>
        <w:tblW w:w="8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9"/>
        <w:gridCol w:w="1261"/>
        <w:gridCol w:w="1402"/>
        <w:gridCol w:w="1330"/>
        <w:gridCol w:w="2291"/>
        <w:gridCol w:w="13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名称</w:t>
            </w:r>
          </w:p>
        </w:tc>
        <w:tc>
          <w:tcPr>
            <w:tcW w:w="1261"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装机容量</w:t>
            </w:r>
          </w:p>
        </w:tc>
        <w:tc>
          <w:tcPr>
            <w:tcW w:w="1402"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计算容量</w:t>
            </w:r>
          </w:p>
        </w:tc>
        <w:tc>
          <w:tcPr>
            <w:tcW w:w="133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计算电流</w:t>
            </w:r>
          </w:p>
        </w:tc>
        <w:tc>
          <w:tcPr>
            <w:tcW w:w="2291"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变压器安装容量</w:t>
            </w:r>
          </w:p>
        </w:tc>
        <w:tc>
          <w:tcPr>
            <w:tcW w:w="1313"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变配电所</w:t>
            </w:r>
          </w:p>
        </w:tc>
        <w:tc>
          <w:tcPr>
            <w:tcW w:w="1261"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cs="Times New Roman"/>
                <w:color w:val="auto"/>
                <w:sz w:val="21"/>
                <w:szCs w:val="21"/>
                <w:shd w:val="clear" w:color="auto" w:fill="auto"/>
                <w:lang w:val="en-US" w:eastAsia="zh-CN"/>
              </w:rPr>
              <w:t>545</w:t>
            </w:r>
            <w:r>
              <w:rPr>
                <w:rFonts w:hint="eastAsia" w:eastAsia="宋体" w:cs="Times New Roman"/>
                <w:color w:val="auto"/>
                <w:sz w:val="21"/>
                <w:szCs w:val="21"/>
                <w:shd w:val="clear" w:color="auto" w:fill="auto"/>
              </w:rPr>
              <w:t>kW</w:t>
            </w:r>
          </w:p>
        </w:tc>
        <w:tc>
          <w:tcPr>
            <w:tcW w:w="1402"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cs="Times New Roman"/>
                <w:color w:val="auto"/>
                <w:sz w:val="21"/>
                <w:szCs w:val="21"/>
                <w:shd w:val="clear" w:color="auto" w:fill="auto"/>
                <w:lang w:val="en-US" w:eastAsia="zh-CN"/>
              </w:rPr>
              <w:t>408</w:t>
            </w:r>
            <w:r>
              <w:rPr>
                <w:rFonts w:hint="eastAsia" w:eastAsia="宋体" w:cs="Times New Roman"/>
                <w:color w:val="auto"/>
                <w:sz w:val="21"/>
                <w:szCs w:val="21"/>
                <w:shd w:val="clear" w:color="auto" w:fill="auto"/>
              </w:rPr>
              <w:t>kVA</w:t>
            </w:r>
          </w:p>
        </w:tc>
        <w:tc>
          <w:tcPr>
            <w:tcW w:w="1330"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cs="Times New Roman"/>
                <w:color w:val="auto"/>
                <w:sz w:val="21"/>
                <w:szCs w:val="21"/>
                <w:shd w:val="clear" w:color="auto" w:fill="auto"/>
                <w:lang w:val="en-US" w:eastAsia="zh-CN"/>
              </w:rPr>
              <w:t>620</w:t>
            </w:r>
            <w:r>
              <w:rPr>
                <w:rFonts w:hint="eastAsia" w:eastAsia="宋体" w:cs="Times New Roman"/>
                <w:color w:val="auto"/>
                <w:sz w:val="21"/>
                <w:szCs w:val="21"/>
                <w:shd w:val="clear" w:color="auto" w:fill="auto"/>
              </w:rPr>
              <w:t>A</w:t>
            </w:r>
          </w:p>
        </w:tc>
        <w:tc>
          <w:tcPr>
            <w:tcW w:w="2291"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r>
              <w:rPr>
                <w:rFonts w:hint="eastAsia" w:cs="Times New Roman"/>
                <w:color w:val="auto"/>
                <w:sz w:val="21"/>
                <w:szCs w:val="21"/>
                <w:shd w:val="clear" w:color="auto" w:fill="auto"/>
                <w:lang w:val="en-US" w:eastAsia="zh-CN"/>
              </w:rPr>
              <w:t>50</w:t>
            </w:r>
            <w:r>
              <w:rPr>
                <w:rFonts w:hint="eastAsia" w:eastAsia="宋体" w:cs="Times New Roman"/>
                <w:color w:val="auto"/>
                <w:sz w:val="21"/>
                <w:szCs w:val="21"/>
                <w:shd w:val="clear" w:color="auto" w:fill="auto"/>
              </w:rPr>
              <w:t>0kVA</w:t>
            </w:r>
          </w:p>
        </w:tc>
        <w:tc>
          <w:tcPr>
            <w:tcW w:w="1313" w:type="dxa"/>
            <w:noWrap w:val="0"/>
            <w:vAlign w:val="center"/>
          </w:tcPr>
          <w:p>
            <w:pPr>
              <w:spacing w:line="240" w:lineRule="auto"/>
              <w:ind w:firstLine="0" w:firstLineChars="0"/>
              <w:jc w:val="center"/>
              <w:rPr>
                <w:rFonts w:hint="eastAsia" w:eastAsia="宋体" w:cs="Times New Roman"/>
                <w:color w:val="auto"/>
                <w:sz w:val="21"/>
                <w:szCs w:val="21"/>
                <w:shd w:val="clear" w:color="auto" w:fill="auto"/>
              </w:rPr>
            </w:pPr>
          </w:p>
        </w:tc>
      </w:tr>
    </w:tbl>
    <w:p>
      <w:pPr>
        <w:ind w:firstLine="480"/>
        <w:rPr>
          <w:rFonts w:hint="eastAsia"/>
          <w:color w:val="auto"/>
          <w:shd w:val="clear" w:color="auto" w:fill="auto"/>
        </w:rPr>
      </w:pPr>
      <w:r>
        <w:rPr>
          <w:rFonts w:hint="eastAsia"/>
          <w:color w:val="auto"/>
          <w:shd w:val="clear" w:color="auto" w:fill="auto"/>
        </w:rPr>
        <w:t>港区总装机功率为</w:t>
      </w:r>
      <w:r>
        <w:rPr>
          <w:rFonts w:hint="eastAsia"/>
          <w:color w:val="auto"/>
          <w:shd w:val="clear" w:color="auto" w:fill="auto"/>
          <w:lang w:val="en-US" w:eastAsia="zh-CN"/>
        </w:rPr>
        <w:t>545</w:t>
      </w:r>
      <w:r>
        <w:rPr>
          <w:rFonts w:hint="eastAsia"/>
          <w:color w:val="auto"/>
          <w:shd w:val="clear" w:color="auto" w:fill="auto"/>
        </w:rPr>
        <w:t>kW，变压器总安装容量为</w:t>
      </w:r>
      <w:r>
        <w:rPr>
          <w:rFonts w:hint="eastAsia"/>
          <w:color w:val="auto"/>
          <w:shd w:val="clear" w:color="auto" w:fill="auto"/>
          <w:lang w:val="en-US" w:eastAsia="zh-CN"/>
        </w:rPr>
        <w:t>500</w:t>
      </w:r>
      <w:r>
        <w:rPr>
          <w:rFonts w:hint="eastAsia"/>
          <w:color w:val="auto"/>
          <w:shd w:val="clear" w:color="auto" w:fill="auto"/>
        </w:rPr>
        <w:t>kVA。</w:t>
      </w:r>
    </w:p>
    <w:p>
      <w:pPr>
        <w:ind w:firstLine="480"/>
        <w:rPr>
          <w:rFonts w:hint="eastAsia"/>
          <w:color w:val="auto"/>
          <w:shd w:val="clear" w:color="auto" w:fill="auto"/>
        </w:rPr>
      </w:pPr>
      <w:r>
        <w:rPr>
          <w:rFonts w:hint="eastAsia"/>
          <w:color w:val="auto"/>
          <w:shd w:val="clear" w:color="auto" w:fill="auto"/>
        </w:rPr>
        <w:t>（3）主要电气设备选择</w:t>
      </w:r>
    </w:p>
    <w:p>
      <w:pPr>
        <w:ind w:firstLine="480"/>
        <w:rPr>
          <w:rFonts w:hint="eastAsia"/>
          <w:color w:val="auto"/>
          <w:shd w:val="clear" w:color="auto" w:fill="auto"/>
        </w:rPr>
      </w:pPr>
      <w:r>
        <w:rPr>
          <w:rFonts w:hint="eastAsia"/>
          <w:color w:val="auto"/>
          <w:shd w:val="clear" w:color="auto" w:fill="auto"/>
        </w:rPr>
        <w:t>总进线开关选VCP-12 T630A/25kA</w:t>
      </w:r>
      <w:r>
        <w:rPr>
          <w:rFonts w:hint="eastAsia"/>
          <w:color w:val="auto"/>
          <w:shd w:val="clear" w:color="auto" w:fill="auto"/>
          <w:lang w:eastAsia="zh-CN"/>
        </w:rPr>
        <w:t>，</w:t>
      </w:r>
      <w:r>
        <w:rPr>
          <w:rFonts w:hint="eastAsia"/>
          <w:color w:val="auto"/>
          <w:shd w:val="clear" w:color="auto" w:fill="auto"/>
        </w:rPr>
        <w:t>高压主母线选T</w:t>
      </w:r>
      <w:r>
        <w:rPr>
          <w:rFonts w:hint="eastAsia"/>
          <w:color w:val="auto"/>
          <w:shd w:val="clear" w:color="auto" w:fill="auto"/>
          <w:lang w:eastAsia="zh-CN"/>
        </w:rPr>
        <w:t>m</w:t>
      </w:r>
      <w:r>
        <w:rPr>
          <w:rFonts w:hint="eastAsia"/>
          <w:color w:val="auto"/>
          <w:shd w:val="clear" w:color="auto" w:fill="auto"/>
        </w:rPr>
        <w:t>Y-3×(80×8)， 高压进线电缆根据计算电流选用YJV22-8.7/15kV-3×70，变压器采用SCB11节能型干式变压器，高压柜采用XGN口-12型固定式环网柜，低压柜采用GGD固定式开关柜。箱式变电站外壳采用304不锈钢外壳，欧式箱变。</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4</w:t>
      </w:r>
      <w:r>
        <w:rPr>
          <w:rFonts w:hint="eastAsia"/>
          <w:color w:val="auto"/>
          <w:shd w:val="clear" w:color="auto" w:fill="auto"/>
        </w:rPr>
        <w:t>）计量方式</w:t>
      </w:r>
    </w:p>
    <w:p>
      <w:pPr>
        <w:ind w:firstLine="480"/>
        <w:rPr>
          <w:color w:val="auto"/>
          <w:shd w:val="clear" w:color="auto" w:fill="auto"/>
        </w:rPr>
      </w:pPr>
      <w:r>
        <w:rPr>
          <w:rFonts w:hint="eastAsia"/>
          <w:color w:val="auto"/>
          <w:shd w:val="clear" w:color="auto" w:fill="auto"/>
        </w:rPr>
        <w:t>用电计量为高供高计，计量点设置在变配电所高压计量柜内。</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5</w:t>
      </w:r>
      <w:r>
        <w:rPr>
          <w:rFonts w:hint="eastAsia"/>
          <w:color w:val="auto"/>
          <w:shd w:val="clear" w:color="auto" w:fill="auto"/>
        </w:rPr>
        <w:t>）补偿方式</w:t>
      </w:r>
    </w:p>
    <w:p>
      <w:pPr>
        <w:ind w:firstLine="480"/>
        <w:rPr>
          <w:rFonts w:hint="eastAsia"/>
          <w:color w:val="auto"/>
          <w:shd w:val="clear" w:color="auto" w:fill="auto"/>
        </w:rPr>
      </w:pPr>
      <w:r>
        <w:rPr>
          <w:rFonts w:hint="eastAsia"/>
          <w:color w:val="auto"/>
          <w:shd w:val="clear" w:color="auto" w:fill="auto"/>
        </w:rPr>
        <w:t>无功功率补偿采用变压器低压侧集中动态补偿方式，补偿后功率因数要求不低于0.95。</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6</w:t>
      </w:r>
      <w:r>
        <w:rPr>
          <w:rFonts w:hint="eastAsia"/>
          <w:color w:val="auto"/>
          <w:shd w:val="clear" w:color="auto" w:fill="auto"/>
        </w:rPr>
        <w:t>）电缆及其敷设方式</w:t>
      </w:r>
    </w:p>
    <w:p>
      <w:pPr>
        <w:ind w:firstLine="480"/>
        <w:rPr>
          <w:rFonts w:hint="eastAsia"/>
          <w:color w:val="auto"/>
          <w:shd w:val="clear" w:color="auto" w:fill="auto"/>
        </w:rPr>
      </w:pPr>
      <w:r>
        <w:rPr>
          <w:rFonts w:hint="eastAsia"/>
          <w:color w:val="auto"/>
          <w:shd w:val="clear" w:color="auto" w:fill="auto"/>
        </w:rPr>
        <w:t>1）系统配电采用放射式与树干式相结合的方式引至各用电点。</w:t>
      </w:r>
    </w:p>
    <w:p>
      <w:pPr>
        <w:ind w:firstLine="480"/>
        <w:rPr>
          <w:rFonts w:hint="eastAsia"/>
          <w:color w:val="auto"/>
          <w:shd w:val="clear" w:color="auto" w:fill="auto"/>
        </w:rPr>
      </w:pPr>
      <w:r>
        <w:rPr>
          <w:rFonts w:hint="eastAsia"/>
          <w:color w:val="auto"/>
          <w:shd w:val="clear" w:color="auto" w:fill="auto"/>
        </w:rPr>
        <w:t>2）码头内高压电缆采用ZR-YJV22-8.7/15kV型电缆，低压电缆采用ZR-YJV-1kV型电缆</w:t>
      </w:r>
      <w:r>
        <w:rPr>
          <w:rFonts w:hint="eastAsia"/>
          <w:color w:val="auto"/>
          <w:shd w:val="clear" w:color="auto" w:fill="auto"/>
          <w:lang w:eastAsia="zh-CN"/>
        </w:rPr>
        <w:t>，</w:t>
      </w:r>
      <w:r>
        <w:rPr>
          <w:rFonts w:hint="eastAsia"/>
          <w:color w:val="auto"/>
          <w:shd w:val="clear" w:color="auto" w:fill="auto"/>
        </w:rPr>
        <w:t>至消防负荷的电缆采用NHYJV-1kV型耐火电缆。码头内电缆敷设方式为穿管敷设。</w:t>
      </w:r>
    </w:p>
    <w:p>
      <w:pPr>
        <w:rPr>
          <w:b/>
          <w:bCs/>
          <w:color w:val="auto"/>
          <w:shd w:val="clear" w:color="auto" w:fill="auto"/>
        </w:rPr>
      </w:pPr>
      <w:r>
        <w:rPr>
          <w:rFonts w:hint="eastAsia"/>
          <w:b/>
          <w:bCs/>
          <w:color w:val="auto"/>
          <w:shd w:val="clear" w:color="auto" w:fill="auto"/>
          <w:lang w:val="en-US" w:eastAsia="zh-CN"/>
        </w:rPr>
        <w:t>4、</w:t>
      </w:r>
      <w:r>
        <w:rPr>
          <w:rFonts w:hint="eastAsia"/>
          <w:b/>
          <w:bCs/>
          <w:color w:val="auto"/>
          <w:shd w:val="clear" w:color="auto" w:fill="auto"/>
        </w:rPr>
        <w:t xml:space="preserve">照明方案 </w:t>
      </w:r>
    </w:p>
    <w:p>
      <w:pPr>
        <w:ind w:firstLine="480"/>
        <w:rPr>
          <w:rFonts w:hint="eastAsia"/>
          <w:color w:val="auto"/>
          <w:shd w:val="clear" w:color="auto" w:fill="auto"/>
        </w:rPr>
      </w:pPr>
      <w:bookmarkStart w:id="188" w:name="_Toc225325256"/>
      <w:r>
        <w:rPr>
          <w:rFonts w:hint="eastAsia"/>
          <w:color w:val="auto"/>
          <w:shd w:val="clear" w:color="auto" w:fill="auto"/>
        </w:rPr>
        <w:t>照度标准：码头前方水平照度标准为20lx，道路照度标准为15lx，变配电所照度标准为200lx。</w:t>
      </w:r>
    </w:p>
    <w:p>
      <w:pPr>
        <w:ind w:firstLine="480"/>
        <w:rPr>
          <w:rFonts w:hint="eastAsia"/>
          <w:color w:val="auto"/>
          <w:shd w:val="clear" w:color="auto" w:fill="auto"/>
        </w:rPr>
      </w:pPr>
      <w:r>
        <w:rPr>
          <w:rFonts w:hint="eastAsia"/>
          <w:color w:val="auto"/>
          <w:shd w:val="clear" w:color="auto" w:fill="auto"/>
        </w:rPr>
        <w:t>港区前方采用25米高杆投光灯（14*LED200W）实现大面积照明，道路选用12米杆路灯（1*LED150W），装卸工作照明由机械厂家配套。室外灯具光源均选用LED。</w:t>
      </w:r>
    </w:p>
    <w:p>
      <w:pPr>
        <w:rPr>
          <w:rFonts w:hint="eastAsia" w:ascii="Times New Roman" w:hAnsi="Times New Roman"/>
          <w:b/>
          <w:bCs/>
          <w:color w:val="auto"/>
          <w:shd w:val="clear" w:color="auto" w:fill="auto"/>
          <w:lang w:val="en-US" w:eastAsia="zh-CN"/>
        </w:rPr>
      </w:pPr>
      <w:r>
        <w:rPr>
          <w:rFonts w:hint="eastAsia" w:ascii="Times New Roman" w:hAnsi="Times New Roman"/>
          <w:b/>
          <w:bCs/>
          <w:color w:val="auto"/>
          <w:shd w:val="clear" w:color="auto" w:fill="auto"/>
          <w:lang w:val="en-US" w:eastAsia="zh-CN"/>
        </w:rPr>
        <w:t>5、防雷与</w:t>
      </w:r>
      <w:bookmarkEnd w:id="188"/>
      <w:r>
        <w:rPr>
          <w:rFonts w:hint="eastAsia" w:ascii="Times New Roman" w:hAnsi="Times New Roman"/>
          <w:b/>
          <w:bCs/>
          <w:color w:val="auto"/>
          <w:shd w:val="clear" w:color="auto" w:fill="auto"/>
          <w:lang w:val="en-US" w:eastAsia="zh-CN"/>
        </w:rPr>
        <w:t>防静电措施</w:t>
      </w:r>
    </w:p>
    <w:p>
      <w:pPr>
        <w:ind w:firstLine="480"/>
        <w:rPr>
          <w:rFonts w:hint="eastAsia"/>
          <w:color w:val="auto"/>
          <w:shd w:val="clear" w:color="auto" w:fill="auto"/>
        </w:rPr>
      </w:pPr>
      <w:r>
        <w:rPr>
          <w:rFonts w:hint="eastAsia"/>
          <w:color w:val="auto"/>
          <w:shd w:val="clear" w:color="auto" w:fill="auto"/>
        </w:rPr>
        <w:t>1</w:t>
      </w:r>
      <w:r>
        <w:rPr>
          <w:rFonts w:hint="eastAsia"/>
          <w:color w:val="auto"/>
          <w:shd w:val="clear" w:color="auto" w:fill="auto"/>
          <w:lang w:eastAsia="zh-CN"/>
        </w:rPr>
        <w:t>）</w:t>
      </w:r>
      <w:r>
        <w:rPr>
          <w:rFonts w:hint="eastAsia"/>
          <w:color w:val="auto"/>
          <w:shd w:val="clear" w:color="auto" w:fill="auto"/>
        </w:rPr>
        <w:t>本工程低压配电系统接地采用TN-C-S系统。</w:t>
      </w:r>
    </w:p>
    <w:p>
      <w:pPr>
        <w:ind w:firstLine="480"/>
        <w:rPr>
          <w:rFonts w:hint="eastAsia"/>
          <w:color w:val="auto"/>
          <w:shd w:val="clear" w:color="auto" w:fill="auto"/>
        </w:rPr>
      </w:pPr>
      <w:r>
        <w:rPr>
          <w:rFonts w:hint="eastAsia"/>
          <w:color w:val="auto"/>
          <w:shd w:val="clear" w:color="auto" w:fill="auto"/>
        </w:rPr>
        <w:t>2</w:t>
      </w:r>
      <w:r>
        <w:rPr>
          <w:rFonts w:hint="eastAsia"/>
          <w:color w:val="auto"/>
          <w:shd w:val="clear" w:color="auto" w:fill="auto"/>
          <w:lang w:eastAsia="zh-CN"/>
        </w:rPr>
        <w:t>）</w:t>
      </w:r>
      <w:r>
        <w:rPr>
          <w:rFonts w:hint="eastAsia"/>
          <w:color w:val="auto"/>
          <w:shd w:val="clear" w:color="auto" w:fill="auto"/>
        </w:rPr>
        <w:t>本工程属于三类防雷建筑，防雷接地与工作接地共用接地装置。前方平台及各房屋单体建筑的接地电阻不大于1欧姆。变配电所的变压器中性点采用直接接地方式。</w:t>
      </w:r>
    </w:p>
    <w:p>
      <w:pPr>
        <w:ind w:firstLine="480"/>
        <w:rPr>
          <w:rFonts w:hint="eastAsia"/>
          <w:color w:val="auto"/>
          <w:shd w:val="clear" w:color="auto" w:fill="auto"/>
        </w:rPr>
      </w:pPr>
      <w:r>
        <w:rPr>
          <w:rFonts w:hint="eastAsia"/>
          <w:color w:val="auto"/>
          <w:shd w:val="clear" w:color="auto" w:fill="auto"/>
        </w:rPr>
        <w:t>3</w:t>
      </w:r>
      <w:r>
        <w:rPr>
          <w:rFonts w:hint="eastAsia"/>
          <w:color w:val="auto"/>
          <w:shd w:val="clear" w:color="auto" w:fill="auto"/>
          <w:lang w:eastAsia="zh-CN"/>
        </w:rPr>
        <w:t>）</w:t>
      </w:r>
      <w:r>
        <w:rPr>
          <w:rFonts w:hint="eastAsia"/>
          <w:color w:val="auto"/>
          <w:shd w:val="clear" w:color="auto" w:fill="auto"/>
        </w:rPr>
        <w:t>各类非带电金属管路、外壳均应与接地装置可靠连接。</w:t>
      </w:r>
    </w:p>
    <w:p>
      <w:pPr>
        <w:ind w:firstLine="480"/>
        <w:rPr>
          <w:rFonts w:hint="eastAsia"/>
          <w:color w:val="auto"/>
          <w:shd w:val="clear" w:color="auto" w:fill="auto"/>
        </w:rPr>
      </w:pPr>
      <w:r>
        <w:rPr>
          <w:rFonts w:hint="eastAsia"/>
          <w:color w:val="auto"/>
          <w:shd w:val="clear" w:color="auto" w:fill="auto"/>
        </w:rPr>
        <w:t>4</w:t>
      </w:r>
      <w:r>
        <w:rPr>
          <w:rFonts w:hint="eastAsia"/>
          <w:color w:val="auto"/>
          <w:shd w:val="clear" w:color="auto" w:fill="auto"/>
          <w:lang w:eastAsia="zh-CN"/>
        </w:rPr>
        <w:t>）</w:t>
      </w:r>
      <w:r>
        <w:rPr>
          <w:rFonts w:hint="eastAsia"/>
          <w:color w:val="auto"/>
          <w:shd w:val="clear" w:color="auto" w:fill="auto"/>
        </w:rPr>
        <w:t>机械设备的防雷装置随机配套。</w:t>
      </w:r>
    </w:p>
    <w:p>
      <w:pPr>
        <w:rPr>
          <w:rFonts w:hint="eastAsia" w:ascii="Times New Roman" w:hAnsi="Times New Roman"/>
          <w:b/>
          <w:bCs/>
          <w:color w:val="auto"/>
          <w:shd w:val="clear" w:color="auto" w:fill="auto"/>
          <w:lang w:val="en-US" w:eastAsia="zh-CN"/>
        </w:rPr>
      </w:pPr>
      <w:r>
        <w:rPr>
          <w:rFonts w:hint="eastAsia" w:ascii="Times New Roman" w:hAnsi="Times New Roman"/>
          <w:b/>
          <w:bCs/>
          <w:color w:val="auto"/>
          <w:shd w:val="clear" w:color="auto" w:fill="auto"/>
          <w:lang w:val="en-US" w:eastAsia="zh-CN"/>
        </w:rPr>
        <w:t>6、节电措施</w:t>
      </w:r>
    </w:p>
    <w:p>
      <w:pPr>
        <w:ind w:firstLine="480"/>
        <w:rPr>
          <w:rFonts w:hint="eastAsia"/>
          <w:color w:val="auto"/>
          <w:shd w:val="clear" w:color="auto" w:fill="auto"/>
        </w:rPr>
      </w:pPr>
      <w:bookmarkStart w:id="189" w:name="_Toc502826052"/>
      <w:bookmarkStart w:id="190" w:name="_Toc285984870"/>
      <w:bookmarkStart w:id="191" w:name="_Toc347393006"/>
      <w:bookmarkStart w:id="192" w:name="_Toc340409391"/>
      <w:r>
        <w:rPr>
          <w:rFonts w:hint="eastAsia"/>
          <w:color w:val="auto"/>
          <w:shd w:val="clear" w:color="auto" w:fill="auto"/>
        </w:rPr>
        <w:t>港口节电主要为动力节电和照明节电。</w:t>
      </w:r>
    </w:p>
    <w:p>
      <w:pPr>
        <w:ind w:firstLine="480"/>
        <w:rPr>
          <w:rFonts w:hint="eastAsia"/>
          <w:color w:val="auto"/>
          <w:shd w:val="clear" w:color="auto" w:fill="auto"/>
        </w:rPr>
      </w:pPr>
      <w:r>
        <w:rPr>
          <w:rFonts w:hint="eastAsia"/>
          <w:color w:val="auto"/>
          <w:shd w:val="clear" w:color="auto" w:fill="auto"/>
        </w:rPr>
        <w:t>(1) 动力节能措施</w:t>
      </w:r>
    </w:p>
    <w:p>
      <w:pPr>
        <w:ind w:firstLine="480"/>
        <w:rPr>
          <w:rFonts w:hint="eastAsia"/>
          <w:color w:val="auto"/>
          <w:shd w:val="clear" w:color="auto" w:fill="auto"/>
        </w:rPr>
      </w:pPr>
      <w:r>
        <w:rPr>
          <w:rFonts w:hint="eastAsia"/>
          <w:color w:val="auto"/>
          <w:shd w:val="clear" w:color="auto" w:fill="auto"/>
        </w:rPr>
        <w:t>低压配电采用集中补偿方式，补偿后功率因数高。</w:t>
      </w:r>
    </w:p>
    <w:p>
      <w:pPr>
        <w:ind w:firstLine="480"/>
        <w:rPr>
          <w:rFonts w:hint="eastAsia"/>
          <w:color w:val="auto"/>
          <w:shd w:val="clear" w:color="auto" w:fill="auto"/>
        </w:rPr>
      </w:pPr>
      <w:r>
        <w:rPr>
          <w:rFonts w:hint="eastAsia"/>
          <w:color w:val="auto"/>
          <w:shd w:val="clear" w:color="auto" w:fill="auto"/>
        </w:rPr>
        <w:t>对于港口起重设备均采用变频启动。</w:t>
      </w:r>
    </w:p>
    <w:p>
      <w:pPr>
        <w:ind w:firstLine="480"/>
        <w:rPr>
          <w:rFonts w:hint="eastAsia"/>
          <w:color w:val="auto"/>
          <w:shd w:val="clear" w:color="auto" w:fill="auto"/>
        </w:rPr>
      </w:pPr>
      <w:r>
        <w:rPr>
          <w:rFonts w:hint="eastAsia"/>
          <w:color w:val="auto"/>
          <w:shd w:val="clear" w:color="auto" w:fill="auto"/>
        </w:rPr>
        <w:t>选择经济节电型设备。</w:t>
      </w:r>
    </w:p>
    <w:p>
      <w:pPr>
        <w:ind w:firstLine="480"/>
        <w:rPr>
          <w:rFonts w:hint="eastAsia"/>
          <w:color w:val="auto"/>
          <w:shd w:val="clear" w:color="auto" w:fill="auto"/>
        </w:rPr>
      </w:pPr>
      <w:r>
        <w:rPr>
          <w:rFonts w:hint="eastAsia"/>
          <w:color w:val="auto"/>
          <w:shd w:val="clear" w:color="auto" w:fill="auto"/>
        </w:rPr>
        <w:t>配电房选址在电负荷中心，减少电缆长度，降低线损。</w:t>
      </w:r>
    </w:p>
    <w:p>
      <w:pPr>
        <w:ind w:firstLine="480"/>
        <w:rPr>
          <w:rFonts w:hint="eastAsia"/>
          <w:color w:val="auto"/>
          <w:shd w:val="clear" w:color="auto" w:fill="auto"/>
        </w:rPr>
      </w:pPr>
      <w:r>
        <w:rPr>
          <w:rFonts w:hint="eastAsia"/>
          <w:color w:val="auto"/>
          <w:shd w:val="clear" w:color="auto" w:fill="auto"/>
        </w:rPr>
        <w:t>(2) 照明节能措施</w:t>
      </w:r>
    </w:p>
    <w:p>
      <w:pPr>
        <w:ind w:firstLine="480"/>
        <w:rPr>
          <w:rFonts w:hint="eastAsia"/>
          <w:color w:val="auto"/>
          <w:shd w:val="clear" w:color="auto" w:fill="auto"/>
        </w:rPr>
      </w:pPr>
      <w:r>
        <w:rPr>
          <w:rFonts w:hint="eastAsia"/>
          <w:color w:val="auto"/>
          <w:shd w:val="clear" w:color="auto" w:fill="auto"/>
        </w:rPr>
        <w:t>选用高效节能灯具。</w:t>
      </w:r>
    </w:p>
    <w:p>
      <w:pPr>
        <w:ind w:firstLine="480"/>
        <w:rPr>
          <w:rFonts w:hint="eastAsia"/>
          <w:color w:val="auto"/>
          <w:shd w:val="clear" w:color="auto" w:fill="auto"/>
        </w:rPr>
      </w:pPr>
      <w:r>
        <w:rPr>
          <w:rFonts w:hint="eastAsia"/>
          <w:color w:val="auto"/>
          <w:shd w:val="clear" w:color="auto" w:fill="auto"/>
        </w:rPr>
        <w:t>在深夜宜选择下列措施降低亮度（照度）：采用多光源灯具，深夜时关闭一半光源；采用能在深夜自动降低光源功率的装置。</w:t>
      </w:r>
    </w:p>
    <w:p>
      <w:pPr>
        <w:numPr>
          <w:ilvl w:val="0"/>
          <w:numId w:val="4"/>
        </w:numPr>
        <w:rPr>
          <w:rFonts w:hint="eastAsia" w:ascii="Times New Roman" w:hAnsi="Times New Roman"/>
          <w:b/>
          <w:bCs/>
          <w:color w:val="auto"/>
          <w:shd w:val="clear" w:color="auto" w:fill="auto"/>
          <w:lang w:val="en-US" w:eastAsia="zh-CN"/>
        </w:rPr>
      </w:pPr>
      <w:r>
        <w:rPr>
          <w:rFonts w:hint="eastAsia" w:ascii="Times New Roman" w:hAnsi="Times New Roman"/>
          <w:b/>
          <w:bCs/>
          <w:color w:val="auto"/>
          <w:shd w:val="clear" w:color="auto" w:fill="auto"/>
          <w:lang w:val="en-US" w:eastAsia="zh-CN"/>
        </w:rPr>
        <w:t>岸电设施</w:t>
      </w:r>
    </w:p>
    <w:p>
      <w:pPr>
        <w:ind w:firstLine="480"/>
        <w:rPr>
          <w:rFonts w:hint="eastAsia"/>
          <w:color w:val="auto"/>
          <w:shd w:val="clear" w:color="auto" w:fill="auto"/>
          <w:lang w:val="en-US" w:eastAsia="zh-CN"/>
        </w:rPr>
      </w:pPr>
      <w:r>
        <w:rPr>
          <w:rFonts w:hint="eastAsia"/>
          <w:color w:val="auto"/>
          <w:shd w:val="clear" w:color="auto" w:fill="auto"/>
        </w:rPr>
        <w:t>为满足港口停靠船舶使用岸电的需求，实现建设节能、环保、绿色、低碳港口，本工程设置一套岸电系统，包含隔离变压器，岸电箱（30kW/台），后台计费监控管理系统、电缆卷筒、配套插头等。隔离变压器放置在变配电所内，与低压柜并柜放置，起到隔离保护的作用。岸电插座箱内设置大电流工业插座，放置于码头前沿。计量刷卡器起到刷卡计费作用，同时系统支持微信支付宝等电子支付功能。岸电计费监控管理系统后台设置在码头临时管理房内。</w:t>
      </w:r>
    </w:p>
    <w:p>
      <w:pPr>
        <w:pStyle w:val="6"/>
        <w:rPr>
          <w:color w:val="auto"/>
          <w:shd w:val="clear" w:color="auto" w:fill="auto"/>
        </w:rPr>
      </w:pPr>
      <w:r>
        <w:rPr>
          <w:rFonts w:hint="eastAsia"/>
          <w:color w:val="auto"/>
          <w:shd w:val="clear" w:color="auto" w:fill="auto"/>
          <w:lang w:val="en-US" w:eastAsia="zh-CN"/>
        </w:rPr>
        <w:t>2.1.7.3</w:t>
      </w:r>
      <w:r>
        <w:rPr>
          <w:rFonts w:hint="eastAsia"/>
          <w:color w:val="auto"/>
          <w:shd w:val="clear" w:color="auto" w:fill="auto"/>
        </w:rPr>
        <w:t>给排水</w:t>
      </w:r>
      <w:bookmarkEnd w:id="189"/>
      <w:bookmarkEnd w:id="190"/>
      <w:bookmarkEnd w:id="191"/>
      <w:bookmarkEnd w:id="192"/>
    </w:p>
    <w:p>
      <w:pPr>
        <w:rPr>
          <w:rFonts w:hint="eastAsia" w:ascii="Times New Roman" w:hAnsi="Times New Roman"/>
          <w:b/>
          <w:bCs/>
          <w:color w:val="auto"/>
          <w:shd w:val="clear" w:color="auto" w:fill="auto"/>
          <w:lang w:eastAsia="zh-CN"/>
        </w:rPr>
      </w:pPr>
      <w:r>
        <w:rPr>
          <w:rFonts w:hint="eastAsia" w:ascii="Times New Roman" w:hAnsi="Times New Roman"/>
          <w:b/>
          <w:bCs/>
          <w:color w:val="auto"/>
          <w:shd w:val="clear" w:color="auto" w:fill="auto"/>
          <w:lang w:val="en-US" w:eastAsia="zh-CN"/>
        </w:rPr>
        <w:t>1、</w:t>
      </w:r>
      <w:r>
        <w:rPr>
          <w:rFonts w:hint="eastAsia" w:ascii="Times New Roman" w:hAnsi="Times New Roman"/>
          <w:b/>
          <w:bCs/>
          <w:color w:val="auto"/>
          <w:shd w:val="clear" w:color="auto" w:fill="auto"/>
          <w:lang w:eastAsia="zh-CN"/>
        </w:rPr>
        <w:t>给水</w:t>
      </w:r>
    </w:p>
    <w:p>
      <w:pPr>
        <w:rPr>
          <w:color w:val="auto"/>
          <w:shd w:val="clear" w:color="auto" w:fill="auto"/>
        </w:rPr>
      </w:pPr>
      <w:r>
        <w:rPr>
          <w:rFonts w:hint="eastAsia"/>
          <w:color w:val="auto"/>
          <w:shd w:val="clear" w:color="auto" w:fill="auto"/>
          <w:lang w:eastAsia="zh-CN"/>
        </w:rPr>
        <w:t>（</w:t>
      </w:r>
      <w:r>
        <w:rPr>
          <w:rFonts w:hint="eastAsia"/>
          <w:color w:val="auto"/>
          <w:shd w:val="clear" w:color="auto" w:fill="auto"/>
          <w:lang w:val="en-US" w:eastAsia="zh-CN"/>
        </w:rPr>
        <w:t>1</w:t>
      </w:r>
      <w:r>
        <w:rPr>
          <w:rFonts w:hint="eastAsia"/>
          <w:color w:val="auto"/>
          <w:shd w:val="clear" w:color="auto" w:fill="auto"/>
          <w:lang w:eastAsia="zh-CN"/>
        </w:rPr>
        <w:t>）</w:t>
      </w:r>
      <w:r>
        <w:rPr>
          <w:rFonts w:hint="eastAsia"/>
          <w:color w:val="auto"/>
          <w:shd w:val="clear" w:color="auto" w:fill="auto"/>
        </w:rPr>
        <w:t>供水水源</w:t>
      </w:r>
    </w:p>
    <w:p>
      <w:pPr>
        <w:rPr>
          <w:color w:val="auto"/>
          <w:shd w:val="clear" w:color="auto" w:fill="auto"/>
        </w:rPr>
      </w:pPr>
      <w:r>
        <w:rPr>
          <w:rFonts w:hint="eastAsia" w:ascii="Times New Roman" w:hAnsi="Times New Roman"/>
          <w:color w:val="auto"/>
          <w:shd w:val="clear" w:color="auto" w:fill="auto"/>
          <w:lang w:eastAsia="zh-CN"/>
        </w:rPr>
        <w:t>港区生活用水从港区附近村镇自来水管网接管，管道接管管径为DN100，接管点压力不小于0.3</w:t>
      </w:r>
      <w:r>
        <w:rPr>
          <w:rFonts w:hint="eastAsia"/>
          <w:color w:val="auto"/>
          <w:shd w:val="clear" w:color="auto" w:fill="auto"/>
          <w:lang w:eastAsia="zh-CN"/>
        </w:rPr>
        <w:t>m</w:t>
      </w:r>
      <w:r>
        <w:rPr>
          <w:rFonts w:hint="eastAsia" w:ascii="Times New Roman" w:hAnsi="Times New Roman"/>
          <w:color w:val="auto"/>
          <w:shd w:val="clear" w:color="auto" w:fill="auto"/>
          <w:lang w:eastAsia="zh-CN"/>
        </w:rPr>
        <w:t>pa。水质应满足《生活饮用水卫生标准》（GB5749-2006）的规定。本工程消防给水水源采用河水</w:t>
      </w:r>
      <w:r>
        <w:rPr>
          <w:rFonts w:hint="eastAsia"/>
          <w:color w:val="auto"/>
          <w:shd w:val="clear" w:color="auto" w:fill="auto"/>
        </w:rPr>
        <w:t>。</w:t>
      </w:r>
    </w:p>
    <w:p>
      <w:pPr>
        <w:rPr>
          <w:rFonts w:hint="default" w:ascii="Times New Roman" w:hAnsi="Times New Roman"/>
          <w:color w:val="auto"/>
          <w:shd w:val="clear" w:color="auto" w:fill="auto"/>
          <w:lang w:val="en-US" w:eastAsia="zh-CN"/>
        </w:rPr>
      </w:pPr>
      <w:r>
        <w:rPr>
          <w:rFonts w:hint="eastAsia" w:ascii="Times New Roman" w:hAnsi="Times New Roman"/>
          <w:color w:val="auto"/>
          <w:shd w:val="clear" w:color="auto" w:fill="auto"/>
          <w:lang w:eastAsia="zh-CN"/>
        </w:rPr>
        <w:t>（</w:t>
      </w:r>
      <w:r>
        <w:rPr>
          <w:rFonts w:hint="eastAsia" w:ascii="Times New Roman" w:hAnsi="Times New Roman"/>
          <w:color w:val="auto"/>
          <w:shd w:val="clear" w:color="auto" w:fill="auto"/>
          <w:lang w:val="en-US" w:eastAsia="zh-CN"/>
        </w:rPr>
        <w:t>2</w:t>
      </w:r>
      <w:r>
        <w:rPr>
          <w:rFonts w:hint="eastAsia" w:ascii="Times New Roman" w:hAnsi="Times New Roman"/>
          <w:color w:val="auto"/>
          <w:shd w:val="clear" w:color="auto" w:fill="auto"/>
          <w:lang w:eastAsia="zh-CN"/>
        </w:rPr>
        <w:t>）</w:t>
      </w:r>
      <w:r>
        <w:rPr>
          <w:rFonts w:hint="eastAsia"/>
          <w:color w:val="auto"/>
          <w:shd w:val="clear" w:color="auto" w:fill="auto"/>
          <w:lang w:val="en-US" w:eastAsia="zh-CN"/>
        </w:rPr>
        <w:t>给水方式</w:t>
      </w:r>
    </w:p>
    <w:p>
      <w:pPr>
        <w:ind w:firstLine="480"/>
        <w:rPr>
          <w:rFonts w:hint="eastAsia"/>
          <w:color w:val="auto"/>
          <w:shd w:val="clear" w:color="auto" w:fill="auto"/>
        </w:rPr>
      </w:pPr>
      <w:r>
        <w:rPr>
          <w:rFonts w:hint="eastAsia"/>
          <w:color w:val="auto"/>
          <w:shd w:val="clear" w:color="auto" w:fill="auto"/>
        </w:rPr>
        <w:t>港区供水采用自来水管道压力直供方式，从港区入口处附近村镇自来水管道接管，接管点视现场情况而定，设置水表井。管道沿港区道路及码头前沿敷设，生活与生产、消防管网分开设置，生活用水管网管径DN50-DN100，管网为枝状布置。港区临时管理房及码头面给水管从给水主管接管。</w:t>
      </w:r>
    </w:p>
    <w:p>
      <w:pPr>
        <w:ind w:firstLine="480"/>
        <w:rPr>
          <w:rFonts w:hint="eastAsia"/>
          <w:color w:val="auto"/>
          <w:shd w:val="clear" w:color="auto" w:fill="auto"/>
        </w:rPr>
      </w:pPr>
      <w:r>
        <w:rPr>
          <w:rFonts w:hint="eastAsia"/>
          <w:color w:val="auto"/>
          <w:shd w:val="clear" w:color="auto" w:fill="auto"/>
        </w:rPr>
        <w:t>生产及冲洗管道采用枝状布置。洗车用水及码头面冲洗水由沉淀池内的回用水池供水，自来水作为回用水池的补充备用水源。洗车用水管径采用DN80，码头面冲洗用水管径采用DN80。雾炮机喷雾用水来自沉淀池内回用水坑。</w:t>
      </w:r>
    </w:p>
    <w:p>
      <w:pPr>
        <w:ind w:firstLine="480"/>
        <w:rPr>
          <w:rFonts w:hint="eastAsia"/>
          <w:color w:val="auto"/>
          <w:shd w:val="clear" w:color="auto" w:fill="auto"/>
        </w:rPr>
      </w:pPr>
      <w:r>
        <w:rPr>
          <w:rFonts w:hint="eastAsia"/>
          <w:color w:val="auto"/>
          <w:shd w:val="clear" w:color="auto" w:fill="auto"/>
        </w:rPr>
        <w:t>港区埋地给水管采用钢骨架PE给水管，电热熔连接（管道与阀门、仪表之间采用法兰连接）。室外埋地管道开槽埋设，采用砂石垫层基础。</w:t>
      </w:r>
    </w:p>
    <w:p>
      <w:pPr>
        <w:rPr>
          <w:b/>
          <w:bCs/>
          <w:color w:val="auto"/>
          <w:shd w:val="clear" w:color="auto" w:fill="auto"/>
        </w:rPr>
      </w:pPr>
      <w:r>
        <w:rPr>
          <w:rFonts w:hint="eastAsia"/>
          <w:b/>
          <w:bCs/>
          <w:color w:val="auto"/>
          <w:shd w:val="clear" w:color="auto" w:fill="auto"/>
          <w:lang w:val="en-US" w:eastAsia="zh-CN"/>
        </w:rPr>
        <w:t>2、</w:t>
      </w:r>
      <w:r>
        <w:rPr>
          <w:rFonts w:hint="eastAsia"/>
          <w:b/>
          <w:bCs/>
          <w:color w:val="auto"/>
          <w:shd w:val="clear" w:color="auto" w:fill="auto"/>
        </w:rPr>
        <w:t>排水</w:t>
      </w:r>
    </w:p>
    <w:p>
      <w:pPr>
        <w:ind w:firstLine="480"/>
        <w:rPr>
          <w:color w:val="auto"/>
          <w:shd w:val="clear" w:color="auto" w:fill="auto"/>
        </w:rPr>
      </w:pPr>
      <w:r>
        <w:rPr>
          <w:rFonts w:hint="eastAsia"/>
          <w:color w:val="auto"/>
          <w:shd w:val="clear" w:color="auto" w:fill="auto"/>
        </w:rPr>
        <w:t>本工程排水采用雨、污分流制。</w:t>
      </w:r>
    </w:p>
    <w:p>
      <w:pPr>
        <w:rPr>
          <w:color w:val="auto"/>
          <w:shd w:val="clear" w:color="auto" w:fill="auto"/>
        </w:rPr>
      </w:pPr>
      <w:bookmarkStart w:id="193" w:name="_Toc285984871"/>
      <w:r>
        <w:rPr>
          <w:rFonts w:hint="eastAsia"/>
          <w:color w:val="auto"/>
          <w:shd w:val="clear" w:color="auto" w:fill="auto"/>
          <w:lang w:eastAsia="zh-CN"/>
        </w:rPr>
        <w:t>（</w:t>
      </w:r>
      <w:r>
        <w:rPr>
          <w:rFonts w:hint="eastAsia"/>
          <w:color w:val="auto"/>
          <w:shd w:val="clear" w:color="auto" w:fill="auto"/>
          <w:lang w:val="en-US" w:eastAsia="zh-CN"/>
        </w:rPr>
        <w:t>1</w:t>
      </w:r>
      <w:r>
        <w:rPr>
          <w:rFonts w:hint="eastAsia"/>
          <w:color w:val="auto"/>
          <w:shd w:val="clear" w:color="auto" w:fill="auto"/>
          <w:lang w:eastAsia="zh-CN"/>
        </w:rPr>
        <w:t>）</w:t>
      </w:r>
      <w:r>
        <w:rPr>
          <w:rFonts w:hint="eastAsia"/>
          <w:color w:val="auto"/>
          <w:shd w:val="clear" w:color="auto" w:fill="auto"/>
        </w:rPr>
        <w:t>雨水排水</w:t>
      </w:r>
      <w:r>
        <w:rPr>
          <w:color w:val="auto"/>
          <w:shd w:val="clear" w:color="auto" w:fill="auto"/>
        </w:rPr>
        <w:t>系统</w:t>
      </w:r>
    </w:p>
    <w:p>
      <w:pPr>
        <w:rPr>
          <w:rFonts w:hint="eastAsia"/>
          <w:color w:val="auto"/>
          <w:shd w:val="clear" w:color="auto" w:fill="auto"/>
        </w:rPr>
      </w:pPr>
      <w:r>
        <w:rPr>
          <w:rFonts w:hint="eastAsia"/>
          <w:color w:val="auto"/>
          <w:shd w:val="clear" w:color="auto" w:fill="auto"/>
        </w:rPr>
        <w:t>港区道路及</w:t>
      </w:r>
      <w:r>
        <w:rPr>
          <w:color w:val="auto"/>
          <w:shd w:val="clear" w:color="auto" w:fill="auto"/>
        </w:rPr>
        <w:t>码头面</w:t>
      </w:r>
      <w:r>
        <w:rPr>
          <w:rFonts w:hint="eastAsia"/>
          <w:color w:val="auto"/>
          <w:shd w:val="clear" w:color="auto" w:fill="auto"/>
        </w:rPr>
        <w:t>采用排水沟排水。在港区</w:t>
      </w:r>
      <w:r>
        <w:rPr>
          <w:rFonts w:hint="eastAsia"/>
          <w:color w:val="auto"/>
          <w:shd w:val="clear" w:color="auto" w:fill="auto"/>
          <w:lang w:eastAsia="zh-CN"/>
        </w:rPr>
        <w:t>低洼处</w:t>
      </w:r>
      <w:r>
        <w:rPr>
          <w:rFonts w:hint="eastAsia"/>
          <w:color w:val="auto"/>
          <w:shd w:val="clear" w:color="auto" w:fill="auto"/>
        </w:rPr>
        <w:t>设置</w:t>
      </w:r>
      <w:r>
        <w:rPr>
          <w:rFonts w:hint="eastAsia"/>
          <w:color w:val="auto"/>
          <w:shd w:val="clear" w:color="auto" w:fill="auto"/>
          <w:lang w:eastAsia="zh-CN"/>
        </w:rPr>
        <w:t>三级</w:t>
      </w:r>
      <w:r>
        <w:rPr>
          <w:rFonts w:hint="eastAsia"/>
          <w:color w:val="auto"/>
          <w:shd w:val="clear" w:color="auto" w:fill="auto"/>
        </w:rPr>
        <w:t>沉淀池，</w:t>
      </w:r>
      <w:r>
        <w:rPr>
          <w:rFonts w:hint="eastAsia"/>
          <w:color w:val="auto"/>
          <w:shd w:val="clear" w:color="auto" w:fill="auto"/>
          <w:lang w:eastAsia="zh-CN"/>
        </w:rPr>
        <w:t>初期</w:t>
      </w:r>
      <w:r>
        <w:rPr>
          <w:rFonts w:hint="eastAsia"/>
          <w:color w:val="auto"/>
          <w:shd w:val="clear" w:color="auto" w:fill="auto"/>
        </w:rPr>
        <w:t>1</w:t>
      </w:r>
      <w:r>
        <w:rPr>
          <w:rFonts w:hint="eastAsia"/>
          <w:color w:val="auto"/>
          <w:shd w:val="clear" w:color="auto" w:fill="auto"/>
          <w:lang w:val="en-US" w:eastAsia="zh-CN"/>
        </w:rPr>
        <w:t>5</w:t>
      </w:r>
      <w:r>
        <w:rPr>
          <w:rFonts w:hint="eastAsia"/>
          <w:color w:val="auto"/>
          <w:shd w:val="clear" w:color="auto" w:fill="auto"/>
          <w:lang w:eastAsia="zh-CN"/>
        </w:rPr>
        <w:t>m</w:t>
      </w:r>
      <w:r>
        <w:rPr>
          <w:rFonts w:hint="eastAsia"/>
          <w:color w:val="auto"/>
          <w:shd w:val="clear" w:color="auto" w:fill="auto"/>
        </w:rPr>
        <w:t>in</w:t>
      </w:r>
      <w:r>
        <w:rPr>
          <w:rFonts w:hint="eastAsia"/>
          <w:color w:val="auto"/>
          <w:shd w:val="clear" w:color="auto" w:fill="auto"/>
          <w:lang w:eastAsia="zh-CN"/>
        </w:rPr>
        <w:t>雨水经</w:t>
      </w:r>
      <w:r>
        <w:rPr>
          <w:rFonts w:hint="eastAsia"/>
          <w:color w:val="auto"/>
          <w:shd w:val="clear" w:color="auto" w:fill="auto"/>
        </w:rPr>
        <w:t>排水沟排入</w:t>
      </w:r>
      <w:r>
        <w:rPr>
          <w:rFonts w:hint="eastAsia"/>
          <w:color w:val="auto"/>
          <w:shd w:val="clear" w:color="auto" w:fill="auto"/>
          <w:lang w:eastAsia="zh-CN"/>
        </w:rPr>
        <w:t>三级</w:t>
      </w:r>
      <w:r>
        <w:rPr>
          <w:rFonts w:hint="eastAsia"/>
          <w:color w:val="auto"/>
          <w:shd w:val="clear" w:color="auto" w:fill="auto"/>
        </w:rPr>
        <w:t>沉淀池，经沉淀后回用</w:t>
      </w:r>
      <w:r>
        <w:rPr>
          <w:color w:val="auto"/>
          <w:shd w:val="clear" w:color="auto" w:fill="auto"/>
        </w:rPr>
        <w:t>，港区后期雨水</w:t>
      </w:r>
      <w:r>
        <w:rPr>
          <w:rFonts w:hint="eastAsia"/>
          <w:color w:val="auto"/>
          <w:shd w:val="clear" w:color="auto" w:fill="auto"/>
        </w:rPr>
        <w:t>通过</w:t>
      </w:r>
      <w:r>
        <w:rPr>
          <w:color w:val="auto"/>
          <w:shd w:val="clear" w:color="auto" w:fill="auto"/>
        </w:rPr>
        <w:t>沉淀池溢流排入</w:t>
      </w:r>
      <w:r>
        <w:rPr>
          <w:rFonts w:hint="eastAsia"/>
          <w:color w:val="auto"/>
          <w:shd w:val="clear" w:color="auto" w:fill="auto"/>
        </w:rPr>
        <w:t>河中。</w:t>
      </w:r>
    </w:p>
    <w:p>
      <w:pPr>
        <w:rPr>
          <w:rFonts w:hint="eastAsia"/>
          <w:color w:val="auto"/>
          <w:shd w:val="clear" w:color="auto" w:fill="auto"/>
        </w:rPr>
      </w:pPr>
      <w:r>
        <w:rPr>
          <w:rFonts w:hint="eastAsia" w:ascii="Times New Roman" w:hAnsi="Times New Roman" w:eastAsia="宋体" w:cs="Times New Roman"/>
          <w:color w:val="auto"/>
          <w:shd w:val="clear" w:color="auto" w:fill="auto"/>
        </w:rPr>
        <w:t>港区排水沟尺寸为：b×h=500×350</w:t>
      </w:r>
      <w:r>
        <w:rPr>
          <w:rFonts w:hint="eastAsia" w:cs="Times New Roman"/>
          <w:color w:val="auto"/>
          <w:shd w:val="clear" w:color="auto" w:fill="auto"/>
          <w:lang w:eastAsia="zh-CN"/>
        </w:rPr>
        <w:t>mm</w:t>
      </w:r>
      <w:r>
        <w:rPr>
          <w:rFonts w:hint="eastAsia" w:ascii="Times New Roman" w:hAnsi="Times New Roman" w:eastAsia="宋体" w:cs="Times New Roman"/>
          <w:color w:val="auto"/>
          <w:shd w:val="clear" w:color="auto" w:fill="auto"/>
        </w:rPr>
        <w:t>，排水沟采用钢栅盖板排水沟</w:t>
      </w:r>
      <w:r>
        <w:rPr>
          <w:rFonts w:hint="eastAsia" w:ascii="Times New Roman" w:hAnsi="Times New Roman" w:eastAsia="宋体" w:cs="Times New Roman"/>
          <w:color w:val="auto"/>
          <w:shd w:val="clear" w:color="auto" w:fill="auto"/>
          <w:lang w:eastAsia="zh-CN"/>
        </w:rPr>
        <w:t>；</w:t>
      </w:r>
      <w:r>
        <w:rPr>
          <w:rFonts w:hint="eastAsia" w:cs="Times New Roman"/>
          <w:color w:val="auto"/>
          <w:shd w:val="clear" w:color="auto" w:fill="auto"/>
          <w:lang w:eastAsia="zh-CN"/>
        </w:rPr>
        <w:t>三级沉</w:t>
      </w:r>
      <w:r>
        <w:rPr>
          <w:rFonts w:hint="eastAsia" w:ascii="Times New Roman" w:hAnsi="Times New Roman" w:eastAsia="宋体" w:cs="Times New Roman"/>
          <w:color w:val="auto"/>
          <w:shd w:val="clear" w:color="auto" w:fill="auto"/>
        </w:rPr>
        <w:t>淀池尺寸为</w:t>
      </w:r>
      <w:r>
        <w:rPr>
          <w:rFonts w:hint="eastAsia" w:ascii="Times New Roman" w:hAnsi="Times New Roman" w:eastAsia="宋体" w:cs="Times New Roman"/>
          <w:color w:val="auto"/>
          <w:shd w:val="clear" w:color="auto" w:fill="auto"/>
          <w:lang w:eastAsia="zh-CN"/>
        </w:rPr>
        <w:t>：</w:t>
      </w:r>
      <w:r>
        <w:rPr>
          <w:rFonts w:hint="eastAsia" w:ascii="Times New Roman" w:hAnsi="Times New Roman" w:eastAsia="宋体" w:cs="Times New Roman"/>
          <w:color w:val="auto"/>
          <w:shd w:val="clear" w:color="auto" w:fill="auto"/>
        </w:rPr>
        <w:t>L×B×H =17×10×4</w:t>
      </w:r>
      <w:r>
        <w:rPr>
          <w:rFonts w:hint="eastAsia" w:cs="Times New Roman"/>
          <w:color w:val="auto"/>
          <w:shd w:val="clear" w:color="auto" w:fill="auto"/>
          <w:lang w:eastAsia="zh-CN"/>
        </w:rPr>
        <w:t>m</w:t>
      </w:r>
      <w:r>
        <w:rPr>
          <w:rFonts w:hint="eastAsia" w:ascii="Times New Roman" w:hAnsi="Times New Roman" w:eastAsia="宋体" w:cs="Times New Roman"/>
          <w:color w:val="auto"/>
          <w:shd w:val="clear" w:color="auto" w:fill="auto"/>
        </w:rPr>
        <w:t>。</w:t>
      </w:r>
    </w:p>
    <w:p>
      <w:pPr>
        <w:rPr>
          <w:rFonts w:hint="eastAsia"/>
          <w:color w:val="auto"/>
          <w:shd w:val="clear" w:color="auto" w:fill="auto"/>
        </w:rPr>
      </w:pPr>
      <w:r>
        <w:rPr>
          <w:rFonts w:hint="eastAsia"/>
          <w:color w:val="auto"/>
          <w:shd w:val="clear" w:color="auto" w:fill="auto"/>
          <w:lang w:eastAsia="zh-CN"/>
        </w:rPr>
        <w:t>（</w:t>
      </w:r>
      <w:r>
        <w:rPr>
          <w:rFonts w:hint="eastAsia"/>
          <w:color w:val="auto"/>
          <w:shd w:val="clear" w:color="auto" w:fill="auto"/>
          <w:lang w:val="en-US" w:eastAsia="zh-CN"/>
        </w:rPr>
        <w:t>2</w:t>
      </w:r>
      <w:r>
        <w:rPr>
          <w:rFonts w:hint="eastAsia"/>
          <w:color w:val="auto"/>
          <w:shd w:val="clear" w:color="auto" w:fill="auto"/>
          <w:lang w:eastAsia="zh-CN"/>
        </w:rPr>
        <w:t>）</w:t>
      </w:r>
      <w:r>
        <w:rPr>
          <w:rFonts w:hint="eastAsia"/>
          <w:color w:val="auto"/>
          <w:shd w:val="clear" w:color="auto" w:fill="auto"/>
        </w:rPr>
        <w:t>污水系统</w:t>
      </w:r>
    </w:p>
    <w:p>
      <w:pPr>
        <w:bidi w:val="0"/>
        <w:rPr>
          <w:rFonts w:hint="eastAsia"/>
          <w:color w:val="auto"/>
          <w:shd w:val="clear" w:color="auto" w:fill="auto"/>
        </w:rPr>
      </w:pPr>
      <w:r>
        <w:rPr>
          <w:rFonts w:hint="eastAsia"/>
          <w:color w:val="auto"/>
          <w:shd w:val="clear" w:color="auto" w:fill="auto"/>
        </w:rPr>
        <w:t>港区生活污水由</w:t>
      </w:r>
      <w:r>
        <w:rPr>
          <w:rFonts w:hint="default"/>
          <w:color w:val="auto"/>
          <w:shd w:val="clear" w:color="auto" w:fill="auto"/>
        </w:rPr>
        <w:t>移动厕所</w:t>
      </w:r>
      <w:r>
        <w:rPr>
          <w:rFonts w:hint="eastAsia"/>
          <w:color w:val="auto"/>
          <w:shd w:val="clear" w:color="auto" w:fill="auto"/>
        </w:rPr>
        <w:t>收集</w:t>
      </w:r>
      <w:r>
        <w:rPr>
          <w:rFonts w:hint="default"/>
          <w:color w:val="auto"/>
          <w:shd w:val="clear" w:color="auto" w:fill="auto"/>
        </w:rPr>
        <w:t>储存，</w:t>
      </w:r>
      <w:r>
        <w:rPr>
          <w:rFonts w:hint="eastAsia"/>
          <w:color w:val="auto"/>
          <w:shd w:val="clear" w:color="auto" w:fill="auto"/>
        </w:rPr>
        <w:t>定期由清掏车外运至</w:t>
      </w:r>
      <w:r>
        <w:rPr>
          <w:rFonts w:hint="eastAsia"/>
          <w:color w:val="auto"/>
          <w:shd w:val="clear" w:color="auto" w:fill="auto"/>
          <w:lang w:eastAsia="zh-CN"/>
        </w:rPr>
        <w:t>相关</w:t>
      </w:r>
      <w:r>
        <w:rPr>
          <w:rFonts w:hint="eastAsia"/>
          <w:color w:val="auto"/>
          <w:shd w:val="clear" w:color="auto" w:fill="auto"/>
        </w:rPr>
        <w:t>接收处理单位；流动机械冲洗废水</w:t>
      </w:r>
      <w:r>
        <w:rPr>
          <w:rFonts w:hint="eastAsia"/>
          <w:color w:val="auto"/>
          <w:highlight w:val="none"/>
          <w:shd w:val="clear" w:color="auto" w:fill="auto"/>
        </w:rPr>
        <w:t>经隔油沉淀</w:t>
      </w:r>
      <w:r>
        <w:rPr>
          <w:rFonts w:hint="eastAsia"/>
          <w:color w:val="auto"/>
          <w:highlight w:val="none"/>
          <w:shd w:val="clear" w:color="auto" w:fill="auto"/>
          <w:lang w:eastAsia="zh-CN"/>
        </w:rPr>
        <w:t>池</w:t>
      </w:r>
      <w:r>
        <w:rPr>
          <w:rFonts w:hint="eastAsia"/>
          <w:color w:val="auto"/>
          <w:shd w:val="clear" w:color="auto" w:fill="auto"/>
        </w:rPr>
        <w:t>处理后</w:t>
      </w:r>
      <w:r>
        <w:rPr>
          <w:rFonts w:hint="eastAsia"/>
          <w:color w:val="auto"/>
          <w:shd w:val="clear" w:color="auto" w:fill="auto"/>
          <w:lang w:val="en-US" w:eastAsia="zh-CN"/>
        </w:rPr>
        <w:t>回用，不外排；</w:t>
      </w:r>
      <w:r>
        <w:rPr>
          <w:rFonts w:hint="eastAsia"/>
          <w:color w:val="auto"/>
          <w:shd w:val="clear" w:color="auto" w:fill="auto"/>
        </w:rPr>
        <w:t>码头面冲洗水、初期雨水经</w:t>
      </w:r>
      <w:r>
        <w:rPr>
          <w:rFonts w:hint="eastAsia"/>
          <w:color w:val="auto"/>
          <w:shd w:val="clear" w:color="auto" w:fill="auto"/>
          <w:lang w:eastAsia="zh-CN"/>
        </w:rPr>
        <w:t>三级</w:t>
      </w:r>
      <w:r>
        <w:rPr>
          <w:rFonts w:hint="eastAsia"/>
          <w:color w:val="auto"/>
          <w:shd w:val="clear" w:color="auto" w:fill="auto"/>
        </w:rPr>
        <w:t>沉淀池沉淀后回用于港区洒水抑尘。</w:t>
      </w:r>
    </w:p>
    <w:p>
      <w:pPr>
        <w:bidi w:val="0"/>
        <w:rPr>
          <w:rFonts w:hint="eastAsia"/>
          <w:color w:val="auto"/>
          <w:shd w:val="clear" w:color="auto" w:fill="auto"/>
        </w:rPr>
      </w:pPr>
      <w:r>
        <w:rPr>
          <w:rFonts w:hint="eastAsia"/>
          <w:color w:val="auto"/>
          <w:shd w:val="clear" w:color="auto" w:fill="auto"/>
        </w:rPr>
        <w:t>船舶生活污水及油污水由船舶生活污水收集罐车及船舶油污水收集罐车分别收集，定期外运至</w:t>
      </w:r>
      <w:r>
        <w:rPr>
          <w:rFonts w:hint="eastAsia"/>
          <w:color w:val="auto"/>
          <w:shd w:val="clear" w:color="auto" w:fill="auto"/>
          <w:lang w:val="en-US" w:eastAsia="zh-CN"/>
        </w:rPr>
        <w:t>有资质的</w:t>
      </w:r>
      <w:r>
        <w:rPr>
          <w:rFonts w:hint="eastAsia"/>
          <w:color w:val="auto"/>
          <w:shd w:val="clear" w:color="auto" w:fill="auto"/>
        </w:rPr>
        <w:t>接收处理单位。</w:t>
      </w:r>
    </w:p>
    <w:p>
      <w:pPr>
        <w:pStyle w:val="6"/>
        <w:rPr>
          <w:color w:val="auto"/>
          <w:shd w:val="clear" w:color="auto" w:fill="auto"/>
        </w:rPr>
      </w:pPr>
      <w:bookmarkStart w:id="194" w:name="_Toc340409392"/>
      <w:bookmarkStart w:id="195" w:name="_Toc502826053"/>
      <w:bookmarkStart w:id="196" w:name="_Toc347393007"/>
      <w:r>
        <w:rPr>
          <w:rFonts w:hint="eastAsia"/>
          <w:color w:val="auto"/>
          <w:shd w:val="clear" w:color="auto" w:fill="auto"/>
          <w:lang w:val="en-US" w:eastAsia="zh-CN"/>
        </w:rPr>
        <w:t>2.1.7.4</w:t>
      </w:r>
      <w:r>
        <w:rPr>
          <w:rFonts w:hint="eastAsia"/>
          <w:color w:val="auto"/>
          <w:shd w:val="clear" w:color="auto" w:fill="auto"/>
        </w:rPr>
        <w:t>消防</w:t>
      </w:r>
      <w:bookmarkEnd w:id="193"/>
      <w:bookmarkEnd w:id="194"/>
      <w:bookmarkEnd w:id="195"/>
      <w:bookmarkEnd w:id="196"/>
    </w:p>
    <w:p>
      <w:pPr>
        <w:ind w:firstLine="480"/>
        <w:rPr>
          <w:color w:val="auto"/>
          <w:shd w:val="clear" w:color="auto" w:fill="auto"/>
        </w:rPr>
      </w:pPr>
      <w:r>
        <w:rPr>
          <w:rFonts w:hint="eastAsia"/>
          <w:color w:val="auto"/>
          <w:shd w:val="clear" w:color="auto" w:fill="auto"/>
        </w:rPr>
        <w:t>1、消防给水水源</w:t>
      </w:r>
    </w:p>
    <w:p>
      <w:pPr>
        <w:ind w:firstLine="480"/>
        <w:rPr>
          <w:color w:val="auto"/>
          <w:shd w:val="clear" w:color="auto" w:fill="auto"/>
        </w:rPr>
      </w:pPr>
      <w:r>
        <w:rPr>
          <w:rFonts w:hint="eastAsia"/>
          <w:color w:val="auto"/>
          <w:shd w:val="clear" w:color="auto" w:fill="auto"/>
        </w:rPr>
        <w:t>消防水源采用河水，港区设置手抬机动消防泵，室外消防水量按照15L/s计，灭火延续时间按照2小时计，则一次的最大消防用水量108</w:t>
      </w:r>
      <w:r>
        <w:rPr>
          <w:rFonts w:hint="eastAsia"/>
          <w:color w:val="auto"/>
          <w:shd w:val="clear" w:color="auto" w:fill="auto"/>
          <w:lang w:eastAsia="zh-CN"/>
        </w:rPr>
        <w:t>m</w:t>
      </w:r>
      <w:r>
        <w:rPr>
          <w:rFonts w:hint="eastAsia"/>
          <w:color w:val="auto"/>
          <w:shd w:val="clear" w:color="auto" w:fill="auto"/>
        </w:rPr>
        <w:t>³/次，最大小时消防水量54</w:t>
      </w:r>
      <w:r>
        <w:rPr>
          <w:rFonts w:hint="eastAsia"/>
          <w:color w:val="auto"/>
          <w:shd w:val="clear" w:color="auto" w:fill="auto"/>
          <w:lang w:eastAsia="zh-CN"/>
        </w:rPr>
        <w:t>m</w:t>
      </w:r>
      <w:r>
        <w:rPr>
          <w:rFonts w:hint="eastAsia"/>
          <w:color w:val="auto"/>
          <w:shd w:val="clear" w:color="auto" w:fill="auto"/>
        </w:rPr>
        <w:t>³/h。</w:t>
      </w:r>
    </w:p>
    <w:p>
      <w:pPr>
        <w:ind w:firstLine="480"/>
        <w:rPr>
          <w:rFonts w:hint="eastAsia" w:eastAsia="宋体"/>
          <w:color w:val="auto"/>
          <w:shd w:val="clear" w:color="auto" w:fill="auto"/>
          <w:lang w:eastAsia="zh-CN"/>
        </w:rPr>
      </w:pPr>
      <w:r>
        <w:rPr>
          <w:rFonts w:hint="eastAsia"/>
          <w:color w:val="auto"/>
          <w:shd w:val="clear" w:color="auto" w:fill="auto"/>
        </w:rPr>
        <w:t>2、消防</w:t>
      </w:r>
      <w:r>
        <w:rPr>
          <w:rFonts w:hint="eastAsia"/>
          <w:color w:val="auto"/>
          <w:shd w:val="clear" w:color="auto" w:fill="auto"/>
          <w:lang w:eastAsia="zh-CN"/>
        </w:rPr>
        <w:t>给水系统</w:t>
      </w:r>
    </w:p>
    <w:p>
      <w:pPr>
        <w:ind w:firstLine="480"/>
        <w:rPr>
          <w:rFonts w:hint="eastAsia"/>
          <w:color w:val="auto"/>
          <w:shd w:val="clear" w:color="auto" w:fill="auto"/>
        </w:rPr>
      </w:pPr>
      <w:r>
        <w:rPr>
          <w:rFonts w:hint="eastAsia"/>
          <w:color w:val="auto"/>
          <w:shd w:val="clear" w:color="auto" w:fill="auto"/>
        </w:rPr>
        <w:t>通过机动消防泵和水带供水。机动消防泵型号为：JBQ5.0/15，扬程50</w:t>
      </w:r>
      <w:r>
        <w:rPr>
          <w:rFonts w:hint="eastAsia"/>
          <w:color w:val="auto"/>
          <w:shd w:val="clear" w:color="auto" w:fill="auto"/>
          <w:lang w:eastAsia="zh-CN"/>
        </w:rPr>
        <w:t>m</w:t>
      </w:r>
      <w:r>
        <w:rPr>
          <w:rFonts w:hint="eastAsia"/>
          <w:color w:val="auto"/>
          <w:shd w:val="clear" w:color="auto" w:fill="auto"/>
        </w:rPr>
        <w:t>，流量15L/s，一用一备，设备置于临时管理房内。</w:t>
      </w:r>
    </w:p>
    <w:p>
      <w:pPr>
        <w:ind w:firstLine="480"/>
        <w:rPr>
          <w:rFonts w:hint="eastAsia"/>
          <w:color w:val="auto"/>
          <w:shd w:val="clear" w:color="auto" w:fill="auto"/>
        </w:rPr>
      </w:pPr>
      <w:r>
        <w:rPr>
          <w:rFonts w:hint="eastAsia"/>
          <w:color w:val="auto"/>
          <w:shd w:val="clear" w:color="auto" w:fill="auto"/>
        </w:rPr>
        <w:t>港区灭火器根据《建筑灭火器配置规范》中的规定配置。港区消防外援依托当地消防部门。</w:t>
      </w:r>
    </w:p>
    <w:p>
      <w:pPr>
        <w:pStyle w:val="6"/>
        <w:rPr>
          <w:color w:val="auto"/>
          <w:shd w:val="clear" w:color="auto" w:fill="auto"/>
        </w:rPr>
      </w:pPr>
      <w:bookmarkStart w:id="197" w:name="_Toc502826054"/>
      <w:bookmarkStart w:id="198" w:name="_Toc340409393"/>
      <w:bookmarkStart w:id="199" w:name="_Toc225325259"/>
      <w:bookmarkStart w:id="200" w:name="_Toc347393008"/>
      <w:r>
        <w:rPr>
          <w:rFonts w:hint="eastAsia"/>
          <w:color w:val="auto"/>
          <w:shd w:val="clear" w:color="auto" w:fill="auto"/>
          <w:lang w:val="en-US" w:eastAsia="zh-CN"/>
        </w:rPr>
        <w:t>2.1.7.5</w:t>
      </w:r>
      <w:r>
        <w:rPr>
          <w:rFonts w:hint="eastAsia"/>
          <w:color w:val="auto"/>
          <w:shd w:val="clear" w:color="auto" w:fill="auto"/>
        </w:rPr>
        <w:t>通信</w:t>
      </w:r>
      <w:bookmarkEnd w:id="197"/>
      <w:bookmarkEnd w:id="198"/>
      <w:bookmarkEnd w:id="199"/>
      <w:bookmarkEnd w:id="200"/>
    </w:p>
    <w:p>
      <w:pPr>
        <w:rPr>
          <w:color w:val="auto"/>
          <w:shd w:val="clear" w:color="auto" w:fill="auto"/>
        </w:rPr>
      </w:pPr>
      <w:r>
        <w:rPr>
          <w:rFonts w:hint="eastAsia"/>
          <w:color w:val="auto"/>
          <w:shd w:val="clear" w:color="auto" w:fill="auto"/>
          <w:lang w:val="en-US" w:eastAsia="zh-CN"/>
        </w:rPr>
        <w:t>1、</w:t>
      </w:r>
      <w:r>
        <w:rPr>
          <w:rFonts w:hint="eastAsia"/>
          <w:color w:val="auto"/>
          <w:shd w:val="clear" w:color="auto" w:fill="auto"/>
        </w:rPr>
        <w:t>港区通信</w:t>
      </w:r>
    </w:p>
    <w:p>
      <w:pPr>
        <w:ind w:firstLine="480"/>
        <w:rPr>
          <w:rFonts w:hint="eastAsia"/>
          <w:color w:val="auto"/>
          <w:shd w:val="clear" w:color="auto" w:fill="auto"/>
        </w:rPr>
      </w:pPr>
      <w:r>
        <w:rPr>
          <w:rFonts w:hint="eastAsia"/>
          <w:color w:val="auto"/>
          <w:shd w:val="clear" w:color="auto" w:fill="auto"/>
        </w:rPr>
        <w:t>港区通信设有有线电通信和无线电通信。有线电通信为市话，采用管道暗敷设引入港区，线路采用HTA型全塑市话电缆，根据建设规模配备5部固定电话。无线电通信为采用对讲机作为港区内通信形式，根据建设规模配备12部无线对讲机。</w:t>
      </w:r>
    </w:p>
    <w:p>
      <w:pPr>
        <w:rPr>
          <w:rFonts w:hint="eastAsia" w:ascii="Times New Roman" w:hAnsi="Times New Roman"/>
          <w:color w:val="auto"/>
          <w:shd w:val="clear" w:color="auto" w:fill="auto"/>
          <w:lang w:val="en-US" w:eastAsia="zh-CN"/>
        </w:rPr>
      </w:pPr>
      <w:r>
        <w:rPr>
          <w:rFonts w:hint="eastAsia" w:ascii="Times New Roman" w:hAnsi="Times New Roman"/>
          <w:color w:val="auto"/>
          <w:shd w:val="clear" w:color="auto" w:fill="auto"/>
          <w:lang w:val="en-US" w:eastAsia="zh-CN"/>
        </w:rPr>
        <w:t>2、船岸通信</w:t>
      </w:r>
    </w:p>
    <w:p>
      <w:pPr>
        <w:ind w:firstLine="480"/>
        <w:rPr>
          <w:rFonts w:hint="eastAsia"/>
          <w:color w:val="auto"/>
          <w:shd w:val="clear" w:color="auto" w:fill="auto"/>
        </w:rPr>
      </w:pPr>
      <w:r>
        <w:rPr>
          <w:rFonts w:hint="eastAsia"/>
          <w:color w:val="auto"/>
          <w:shd w:val="clear" w:color="auto" w:fill="auto"/>
        </w:rPr>
        <w:t>本工程远距离船岸通讯依托航道现有船、岸通讯设施。通过VHF甚高频电台在其覆盖的水域内与船舶电台进行日常无线电话通信和非话业务通信的功能。</w:t>
      </w:r>
    </w:p>
    <w:p>
      <w:pPr>
        <w:pStyle w:val="6"/>
        <w:rPr>
          <w:color w:val="auto"/>
          <w:shd w:val="clear" w:color="auto" w:fill="auto"/>
        </w:rPr>
      </w:pPr>
      <w:bookmarkStart w:id="201" w:name="_Toc225325258"/>
      <w:bookmarkStart w:id="202" w:name="_Toc340409394"/>
      <w:bookmarkStart w:id="203" w:name="_Toc347393009"/>
      <w:bookmarkStart w:id="204" w:name="_Toc502826055"/>
      <w:r>
        <w:rPr>
          <w:rFonts w:hint="eastAsia"/>
          <w:color w:val="auto"/>
          <w:shd w:val="clear" w:color="auto" w:fill="auto"/>
          <w:lang w:val="en-US" w:eastAsia="zh-CN"/>
        </w:rPr>
        <w:t>2.1.7.6</w:t>
      </w:r>
      <w:r>
        <w:rPr>
          <w:rFonts w:hint="eastAsia"/>
          <w:color w:val="auto"/>
          <w:shd w:val="clear" w:color="auto" w:fill="auto"/>
        </w:rPr>
        <w:t>控制</w:t>
      </w:r>
      <w:bookmarkEnd w:id="201"/>
      <w:r>
        <w:rPr>
          <w:rFonts w:hint="eastAsia"/>
          <w:color w:val="auto"/>
          <w:shd w:val="clear" w:color="auto" w:fill="auto"/>
        </w:rPr>
        <w:t>及计算机管理</w:t>
      </w:r>
      <w:bookmarkEnd w:id="202"/>
      <w:bookmarkEnd w:id="203"/>
      <w:bookmarkEnd w:id="204"/>
    </w:p>
    <w:p>
      <w:pPr>
        <w:numPr>
          <w:ilvl w:val="0"/>
          <w:numId w:val="5"/>
        </w:numPr>
        <w:rPr>
          <w:rFonts w:hint="eastAsia"/>
          <w:color w:val="auto"/>
          <w:shd w:val="clear" w:color="auto" w:fill="auto"/>
          <w:lang w:val="en-US" w:eastAsia="zh-CN"/>
        </w:rPr>
      </w:pPr>
      <w:r>
        <w:rPr>
          <w:rFonts w:hint="eastAsia"/>
          <w:color w:val="auto"/>
          <w:shd w:val="clear" w:color="auto" w:fill="auto"/>
          <w:lang w:val="en-US" w:eastAsia="zh-CN"/>
        </w:rPr>
        <w:t>控制系统</w:t>
      </w:r>
    </w:p>
    <w:p>
      <w:pPr>
        <w:ind w:firstLine="480"/>
        <w:rPr>
          <w:rFonts w:hint="eastAsia"/>
          <w:color w:val="auto"/>
          <w:shd w:val="clear" w:color="auto" w:fill="auto"/>
        </w:rPr>
      </w:pPr>
      <w:r>
        <w:rPr>
          <w:rFonts w:hint="eastAsia"/>
          <w:color w:val="auto"/>
          <w:shd w:val="clear" w:color="auto" w:fill="auto"/>
        </w:rPr>
        <w:t>码头前方装卸作业设备及各类水泵的控制柜随设备配套供货，本设计仅提供电源。</w:t>
      </w:r>
    </w:p>
    <w:p>
      <w:pPr>
        <w:rPr>
          <w:color w:val="auto"/>
          <w:shd w:val="clear" w:color="auto" w:fill="auto"/>
        </w:rPr>
      </w:pPr>
      <w:r>
        <w:rPr>
          <w:rFonts w:hint="eastAsia"/>
          <w:color w:val="auto"/>
          <w:shd w:val="clear" w:color="auto" w:fill="auto"/>
          <w:lang w:val="en-US" w:eastAsia="zh-CN"/>
        </w:rPr>
        <w:t>2、</w:t>
      </w:r>
      <w:r>
        <w:rPr>
          <w:rFonts w:hint="eastAsia"/>
          <w:color w:val="auto"/>
          <w:shd w:val="clear" w:color="auto" w:fill="auto"/>
        </w:rPr>
        <w:t>计算机管理系统</w:t>
      </w:r>
    </w:p>
    <w:p>
      <w:pPr>
        <w:ind w:firstLine="480"/>
        <w:rPr>
          <w:rFonts w:hint="eastAsia"/>
          <w:color w:val="auto"/>
          <w:shd w:val="clear" w:color="auto" w:fill="auto"/>
        </w:rPr>
      </w:pPr>
      <w:bookmarkStart w:id="205" w:name="_Toc340409395"/>
      <w:bookmarkStart w:id="206" w:name="_Toc347393010"/>
      <w:bookmarkStart w:id="207" w:name="_Toc502826056"/>
      <w:r>
        <w:rPr>
          <w:rFonts w:hint="eastAsia"/>
          <w:color w:val="auto"/>
          <w:shd w:val="clear" w:color="auto" w:fill="auto"/>
        </w:rPr>
        <w:t>为提高码头的综合管理水平和生产能力，实现码头管理数字化、操作自动化的目标，本工程将依靠数字化、自动化、网络化技术建立一套适应现代化生产需要、技术先进、功能全面、高效安全、开放的计算机管理系统。</w:t>
      </w:r>
    </w:p>
    <w:p>
      <w:pPr>
        <w:ind w:firstLine="480"/>
        <w:rPr>
          <w:rFonts w:hint="eastAsia"/>
          <w:color w:val="auto"/>
          <w:shd w:val="clear" w:color="auto" w:fill="auto"/>
        </w:rPr>
      </w:pPr>
      <w:r>
        <w:rPr>
          <w:rFonts w:hint="eastAsia"/>
          <w:color w:val="auto"/>
          <w:shd w:val="clear" w:color="auto" w:fill="auto"/>
        </w:rPr>
        <w:t>1）工业电视监控系统</w:t>
      </w:r>
    </w:p>
    <w:p>
      <w:pPr>
        <w:ind w:firstLine="480"/>
        <w:rPr>
          <w:rFonts w:hint="eastAsia"/>
          <w:color w:val="auto"/>
          <w:shd w:val="clear" w:color="auto" w:fill="auto"/>
        </w:rPr>
      </w:pPr>
      <w:r>
        <w:rPr>
          <w:rFonts w:hint="eastAsia"/>
          <w:color w:val="auto"/>
          <w:shd w:val="clear" w:color="auto" w:fill="auto"/>
        </w:rPr>
        <w:t>工业电视监控系统主要用于监视码头装卸现场、道路等场所的作业情况。通过工业电视系统可以随时了解全港区的生产作业过程，辅助实施生产调动分配任务，并对特殊情况进行重点录像作为备忘。</w:t>
      </w:r>
    </w:p>
    <w:p>
      <w:pPr>
        <w:ind w:firstLine="480"/>
        <w:rPr>
          <w:rFonts w:hint="eastAsia"/>
          <w:color w:val="auto"/>
          <w:shd w:val="clear" w:color="auto" w:fill="auto"/>
        </w:rPr>
      </w:pPr>
      <w:r>
        <w:rPr>
          <w:rFonts w:hint="eastAsia"/>
          <w:color w:val="auto"/>
          <w:shd w:val="clear" w:color="auto" w:fill="auto"/>
        </w:rPr>
        <w:t>监视范围：码头作业区、变配电所、管理区等重要场所。</w:t>
      </w:r>
    </w:p>
    <w:p>
      <w:pPr>
        <w:ind w:firstLine="480"/>
        <w:rPr>
          <w:rFonts w:hint="eastAsia"/>
          <w:color w:val="auto"/>
          <w:shd w:val="clear" w:color="auto" w:fill="auto"/>
        </w:rPr>
      </w:pPr>
      <w:r>
        <w:rPr>
          <w:rFonts w:hint="eastAsia"/>
          <w:color w:val="auto"/>
          <w:shd w:val="clear" w:color="auto" w:fill="auto"/>
        </w:rPr>
        <w:t>工业电视系统主要包括现场前端监视设备和室内监控设备。现场前端监视设备包括网络摄像机、解码器、电动云台、全天候防护罩、各种防雷设备等；室内监控设备包括主机系统、多画面处理器、彩色监视器、大屏幕显示器、数字录像设备、操作键盘等，相关设备放置于临时管理房或磅房内。</w:t>
      </w:r>
    </w:p>
    <w:p>
      <w:pPr>
        <w:ind w:firstLine="480"/>
        <w:rPr>
          <w:rFonts w:hint="eastAsia"/>
          <w:color w:val="auto"/>
          <w:shd w:val="clear" w:color="auto" w:fill="auto"/>
        </w:rPr>
      </w:pPr>
      <w:r>
        <w:rPr>
          <w:rFonts w:hint="eastAsia"/>
          <w:color w:val="auto"/>
          <w:shd w:val="clear" w:color="auto" w:fill="auto"/>
        </w:rPr>
        <w:t>工业电视系统具有智能化的管理功能、权限控制功能、数字录像和回放功能、灵活的显示功能和多媒体分控网络功能等。</w:t>
      </w:r>
    </w:p>
    <w:p>
      <w:pPr>
        <w:ind w:firstLine="480"/>
        <w:rPr>
          <w:rFonts w:hint="eastAsia"/>
          <w:color w:val="auto"/>
          <w:shd w:val="clear" w:color="auto" w:fill="auto"/>
        </w:rPr>
      </w:pPr>
      <w:r>
        <w:rPr>
          <w:rFonts w:hint="eastAsia"/>
          <w:color w:val="auto"/>
          <w:shd w:val="clear" w:color="auto" w:fill="auto"/>
        </w:rPr>
        <w:t>2）港区信息网络系统</w:t>
      </w:r>
    </w:p>
    <w:p>
      <w:pPr>
        <w:ind w:firstLine="480"/>
        <w:rPr>
          <w:rFonts w:hint="eastAsia"/>
          <w:color w:val="auto"/>
          <w:shd w:val="clear" w:color="auto" w:fill="auto"/>
        </w:rPr>
      </w:pPr>
      <w:r>
        <w:rPr>
          <w:rFonts w:hint="eastAsia"/>
          <w:color w:val="auto"/>
          <w:shd w:val="clear" w:color="auto" w:fill="auto"/>
        </w:rPr>
        <w:t>利用网络化技术，为管理区建立网络基础设施，主要包括局域网和广域网系统。</w:t>
      </w:r>
    </w:p>
    <w:p>
      <w:pPr>
        <w:ind w:firstLine="480"/>
        <w:rPr>
          <w:rFonts w:hint="eastAsia"/>
          <w:color w:val="auto"/>
          <w:shd w:val="clear" w:color="auto" w:fill="auto"/>
        </w:rPr>
      </w:pPr>
      <w:r>
        <w:rPr>
          <w:rFonts w:hint="eastAsia"/>
          <w:color w:val="auto"/>
          <w:shd w:val="clear" w:color="auto" w:fill="auto"/>
        </w:rPr>
        <w:t>3）码头生产管理系统</w:t>
      </w:r>
    </w:p>
    <w:p>
      <w:pPr>
        <w:ind w:firstLine="480"/>
        <w:rPr>
          <w:rFonts w:hint="eastAsia"/>
          <w:color w:val="auto"/>
          <w:shd w:val="clear" w:color="auto" w:fill="auto"/>
        </w:rPr>
      </w:pPr>
      <w:r>
        <w:rPr>
          <w:rFonts w:hint="eastAsia"/>
          <w:color w:val="auto"/>
          <w:shd w:val="clear" w:color="auto" w:fill="auto"/>
        </w:rPr>
        <w:t>码头生产管理系统包括：生产调度管理、生产计划管理、作业调度与生产作业管理、货运统计管理、计费管理、设备管理和物质管理等。</w:t>
      </w:r>
    </w:p>
    <w:p>
      <w:pPr>
        <w:ind w:firstLine="480"/>
        <w:rPr>
          <w:rFonts w:hint="eastAsia"/>
          <w:color w:val="auto"/>
          <w:shd w:val="clear" w:color="auto" w:fill="auto"/>
        </w:rPr>
      </w:pPr>
      <w:r>
        <w:rPr>
          <w:rFonts w:hint="eastAsia"/>
          <w:color w:val="auto"/>
          <w:shd w:val="clear" w:color="auto" w:fill="auto"/>
        </w:rPr>
        <w:t>4）办公自动化系统</w:t>
      </w:r>
    </w:p>
    <w:p>
      <w:pPr>
        <w:ind w:firstLine="480"/>
        <w:rPr>
          <w:rFonts w:hint="eastAsia"/>
          <w:color w:val="auto"/>
          <w:shd w:val="clear" w:color="auto" w:fill="auto"/>
        </w:rPr>
      </w:pPr>
      <w:r>
        <w:rPr>
          <w:rFonts w:hint="eastAsia"/>
          <w:color w:val="auto"/>
          <w:shd w:val="clear" w:color="auto" w:fill="auto"/>
        </w:rPr>
        <w:t>办公自动化系统包括：邮件管理、公文管理、档案管理、工资管理、行政管理等。</w:t>
      </w:r>
    </w:p>
    <w:p>
      <w:pPr>
        <w:ind w:firstLine="480"/>
        <w:rPr>
          <w:rFonts w:hint="eastAsia"/>
          <w:color w:val="auto"/>
          <w:shd w:val="clear" w:color="auto" w:fill="auto"/>
        </w:rPr>
      </w:pPr>
      <w:r>
        <w:rPr>
          <w:rFonts w:hint="eastAsia"/>
          <w:color w:val="auto"/>
          <w:shd w:val="clear" w:color="auto" w:fill="auto"/>
        </w:rPr>
        <w:t>5）客户服务系统</w:t>
      </w:r>
    </w:p>
    <w:p>
      <w:pPr>
        <w:ind w:firstLine="480"/>
        <w:rPr>
          <w:rFonts w:hint="eastAsia"/>
          <w:color w:val="auto"/>
          <w:shd w:val="clear" w:color="auto" w:fill="auto"/>
        </w:rPr>
      </w:pPr>
      <w:r>
        <w:rPr>
          <w:rFonts w:hint="eastAsia"/>
          <w:color w:val="auto"/>
          <w:shd w:val="clear" w:color="auto" w:fill="auto"/>
        </w:rPr>
        <w:t>客户服务系统为客户提供货运信息的查询、受理相关预定业务等相关服务。利用Internet为客户提供全方位的资讯服务，提供港口概况、信息查询、服务指南、客户留言等功能。</w:t>
      </w:r>
    </w:p>
    <w:bookmarkEnd w:id="205"/>
    <w:bookmarkEnd w:id="206"/>
    <w:bookmarkEnd w:id="207"/>
    <w:p>
      <w:pPr>
        <w:pStyle w:val="5"/>
        <w:rPr>
          <w:color w:val="auto"/>
          <w:shd w:val="clear" w:color="auto" w:fill="auto"/>
        </w:rPr>
      </w:pPr>
      <w:bookmarkStart w:id="208" w:name="_Toc25897_WPSOffice_Level2"/>
      <w:r>
        <w:rPr>
          <w:rFonts w:hint="eastAsia"/>
          <w:color w:val="auto"/>
          <w:shd w:val="clear" w:color="auto" w:fill="auto"/>
          <w:lang w:val="en-US" w:eastAsia="zh-CN"/>
        </w:rPr>
        <w:t>2.1.8</w:t>
      </w:r>
      <w:r>
        <w:rPr>
          <w:rFonts w:hint="eastAsia"/>
          <w:color w:val="auto"/>
          <w:shd w:val="clear" w:color="auto" w:fill="auto"/>
        </w:rPr>
        <w:t>组织管理</w:t>
      </w:r>
      <w:bookmarkEnd w:id="208"/>
    </w:p>
    <w:p>
      <w:pPr>
        <w:pStyle w:val="6"/>
        <w:rPr>
          <w:color w:val="auto"/>
          <w:shd w:val="clear" w:color="auto" w:fill="auto"/>
        </w:rPr>
      </w:pPr>
      <w:bookmarkStart w:id="209" w:name="_Toc347393045"/>
      <w:bookmarkStart w:id="210" w:name="_Toc340409428"/>
      <w:bookmarkStart w:id="211" w:name="_Toc502826092"/>
      <w:r>
        <w:rPr>
          <w:rFonts w:hint="eastAsia"/>
          <w:color w:val="auto"/>
          <w:shd w:val="clear" w:color="auto" w:fill="auto"/>
        </w:rPr>
        <w:t>2.</w:t>
      </w:r>
      <w:r>
        <w:rPr>
          <w:rFonts w:hint="eastAsia"/>
          <w:color w:val="auto"/>
          <w:shd w:val="clear" w:color="auto" w:fill="auto"/>
          <w:lang w:val="en-US" w:eastAsia="zh-CN"/>
        </w:rPr>
        <w:t>1.8.1</w:t>
      </w:r>
      <w:r>
        <w:rPr>
          <w:rFonts w:hint="eastAsia"/>
          <w:color w:val="auto"/>
          <w:shd w:val="clear" w:color="auto" w:fill="auto"/>
        </w:rPr>
        <w:t>企业组织结构</w:t>
      </w:r>
      <w:bookmarkEnd w:id="209"/>
      <w:bookmarkEnd w:id="210"/>
      <w:bookmarkEnd w:id="211"/>
      <w:r>
        <w:rPr>
          <w:color w:val="auto"/>
          <w:shd w:val="clear" w:color="auto" w:fill="auto"/>
        </w:rPr>
        <w:tab/>
      </w:r>
    </w:p>
    <w:p>
      <w:pPr>
        <w:ind w:firstLine="480"/>
        <w:rPr>
          <w:rFonts w:hint="eastAsia"/>
          <w:color w:val="auto"/>
          <w:shd w:val="clear" w:color="auto" w:fill="auto"/>
        </w:rPr>
      </w:pPr>
      <w:r>
        <w:rPr>
          <w:rFonts w:hint="eastAsia"/>
          <w:color w:val="auto"/>
          <w:shd w:val="clear" w:color="auto" w:fill="auto"/>
        </w:rPr>
        <w:t>港区管理具有较强的专业性，除服从港航部门的行业管理外，港区必须设立专门的职能部门，负责调度人员、控制人员以及装卸作业人员进行专业培训和安全教育，进行日常监督管理，并按规定配备专职的安全、消防、环保等技术人员。</w:t>
      </w:r>
    </w:p>
    <w:p>
      <w:pPr>
        <w:ind w:firstLine="480"/>
        <w:rPr>
          <w:rFonts w:hint="eastAsia"/>
          <w:color w:val="auto"/>
          <w:shd w:val="clear" w:color="auto" w:fill="auto"/>
        </w:rPr>
      </w:pPr>
      <w:r>
        <w:rPr>
          <w:rFonts w:hint="eastAsia"/>
          <w:color w:val="auto"/>
          <w:shd w:val="clear" w:color="auto" w:fill="auto"/>
        </w:rPr>
        <w:t>本工程建成后将组建码头经营管理机构，下设三个职能部门，具体组织结构如下：</w:t>
      </w:r>
    </w:p>
    <w:p>
      <w:pPr>
        <w:ind w:left="0" w:leftChars="0" w:firstLine="0" w:firstLineChars="0"/>
        <w:rPr>
          <w:rFonts w:hint="eastAsia"/>
          <w:color w:val="auto"/>
          <w:shd w:val="clear" w:color="auto" w:fill="auto"/>
        </w:rPr>
      </w:pPr>
      <w:r>
        <w:rPr>
          <w:color w:val="auto"/>
          <w:shd w:val="clear" w:color="auto" w:fill="auto"/>
        </w:rPr>
        <mc:AlternateContent>
          <mc:Choice Requires="wpc">
            <w:drawing>
              <wp:inline distT="0" distB="0" distL="114300" distR="114300">
                <wp:extent cx="4933950" cy="1198245"/>
                <wp:effectExtent l="0" t="0" r="0" b="20955"/>
                <wp:docPr id="1" name="画布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2" name="流程图: 过程 32"/>
                        <wps:cNvSpPr/>
                        <wps:spPr>
                          <a:xfrm>
                            <a:off x="1617980" y="59690"/>
                            <a:ext cx="1990725" cy="395605"/>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4"/>
                                  <w:szCs w:val="24"/>
                                </w:rPr>
                              </w:pPr>
                              <w:r>
                                <w:rPr>
                                  <w:rFonts w:hint="eastAsia" w:ascii="宋体"/>
                                  <w:spacing w:val="-4"/>
                                  <w:sz w:val="24"/>
                                  <w:szCs w:val="24"/>
                                </w:rPr>
                                <w:t>码头经营管理机构</w:t>
                              </w:r>
                            </w:p>
                          </w:txbxContent>
                        </wps:txbx>
                        <wps:bodyPr vert="horz" anchor="t" upright="1"/>
                      </wps:wsp>
                      <wps:wsp>
                        <wps:cNvPr id="33" name="矩形 33"/>
                        <wps:cNvSpPr/>
                        <wps:spPr>
                          <a:xfrm>
                            <a:off x="600075" y="801370"/>
                            <a:ext cx="666750" cy="39687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ind w:left="0" w:leftChars="0" w:firstLine="0" w:firstLineChars="0"/>
                                <w:jc w:val="both"/>
                                <w:rPr>
                                  <w:sz w:val="24"/>
                                  <w:szCs w:val="24"/>
                                </w:rPr>
                              </w:pPr>
                              <w:r>
                                <w:rPr>
                                  <w:rFonts w:hint="eastAsia"/>
                                  <w:sz w:val="24"/>
                                  <w:szCs w:val="24"/>
                                </w:rPr>
                                <w:t>综合部</w:t>
                              </w:r>
                            </w:p>
                            <w:p>
                              <w:pPr>
                                <w:jc w:val="center"/>
                                <w:rPr>
                                  <w:sz w:val="24"/>
                                  <w:szCs w:val="24"/>
                                </w:rPr>
                              </w:pPr>
                            </w:p>
                          </w:txbxContent>
                        </wps:txbx>
                        <wps:bodyPr vert="horz" anchor="t" upright="1"/>
                      </wps:wsp>
                      <wps:wsp>
                        <wps:cNvPr id="34" name="流程图: 过程 34"/>
                        <wps:cNvSpPr/>
                        <wps:spPr>
                          <a:xfrm>
                            <a:off x="2066924" y="801370"/>
                            <a:ext cx="1016517" cy="395635"/>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p>
                              <w:pPr>
                                <w:ind w:left="0" w:leftChars="0" w:firstLine="0" w:firstLineChars="0"/>
                                <w:jc w:val="both"/>
                                <w:rPr>
                                  <w:sz w:val="24"/>
                                  <w:szCs w:val="24"/>
                                </w:rPr>
                              </w:pPr>
                              <w:r>
                                <w:rPr>
                                  <w:rFonts w:hint="eastAsia"/>
                                  <w:sz w:val="24"/>
                                  <w:szCs w:val="24"/>
                                </w:rPr>
                                <w:t>生产经营部</w:t>
                              </w:r>
                            </w:p>
                          </w:txbxContent>
                        </wps:txbx>
                        <wps:bodyPr vert="horz" anchor="t" upright="1"/>
                      </wps:wsp>
                      <wps:wsp>
                        <wps:cNvPr id="35" name="流程图: 过程 35"/>
                        <wps:cNvSpPr/>
                        <wps:spPr>
                          <a:xfrm>
                            <a:off x="4133215" y="801370"/>
                            <a:ext cx="666115" cy="396875"/>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p>
                              <w:pPr>
                                <w:ind w:left="0" w:leftChars="0" w:firstLine="0" w:firstLineChars="0"/>
                                <w:rPr>
                                  <w:sz w:val="24"/>
                                  <w:szCs w:val="24"/>
                                </w:rPr>
                              </w:pPr>
                              <w:r>
                                <w:rPr>
                                  <w:rFonts w:hint="eastAsia"/>
                                  <w:sz w:val="24"/>
                                  <w:szCs w:val="24"/>
                                </w:rPr>
                                <w:t>财务部</w:t>
                              </w:r>
                            </w:p>
                            <w:p>
                              <w:pPr>
                                <w:rPr>
                                  <w:sz w:val="24"/>
                                  <w:szCs w:val="24"/>
                                </w:rPr>
                              </w:pPr>
                            </w:p>
                          </w:txbxContent>
                        </wps:txbx>
                        <wps:bodyPr vert="horz" anchor="t" upright="1"/>
                      </wps:wsp>
                      <wps:wsp>
                        <wps:cNvPr id="36" name="直接连接符 36"/>
                        <wps:cNvCnPr/>
                        <wps:spPr>
                          <a:xfrm>
                            <a:off x="2530475" y="443865"/>
                            <a:ext cx="635" cy="358140"/>
                          </a:xfrm>
                          <a:prstGeom prst="line">
                            <a:avLst/>
                          </a:prstGeom>
                          <a:ln w="9525" cap="flat" cmpd="sng">
                            <a:solidFill>
                              <a:srgbClr val="000000"/>
                            </a:solidFill>
                            <a:prstDash val="solid"/>
                            <a:headEnd type="none" w="med" len="med"/>
                            <a:tailEnd type="triangle" w="med" len="med"/>
                          </a:ln>
                          <a:effectLst/>
                        </wps:spPr>
                        <wps:bodyPr upright="1"/>
                      </wps:wsp>
                      <wps:wsp>
                        <wps:cNvPr id="37" name="直接连接符 37"/>
                        <wps:cNvCnPr/>
                        <wps:spPr>
                          <a:xfrm>
                            <a:off x="865505" y="604520"/>
                            <a:ext cx="3602355" cy="0"/>
                          </a:xfrm>
                          <a:prstGeom prst="line">
                            <a:avLst/>
                          </a:prstGeom>
                          <a:ln w="9525" cap="flat" cmpd="sng">
                            <a:solidFill>
                              <a:srgbClr val="000000"/>
                            </a:solidFill>
                            <a:prstDash val="solid"/>
                            <a:headEnd type="none" w="med" len="med"/>
                            <a:tailEnd type="none" w="med" len="med"/>
                          </a:ln>
                          <a:effectLst/>
                        </wps:spPr>
                        <wps:bodyPr upright="1"/>
                      </wps:wsp>
                      <wps:wsp>
                        <wps:cNvPr id="38" name="直接连接符 38"/>
                        <wps:cNvCnPr/>
                        <wps:spPr>
                          <a:xfrm>
                            <a:off x="865505" y="604520"/>
                            <a:ext cx="0" cy="197485"/>
                          </a:xfrm>
                          <a:prstGeom prst="line">
                            <a:avLst/>
                          </a:prstGeom>
                          <a:ln w="9525" cap="flat" cmpd="sng">
                            <a:solidFill>
                              <a:srgbClr val="000000"/>
                            </a:solidFill>
                            <a:prstDash val="solid"/>
                            <a:headEnd type="none" w="med" len="med"/>
                            <a:tailEnd type="triangle" w="med" len="med"/>
                          </a:ln>
                          <a:effectLst/>
                        </wps:spPr>
                        <wps:bodyPr upright="1"/>
                      </wps:wsp>
                      <wps:wsp>
                        <wps:cNvPr id="41" name="直接连接符 41"/>
                        <wps:cNvCnPr/>
                        <wps:spPr>
                          <a:xfrm>
                            <a:off x="4467860" y="604520"/>
                            <a:ext cx="0" cy="197485"/>
                          </a:xfrm>
                          <a:prstGeom prst="line">
                            <a:avLst/>
                          </a:prstGeom>
                          <a:ln w="9525" cap="flat" cmpd="sng">
                            <a:solidFill>
                              <a:srgbClr val="000000"/>
                            </a:solidFill>
                            <a:prstDash val="solid"/>
                            <a:headEnd type="none" w="med" len="med"/>
                            <a:tailEnd type="triangle" w="med" len="med"/>
                          </a:ln>
                          <a:effectLst/>
                        </wps:spPr>
                        <wps:bodyPr upright="1"/>
                      </wps:wsp>
                    </wpc:wpc>
                  </a:graphicData>
                </a:graphic>
              </wp:inline>
            </w:drawing>
          </mc:Choice>
          <mc:Fallback>
            <w:pict>
              <v:group id="画布 42" o:spid="_x0000_s1026" o:spt="203" style="height:94.35pt;width:388.5pt;" coordsize="4933950,1198245" editas="canvas" o:gfxdata="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">
                <o:lock v:ext="edit" aspectratio="f"/>
                <v:shape id="画布 42" o:spid="_x0000_s1026" style="position:absolute;left:0;top:0;height:1198245;width:4933950;" filled="f" stroked="f" coordsize="21600,21600" o:gfxdata="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">
                  <v:fill on="f" focussize="0,0"/>
                  <v:stroke on="f"/>
                  <v:imagedata o:title=""/>
                  <o:lock v:ext="edit" aspectratio="t"/>
                </v:shape>
                <v:shape id="_x0000_s1026" o:spid="_x0000_s1026" o:spt="109" type="#_x0000_t109" style="position:absolute;left:1617980;top:59690;height:395605;width:1990725;" fillcolor="#FFFFFF" filled="t" stroked="t" coordsize="21600,21600" o:gfxdata="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4moeS1QAAAAUBAAAP&#10;AAAAAAAAAAEAIAAAACIAAABkcnMvZG93bnJldi54bWxQSwECFAAUAAAACACHTuJAXqa/9xsCAAAj&#10;BAAADgAAAAAAAAABACAAAAAkAQAAZHJzL2Uyb0RvYy54bWxQSwUGAAAAAAYABgBZAQAAsQU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4"/>
                            <w:szCs w:val="24"/>
                          </w:rPr>
                        </w:pPr>
                        <w:r>
                          <w:rPr>
                            <w:rFonts w:hint="eastAsia" w:ascii="宋体"/>
                            <w:spacing w:val="-4"/>
                            <w:sz w:val="24"/>
                            <w:szCs w:val="24"/>
                          </w:rPr>
                          <w:t>码头经营管理机构</w:t>
                        </w:r>
                      </w:p>
                    </w:txbxContent>
                  </v:textbox>
                </v:shape>
                <v:rect id="_x0000_s1026" o:spid="_x0000_s1026" o:spt="1" style="position:absolute;left:600075;top:801370;height:396875;width:666750;" fillcolor="#FFFFFF" filled="t" stroked="t" coordsize="21600,21600" o:gfxdata="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pbAFRtMAAAAFAQAADwAAAAAAAAABACAAAAAiAAAAZHJzL2Rv&#10;d25yZXYueG1sUEsBAhQAFAAAAAgAh07iQFAqw5EGAgAACwQAAA4AAAAAAAAAAQAgAAAAIgEAAGRy&#10;cy9lMm9Eb2MueG1sUEsFBgAAAAAGAAYAWQEAAJoFAAAAAA==&#10;">
                  <v:fill on="t" focussize="0,0"/>
                  <v:stroke color="#000000" joinstyle="miter"/>
                  <v:imagedata o:title=""/>
                  <o:lock v:ext="edit" aspectratio="f"/>
                  <v:textbox>
                    <w:txbxContent>
                      <w:p>
                        <w:pPr>
                          <w:ind w:left="0" w:leftChars="0" w:firstLine="0" w:firstLineChars="0"/>
                          <w:jc w:val="both"/>
                          <w:rPr>
                            <w:sz w:val="24"/>
                            <w:szCs w:val="24"/>
                          </w:rPr>
                        </w:pPr>
                        <w:r>
                          <w:rPr>
                            <w:rFonts w:hint="eastAsia"/>
                            <w:sz w:val="24"/>
                            <w:szCs w:val="24"/>
                          </w:rPr>
                          <w:t>综合部</w:t>
                        </w:r>
                      </w:p>
                      <w:p>
                        <w:pPr>
                          <w:jc w:val="center"/>
                          <w:rPr>
                            <w:sz w:val="24"/>
                            <w:szCs w:val="24"/>
                          </w:rPr>
                        </w:pPr>
                      </w:p>
                    </w:txbxContent>
                  </v:textbox>
                </v:rect>
                <v:shape id="_x0000_s1026" o:spid="_x0000_s1026" o:spt="109" type="#_x0000_t109" style="position:absolute;left:2066924;top:801370;height:395635;width:1016517;" fillcolor="#FFFFFF" filled="t" stroked="t" coordsize="21600,21600" o:gfxdata="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4moeS1QAAAAUB&#10;AAAPAAAAAAAAAAEAIAAAACIAAABkcnMvZG93bnJldi54bWxQSwECFAAUAAAACACHTuJA+brdOx4C&#10;AAAkBAAADgAAAAAAAAABACAAAAAkAQAAZHJzL2Uyb0RvYy54bWxQSwUGAAAAAAYABgBZAQAAtAUA&#10;AAAA&#10;">
                  <v:fill on="t" focussize="0,0"/>
                  <v:stroke color="#000000" joinstyle="miter"/>
                  <v:imagedata o:title=""/>
                  <o:lock v:ext="edit" aspectratio="f"/>
                  <v:textbox>
                    <w:txbxContent>
                      <w:p>
                        <w:pPr>
                          <w:ind w:left="0" w:leftChars="0" w:firstLine="0" w:firstLineChars="0"/>
                          <w:jc w:val="both"/>
                          <w:rPr>
                            <w:sz w:val="24"/>
                            <w:szCs w:val="24"/>
                          </w:rPr>
                        </w:pPr>
                        <w:r>
                          <w:rPr>
                            <w:rFonts w:hint="eastAsia"/>
                            <w:sz w:val="24"/>
                            <w:szCs w:val="24"/>
                          </w:rPr>
                          <w:t>生产经营部</w:t>
                        </w:r>
                      </w:p>
                    </w:txbxContent>
                  </v:textbox>
                </v:shape>
                <v:shape id="_x0000_s1026" o:spid="_x0000_s1026" o:spt="109" type="#_x0000_t109" style="position:absolute;left:4133215;top:801370;height:396875;width:666115;" fillcolor="#FFFFFF" filled="t" stroked="t" coordsize="21600,21600" o:gfxdata="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4moeS1QAAAAUB&#10;AAAPAAAAAAAAAAEAIAAAACIAAABkcnMvZG93bnJldi54bWxQSwECFAAUAAAACACHTuJArHiFkh4C&#10;AAAjBAAADgAAAAAAAAABACAAAAAkAQAAZHJzL2Uyb0RvYy54bWxQSwUGAAAAAAYABgBZAQAAtAUA&#10;AAAA&#10;">
                  <v:fill on="t" focussize="0,0"/>
                  <v:stroke color="#000000" joinstyle="miter"/>
                  <v:imagedata o:title=""/>
                  <o:lock v:ext="edit" aspectratio="f"/>
                  <v:textbox>
                    <w:txbxContent>
                      <w:p>
                        <w:pPr>
                          <w:ind w:left="0" w:leftChars="0" w:firstLine="0" w:firstLineChars="0"/>
                          <w:rPr>
                            <w:sz w:val="24"/>
                            <w:szCs w:val="24"/>
                          </w:rPr>
                        </w:pPr>
                        <w:r>
                          <w:rPr>
                            <w:rFonts w:hint="eastAsia"/>
                            <w:sz w:val="24"/>
                            <w:szCs w:val="24"/>
                          </w:rPr>
                          <w:t>财务部</w:t>
                        </w:r>
                      </w:p>
                      <w:p>
                        <w:pPr>
                          <w:rPr>
                            <w:sz w:val="24"/>
                            <w:szCs w:val="24"/>
                          </w:rPr>
                        </w:pPr>
                      </w:p>
                    </w:txbxContent>
                  </v:textbox>
                </v:shape>
                <v:line id="_x0000_s1026" o:spid="_x0000_s1026" o:spt="20" style="position:absolute;left:2530475;top:443865;height:358140;width:635;" filled="f" stroked="t" coordsize="21600,21600" o:gfxdata="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O2ggozVAAAABQEAAA8AAAAAAAAAAQAgAAAAIgAAAGRycy9kb3ducmV2LnhtbFBLAQIU&#10;ABQAAAAIAIdO4kAFmOMD9gEAALYDAAAOAAAAAAAAAAEAIAAAACQBAABkcnMvZTJvRG9jLnhtbFBL&#10;BQYAAAAABgAGAFkBAACMBQAAAAA=&#10;">
                  <v:fill on="f" focussize="0,0"/>
                  <v:stroke color="#000000" joinstyle="round" endarrow="block"/>
                  <v:imagedata o:title=""/>
                  <o:lock v:ext="edit" aspectratio="f"/>
                </v:line>
                <v:line id="_x0000_s1026" o:spid="_x0000_s1026" o:spt="20" style="position:absolute;left:865505;top:604520;height:0;width:3602355;" filled="f" stroked="t" coordsize="21600,21600" o:gfxdata="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e1CHs&#10;0wAAAAUBAAAPAAAAAAAAAAEAIAAAACIAAABkcnMvZG93bnJldi54bWxQSwECFAAUAAAACACHTuJA&#10;wP30uu0BAACwAwAADgAAAAAAAAABACAAAAAiAQAAZHJzL2Uyb0RvYy54bWxQSwUGAAAAAAYABgBZ&#10;AQAAgQUAAAAA&#10;">
                  <v:fill on="f" focussize="0,0"/>
                  <v:stroke color="#000000" joinstyle="round"/>
                  <v:imagedata o:title=""/>
                  <o:lock v:ext="edit" aspectratio="f"/>
                </v:line>
                <v:line id="_x0000_s1026" o:spid="_x0000_s1026" o:spt="20" style="position:absolute;left:865505;top:604520;height:197485;width:0;" filled="f" stroked="t" coordsize="21600,21600" o:gfxdata="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7aCCjNUAAAAFAQAADwAAAAAAAAABACAAAAAiAAAAZHJzL2Rvd25yZXYueG1sUEsBAhQAFAAA&#10;AAgAh07iQOpotMzyAQAAswMAAA4AAAAAAAAAAQAgAAAAJAEAAGRycy9lMm9Eb2MueG1sUEsFBgAA&#10;AAAGAAYAWQEAAIgFAAAAAA==&#10;">
                  <v:fill on="f" focussize="0,0"/>
                  <v:stroke color="#000000" joinstyle="round" endarrow="block"/>
                  <v:imagedata o:title=""/>
                  <o:lock v:ext="edit" aspectratio="f"/>
                </v:line>
                <v:line id="_x0000_s1026" o:spid="_x0000_s1026" o:spt="20" style="position:absolute;left:4467860;top:604520;height:197485;width:0;" filled="f" stroked="t" coordsize="21600,21600" o:gfxdata="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toIKM1QAAAAUBAAAPAAAAAAAAAAEAIAAAACIAAABkcnMvZG93bnJldi54bWxQSwECFAAUAAAA&#10;CACHTuJANQfK1/EBAAC0AwAADgAAAAAAAAABACAAAAAkAQAAZHJzL2Uyb0RvYy54bWxQSwUGAAAA&#10;AAYABgBZAQAAhwUAAAAA&#10;">
                  <v:fill on="f" focussize="0,0"/>
                  <v:stroke color="#000000" joinstyle="round" endarrow="block"/>
                  <v:imagedata o:title=""/>
                  <o:lock v:ext="edit" aspectratio="f"/>
                </v:line>
                <w10:wrap type="none"/>
                <w10:anchorlock/>
              </v:group>
            </w:pict>
          </mc:Fallback>
        </mc:AlternateContent>
      </w:r>
    </w:p>
    <w:p>
      <w:pPr>
        <w:pStyle w:val="6"/>
        <w:rPr>
          <w:rFonts w:hint="eastAsia" w:ascii="Times New Roman" w:hAnsi="Times New Roman"/>
          <w:color w:val="auto"/>
          <w:shd w:val="clear" w:color="auto" w:fill="auto"/>
        </w:rPr>
      </w:pPr>
      <w:bookmarkStart w:id="212" w:name="_Toc502826093"/>
      <w:bookmarkStart w:id="213" w:name="_Toc340409429"/>
      <w:bookmarkStart w:id="214" w:name="_Toc347393046"/>
      <w:r>
        <w:rPr>
          <w:rFonts w:hint="eastAsia" w:ascii="Times New Roman" w:hAnsi="Times New Roman"/>
          <w:color w:val="auto"/>
          <w:shd w:val="clear" w:color="auto" w:fill="auto"/>
        </w:rPr>
        <w:t>2.</w:t>
      </w:r>
      <w:r>
        <w:rPr>
          <w:rFonts w:hint="eastAsia" w:ascii="Times New Roman" w:hAnsi="Times New Roman"/>
          <w:color w:val="auto"/>
          <w:shd w:val="clear" w:color="auto" w:fill="auto"/>
          <w:lang w:val="en-US" w:eastAsia="zh-CN"/>
        </w:rPr>
        <w:t>1.8.2</w:t>
      </w:r>
      <w:r>
        <w:rPr>
          <w:rFonts w:hint="eastAsia" w:ascii="Times New Roman" w:hAnsi="Times New Roman"/>
          <w:color w:val="auto"/>
          <w:shd w:val="clear" w:color="auto" w:fill="auto"/>
        </w:rPr>
        <w:t>人员编制</w:t>
      </w:r>
      <w:bookmarkEnd w:id="212"/>
      <w:bookmarkEnd w:id="213"/>
      <w:bookmarkEnd w:id="214"/>
    </w:p>
    <w:p>
      <w:pPr>
        <w:ind w:firstLine="480"/>
        <w:rPr>
          <w:rFonts w:hint="eastAsia" w:eastAsia="宋体"/>
          <w:color w:val="auto"/>
          <w:shd w:val="clear" w:color="auto" w:fill="auto"/>
          <w:lang w:eastAsia="zh-CN"/>
        </w:rPr>
      </w:pPr>
      <w:r>
        <w:rPr>
          <w:rFonts w:hint="eastAsia"/>
          <w:color w:val="auto"/>
          <w:shd w:val="clear" w:color="auto" w:fill="auto"/>
          <w:lang w:eastAsia="zh-CN"/>
        </w:rPr>
        <w:t>本项目不提供食宿。</w:t>
      </w:r>
      <w:r>
        <w:rPr>
          <w:rFonts w:hint="eastAsia"/>
          <w:color w:val="auto"/>
          <w:shd w:val="clear" w:color="auto" w:fill="auto"/>
        </w:rPr>
        <w:t>根据港区生产和管理需要，人员编制详见下表</w:t>
      </w:r>
      <w:r>
        <w:rPr>
          <w:rFonts w:hint="eastAsia"/>
          <w:color w:val="auto"/>
          <w:shd w:val="clear" w:color="auto" w:fill="auto"/>
          <w:lang w:val="en-US" w:eastAsia="zh-CN"/>
        </w:rPr>
        <w:t>2.1-12</w:t>
      </w:r>
      <w:r>
        <w:rPr>
          <w:rFonts w:hint="eastAsia"/>
          <w:color w:val="auto"/>
          <w:shd w:val="clear" w:color="auto" w:fill="auto"/>
        </w:rPr>
        <w:t>。</w:t>
      </w:r>
    </w:p>
    <w:p>
      <w:pPr>
        <w:pStyle w:val="43"/>
        <w:rPr>
          <w:rFonts w:hint="eastAsia" w:eastAsia="黑体"/>
          <w:color w:val="auto"/>
          <w:sz w:val="21"/>
          <w:szCs w:val="21"/>
          <w:shd w:val="clear" w:color="auto" w:fill="auto"/>
          <w:lang w:val="en-US" w:eastAsia="zh-CN"/>
        </w:rPr>
      </w:pPr>
      <w:r>
        <w:rPr>
          <w:rFonts w:hint="eastAsia"/>
          <w:color w:val="auto"/>
          <w:sz w:val="21"/>
          <w:szCs w:val="21"/>
          <w:shd w:val="clear" w:color="auto" w:fill="auto"/>
        </w:rPr>
        <w:t>表2.</w:t>
      </w:r>
      <w:r>
        <w:rPr>
          <w:rFonts w:hint="eastAsia"/>
          <w:color w:val="auto"/>
          <w:sz w:val="21"/>
          <w:szCs w:val="21"/>
          <w:shd w:val="clear" w:color="auto" w:fill="auto"/>
          <w:lang w:val="en-US" w:eastAsia="zh-CN"/>
        </w:rPr>
        <w:t>1</w:t>
      </w:r>
      <w:r>
        <w:rPr>
          <w:color w:val="auto"/>
          <w:sz w:val="21"/>
          <w:szCs w:val="21"/>
          <w:shd w:val="clear" w:color="auto" w:fill="auto"/>
        </w:rPr>
        <w:t>-1</w:t>
      </w:r>
      <w:r>
        <w:rPr>
          <w:rFonts w:hint="eastAsia"/>
          <w:color w:val="auto"/>
          <w:sz w:val="21"/>
          <w:szCs w:val="21"/>
          <w:shd w:val="clear" w:color="auto" w:fill="auto"/>
          <w:lang w:val="en-US" w:eastAsia="zh-CN"/>
        </w:rPr>
        <w:t>2</w:t>
      </w:r>
      <w:r>
        <w:rPr>
          <w:color w:val="auto"/>
          <w:sz w:val="21"/>
          <w:szCs w:val="21"/>
          <w:shd w:val="clear" w:color="auto" w:fill="auto"/>
        </w:rPr>
        <w:t xml:space="preserve"> </w:t>
      </w:r>
      <w:r>
        <w:rPr>
          <w:rFonts w:hint="eastAsia"/>
          <w:color w:val="auto"/>
          <w:sz w:val="21"/>
          <w:szCs w:val="21"/>
          <w:shd w:val="clear" w:color="auto" w:fill="auto"/>
        </w:rPr>
        <w:t>人员编制表</w:t>
      </w:r>
      <w:r>
        <w:rPr>
          <w:rFonts w:hint="eastAsia"/>
          <w:color w:val="auto"/>
          <w:sz w:val="21"/>
          <w:szCs w:val="21"/>
          <w:shd w:val="clear" w:color="auto" w:fill="auto"/>
          <w:lang w:val="en-US" w:eastAsia="zh-CN"/>
        </w:rPr>
        <w:t xml:space="preserve">  单位：人</w:t>
      </w:r>
    </w:p>
    <w:tbl>
      <w:tblPr>
        <w:tblStyle w:val="26"/>
        <w:tblpPr w:leftFromText="180" w:rightFromText="180" w:vertAnchor="text" w:horzAnchor="margin" w:tblpXSpec="center" w:tblpY="38"/>
        <w:tblW w:w="8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9"/>
        <w:gridCol w:w="2140"/>
        <w:gridCol w:w="2090"/>
        <w:gridCol w:w="35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9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bookmarkStart w:id="215" w:name="_Toc9955_WPSOffice_Level2"/>
            <w:r>
              <w:rPr>
                <w:rFonts w:hint="eastAsia" w:eastAsia="宋体" w:cs="Times New Roman"/>
                <w:color w:val="auto"/>
                <w:sz w:val="21"/>
                <w:szCs w:val="21"/>
                <w:shd w:val="clear" w:color="auto" w:fill="auto"/>
              </w:rPr>
              <w:t>序号</w:t>
            </w:r>
          </w:p>
        </w:tc>
        <w:tc>
          <w:tcPr>
            <w:tcW w:w="21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名</w:t>
            </w:r>
            <w:r>
              <w:rPr>
                <w:rFonts w:hint="eastAsia" w:eastAsia="宋体" w:cs="Times New Roman"/>
                <w:color w:val="auto"/>
                <w:sz w:val="21"/>
                <w:szCs w:val="21"/>
                <w:shd w:val="clear" w:color="auto" w:fill="auto"/>
                <w:lang w:val="en-US" w:eastAsia="zh-CN"/>
              </w:rPr>
              <w:t xml:space="preserve"> </w:t>
            </w:r>
            <w:r>
              <w:rPr>
                <w:rFonts w:hint="eastAsia" w:eastAsia="宋体" w:cs="Times New Roman"/>
                <w:color w:val="auto"/>
                <w:sz w:val="21"/>
                <w:szCs w:val="21"/>
                <w:shd w:val="clear" w:color="auto" w:fill="auto"/>
              </w:rPr>
              <w:t>称</w:t>
            </w:r>
          </w:p>
        </w:tc>
        <w:tc>
          <w:tcPr>
            <w:tcW w:w="209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班制</w:t>
            </w:r>
          </w:p>
        </w:tc>
        <w:tc>
          <w:tcPr>
            <w:tcW w:w="35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9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1</w:t>
            </w:r>
          </w:p>
        </w:tc>
        <w:tc>
          <w:tcPr>
            <w:tcW w:w="21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机械司机</w:t>
            </w:r>
          </w:p>
        </w:tc>
        <w:tc>
          <w:tcPr>
            <w:tcW w:w="209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3班</w:t>
            </w:r>
          </w:p>
        </w:tc>
        <w:tc>
          <w:tcPr>
            <w:tcW w:w="35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9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2</w:t>
            </w:r>
          </w:p>
        </w:tc>
        <w:tc>
          <w:tcPr>
            <w:tcW w:w="21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装卸工人</w:t>
            </w:r>
          </w:p>
        </w:tc>
        <w:tc>
          <w:tcPr>
            <w:tcW w:w="20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p>
        </w:tc>
        <w:tc>
          <w:tcPr>
            <w:tcW w:w="35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9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3</w:t>
            </w:r>
          </w:p>
        </w:tc>
        <w:tc>
          <w:tcPr>
            <w:tcW w:w="21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管理人员</w:t>
            </w:r>
          </w:p>
        </w:tc>
        <w:tc>
          <w:tcPr>
            <w:tcW w:w="20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p>
        </w:tc>
        <w:tc>
          <w:tcPr>
            <w:tcW w:w="35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9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4</w:t>
            </w:r>
          </w:p>
        </w:tc>
        <w:tc>
          <w:tcPr>
            <w:tcW w:w="423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rPr>
            </w:pPr>
            <w:r>
              <w:rPr>
                <w:rFonts w:hint="eastAsia" w:eastAsia="宋体" w:cs="Times New Roman"/>
                <w:color w:val="auto"/>
                <w:sz w:val="21"/>
                <w:szCs w:val="21"/>
                <w:shd w:val="clear" w:color="auto" w:fill="auto"/>
              </w:rPr>
              <w:t>合计</w:t>
            </w:r>
          </w:p>
        </w:tc>
        <w:tc>
          <w:tcPr>
            <w:tcW w:w="35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31</w:t>
            </w:r>
          </w:p>
        </w:tc>
      </w:tr>
    </w:tbl>
    <w:p>
      <w:pPr>
        <w:pStyle w:val="5"/>
        <w:rPr>
          <w:rFonts w:hint="eastAsia"/>
          <w:color w:val="auto"/>
          <w:highlight w:val="none"/>
          <w:shd w:val="clear" w:color="auto" w:fill="auto"/>
        </w:rPr>
      </w:pPr>
      <w:r>
        <w:rPr>
          <w:rFonts w:hint="eastAsia"/>
          <w:color w:val="auto"/>
          <w:highlight w:val="none"/>
          <w:shd w:val="clear" w:color="auto" w:fill="auto"/>
        </w:rPr>
        <w:t>2.</w:t>
      </w:r>
      <w:r>
        <w:rPr>
          <w:rFonts w:hint="eastAsia"/>
          <w:color w:val="auto"/>
          <w:highlight w:val="none"/>
          <w:shd w:val="clear" w:color="auto" w:fill="auto"/>
          <w:lang w:val="en-US" w:eastAsia="zh-CN"/>
        </w:rPr>
        <w:t>1.9</w:t>
      </w:r>
      <w:r>
        <w:rPr>
          <w:rFonts w:hint="eastAsia"/>
          <w:color w:val="auto"/>
          <w:highlight w:val="none"/>
          <w:shd w:val="clear" w:color="auto" w:fill="auto"/>
        </w:rPr>
        <w:t>施工组织方案</w:t>
      </w:r>
      <w:bookmarkEnd w:id="215"/>
    </w:p>
    <w:p>
      <w:pPr>
        <w:bidi w:val="0"/>
        <w:rPr>
          <w:color w:val="auto"/>
          <w:shd w:val="clear" w:color="auto" w:fill="auto"/>
        </w:rPr>
      </w:pPr>
      <w:r>
        <w:rPr>
          <w:rFonts w:hint="eastAsia"/>
          <w:color w:val="auto"/>
          <w:shd w:val="clear" w:color="auto" w:fill="auto"/>
          <w:lang w:val="en-US" w:eastAsia="zh-CN"/>
        </w:rPr>
        <w:t>主要工程</w:t>
      </w:r>
      <w:r>
        <w:rPr>
          <w:rFonts w:hint="eastAsia"/>
          <w:color w:val="auto"/>
          <w:shd w:val="clear" w:color="auto" w:fill="auto"/>
        </w:rPr>
        <w:t>内容包括：陆上</w:t>
      </w:r>
      <w:r>
        <w:rPr>
          <w:color w:val="auto"/>
          <w:shd w:val="clear" w:color="auto" w:fill="auto"/>
        </w:rPr>
        <w:t>土方开挖、水下土方开挖、</w:t>
      </w:r>
      <w:r>
        <w:rPr>
          <w:rFonts w:hint="eastAsia"/>
          <w:color w:val="auto"/>
          <w:shd w:val="clear" w:color="auto" w:fill="auto"/>
        </w:rPr>
        <w:t xml:space="preserve">钻孔灌注桩、现浇构件、预制构件和面板安装；陆域形成、道路工程、土建工程等施工，以及机械设备、电气、给排水等设施的购置和安装。 </w:t>
      </w:r>
    </w:p>
    <w:p>
      <w:pPr>
        <w:pStyle w:val="6"/>
        <w:rPr>
          <w:color w:val="auto"/>
          <w:shd w:val="clear" w:color="auto" w:fill="auto"/>
        </w:rPr>
      </w:pPr>
      <w:r>
        <w:rPr>
          <w:rFonts w:hint="eastAsia"/>
          <w:color w:val="auto"/>
          <w:shd w:val="clear" w:color="auto" w:fill="auto"/>
        </w:rPr>
        <w:t>2.</w:t>
      </w:r>
      <w:r>
        <w:rPr>
          <w:rFonts w:hint="eastAsia"/>
          <w:color w:val="auto"/>
          <w:shd w:val="clear" w:color="auto" w:fill="auto"/>
          <w:lang w:val="en-US" w:eastAsia="zh-CN"/>
        </w:rPr>
        <w:t>1.9</w:t>
      </w:r>
      <w:r>
        <w:rPr>
          <w:rFonts w:hint="eastAsia"/>
          <w:color w:val="auto"/>
          <w:shd w:val="clear" w:color="auto" w:fill="auto"/>
        </w:rPr>
        <w:t>.1施工条件</w:t>
      </w:r>
    </w:p>
    <w:p>
      <w:pPr>
        <w:ind w:firstLine="480"/>
        <w:rPr>
          <w:rFonts w:hint="eastAsia"/>
          <w:color w:val="auto"/>
          <w:shd w:val="clear" w:color="auto" w:fill="auto"/>
        </w:rPr>
      </w:pPr>
      <w:r>
        <w:rPr>
          <w:rFonts w:hint="eastAsia"/>
          <w:color w:val="auto"/>
          <w:shd w:val="clear" w:color="auto" w:fill="auto"/>
        </w:rPr>
        <w:t>（</w:t>
      </w:r>
      <w:r>
        <w:rPr>
          <w:rFonts w:hint="eastAsia"/>
          <w:color w:val="auto"/>
          <w:shd w:val="clear" w:color="auto" w:fill="auto"/>
          <w:lang w:val="en-US" w:eastAsia="zh-CN"/>
        </w:rPr>
        <w:t>1</w:t>
      </w:r>
      <w:r>
        <w:rPr>
          <w:rFonts w:hint="eastAsia"/>
          <w:color w:val="auto"/>
          <w:shd w:val="clear" w:color="auto" w:fill="auto"/>
        </w:rPr>
        <w:t>）施工场地条件</w:t>
      </w:r>
    </w:p>
    <w:p>
      <w:pPr>
        <w:ind w:firstLine="480"/>
        <w:rPr>
          <w:rFonts w:hint="eastAsia"/>
          <w:color w:val="auto"/>
          <w:shd w:val="clear" w:color="auto" w:fill="auto"/>
        </w:rPr>
      </w:pPr>
      <w:r>
        <w:rPr>
          <w:rFonts w:hint="eastAsia"/>
          <w:color w:val="auto"/>
          <w:shd w:val="clear" w:color="auto" w:fill="auto"/>
        </w:rPr>
        <w:t>本工程集疏运条件较好，车辆可从050乡道直接行使到码头位置。沙颍河与淮河航道连通构成发达的内河航道网，水路运输方便。</w:t>
      </w:r>
    </w:p>
    <w:p>
      <w:pPr>
        <w:ind w:firstLine="480"/>
        <w:rPr>
          <w:rFonts w:hint="eastAsia"/>
          <w:color w:val="auto"/>
          <w:shd w:val="clear" w:color="auto" w:fill="auto"/>
        </w:rPr>
      </w:pP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）当地施工力量</w:t>
      </w:r>
    </w:p>
    <w:p>
      <w:pPr>
        <w:ind w:firstLine="480"/>
        <w:rPr>
          <w:rFonts w:hint="eastAsia"/>
          <w:color w:val="auto"/>
          <w:shd w:val="clear" w:color="auto" w:fill="auto"/>
        </w:rPr>
      </w:pPr>
      <w:r>
        <w:rPr>
          <w:rFonts w:hint="eastAsia"/>
          <w:color w:val="auto"/>
          <w:shd w:val="clear" w:color="auto" w:fill="auto"/>
        </w:rPr>
        <w:t>拟建码头施工工艺相对简单，省内有较多经验丰富、设备先进的港口工程施工单位，他们均有承建码头工程的施工经验。届时可通过招标选定施工单位。因此本工程具有较好的施工条件。</w:t>
      </w:r>
    </w:p>
    <w:p>
      <w:pPr>
        <w:pStyle w:val="6"/>
        <w:bidi w:val="0"/>
        <w:rPr>
          <w:rFonts w:hint="eastAsia"/>
          <w:color w:val="auto"/>
          <w:shd w:val="clear" w:color="auto" w:fill="auto"/>
        </w:rPr>
      </w:pPr>
      <w:bookmarkStart w:id="216" w:name="_Toc10891"/>
      <w:bookmarkStart w:id="217" w:name="_Toc23654"/>
      <w:r>
        <w:rPr>
          <w:rFonts w:hint="eastAsia"/>
          <w:color w:val="auto"/>
          <w:shd w:val="clear" w:color="auto" w:fill="auto"/>
          <w:lang w:val="en-US" w:eastAsia="zh-CN"/>
        </w:rPr>
        <w:t>2.1.9.2</w:t>
      </w:r>
      <w:r>
        <w:rPr>
          <w:rFonts w:hint="eastAsia"/>
          <w:color w:val="auto"/>
          <w:shd w:val="clear" w:color="auto" w:fill="auto"/>
        </w:rPr>
        <w:t>施工方案</w:t>
      </w:r>
      <w:bookmarkEnd w:id="216"/>
      <w:bookmarkEnd w:id="217"/>
    </w:p>
    <w:p>
      <w:pPr>
        <w:bidi w:val="0"/>
        <w:rPr>
          <w:rFonts w:hint="eastAsia"/>
          <w:color w:val="auto"/>
          <w:shd w:val="clear" w:color="auto" w:fill="auto"/>
        </w:rPr>
      </w:pPr>
      <w:r>
        <w:rPr>
          <w:rFonts w:hint="eastAsia"/>
          <w:color w:val="auto"/>
          <w:shd w:val="clear" w:color="auto" w:fill="auto"/>
        </w:rPr>
        <w:t>（1）土方</w:t>
      </w:r>
    </w:p>
    <w:p>
      <w:pPr>
        <w:bidi w:val="0"/>
        <w:rPr>
          <w:color w:val="auto"/>
          <w:shd w:val="clear" w:color="auto" w:fill="auto"/>
        </w:rPr>
      </w:pPr>
      <w:r>
        <w:rPr>
          <w:rFonts w:hint="eastAsia"/>
          <w:color w:val="auto"/>
          <w:shd w:val="clear" w:color="auto" w:fill="auto"/>
        </w:rPr>
        <w:t>码头选择中低水期开工，利用现有</w:t>
      </w:r>
      <w:r>
        <w:rPr>
          <w:color w:val="auto"/>
          <w:shd w:val="clear" w:color="auto" w:fill="auto"/>
        </w:rPr>
        <w:t>滩地</w:t>
      </w:r>
      <w:r>
        <w:rPr>
          <w:rFonts w:hint="eastAsia"/>
          <w:color w:val="auto"/>
          <w:shd w:val="clear" w:color="auto" w:fill="auto"/>
        </w:rPr>
        <w:t>作为</w:t>
      </w:r>
      <w:r>
        <w:rPr>
          <w:color w:val="auto"/>
          <w:shd w:val="clear" w:color="auto" w:fill="auto"/>
        </w:rPr>
        <w:t>施工围堰，</w:t>
      </w:r>
      <w:r>
        <w:rPr>
          <w:rFonts w:hint="eastAsia"/>
          <w:color w:val="auto"/>
          <w:shd w:val="clear" w:color="auto" w:fill="auto"/>
        </w:rPr>
        <w:t>围堰表面</w:t>
      </w:r>
      <w:r>
        <w:rPr>
          <w:color w:val="auto"/>
          <w:shd w:val="clear" w:color="auto" w:fill="auto"/>
        </w:rPr>
        <w:t>需回填粘性土</w:t>
      </w:r>
      <w:r>
        <w:rPr>
          <w:rFonts w:hint="eastAsia"/>
          <w:color w:val="auto"/>
          <w:shd w:val="clear" w:color="auto" w:fill="auto"/>
        </w:rPr>
        <w:t>并用</w:t>
      </w:r>
      <w:r>
        <w:rPr>
          <w:color w:val="auto"/>
          <w:shd w:val="clear" w:color="auto" w:fill="auto"/>
        </w:rPr>
        <w:t>蛇皮袋装土堆叠进行防护，</w:t>
      </w:r>
      <w:r>
        <w:rPr>
          <w:rFonts w:hint="eastAsia"/>
          <w:color w:val="auto"/>
          <w:shd w:val="clear" w:color="auto" w:fill="auto"/>
          <w:lang w:eastAsia="zh-CN"/>
        </w:rPr>
        <w:t>施工范围设置围帘，减少施工扰动范围，</w:t>
      </w:r>
      <w:r>
        <w:rPr>
          <w:rFonts w:hint="eastAsia"/>
          <w:color w:val="auto"/>
          <w:shd w:val="clear" w:color="auto" w:fill="auto"/>
        </w:rPr>
        <w:t>待护岸工程和上部结构施工完成后再次开挖港池至设计底标高。</w:t>
      </w:r>
    </w:p>
    <w:p>
      <w:pPr>
        <w:bidi w:val="0"/>
        <w:rPr>
          <w:rFonts w:hint="eastAsia"/>
          <w:color w:val="auto"/>
          <w:shd w:val="clear" w:color="auto" w:fill="auto"/>
        </w:rPr>
      </w:pPr>
      <w:r>
        <w:rPr>
          <w:rFonts w:hint="eastAsia"/>
          <w:color w:val="auto"/>
          <w:shd w:val="clear" w:color="auto" w:fill="auto"/>
        </w:rPr>
        <w:t>码头开挖港池的陆上挖方采用</w:t>
      </w:r>
      <w:r>
        <w:rPr>
          <w:color w:val="auto"/>
          <w:shd w:val="clear" w:color="auto" w:fill="auto"/>
        </w:rPr>
        <w:t>渣土车</w:t>
      </w:r>
      <w:r>
        <w:rPr>
          <w:rFonts w:hint="eastAsia"/>
          <w:color w:val="auto"/>
          <w:shd w:val="clear" w:color="auto" w:fill="auto"/>
        </w:rPr>
        <w:t>运至</w:t>
      </w:r>
      <w:r>
        <w:rPr>
          <w:color w:val="auto"/>
          <w:shd w:val="clear" w:color="auto" w:fill="auto"/>
        </w:rPr>
        <w:t>弃土区，</w:t>
      </w:r>
      <w:r>
        <w:rPr>
          <w:rFonts w:hint="eastAsia"/>
          <w:color w:val="auto"/>
          <w:shd w:val="clear" w:color="auto" w:fill="auto"/>
        </w:rPr>
        <w:t>水下挖方</w:t>
      </w:r>
      <w:r>
        <w:rPr>
          <w:rFonts w:hint="eastAsia"/>
          <w:color w:val="auto"/>
          <w:shd w:val="clear" w:color="auto" w:fill="auto"/>
          <w:lang w:eastAsia="zh-CN"/>
        </w:rPr>
        <w:t>通过抛泥船、排泥管排至项目</w:t>
      </w:r>
      <w:r>
        <w:rPr>
          <w:color w:val="auto"/>
          <w:shd w:val="clear" w:color="auto" w:fill="auto"/>
        </w:rPr>
        <w:t>抛泥区堆存</w:t>
      </w:r>
      <w:r>
        <w:rPr>
          <w:rFonts w:hint="eastAsia"/>
          <w:color w:val="auto"/>
          <w:shd w:val="clear" w:color="auto" w:fill="auto"/>
        </w:rPr>
        <w:t>。</w:t>
      </w:r>
    </w:p>
    <w:p>
      <w:pPr>
        <w:bidi w:val="0"/>
        <w:rPr>
          <w:rFonts w:hint="eastAsia"/>
          <w:color w:val="auto"/>
          <w:shd w:val="clear" w:color="auto" w:fill="auto"/>
        </w:rPr>
      </w:pPr>
      <w:r>
        <w:rPr>
          <w:rFonts w:hint="eastAsia"/>
          <w:color w:val="auto"/>
          <w:shd w:val="clear" w:color="auto" w:fill="auto"/>
        </w:rPr>
        <w:t>（2）码头平台</w:t>
      </w:r>
    </w:p>
    <w:p>
      <w:pPr>
        <w:bidi w:val="0"/>
        <w:rPr>
          <w:rFonts w:hint="eastAsia"/>
          <w:color w:val="auto"/>
          <w:shd w:val="clear" w:color="auto" w:fill="auto"/>
        </w:rPr>
      </w:pPr>
      <w:r>
        <w:rPr>
          <w:rFonts w:hint="eastAsia"/>
          <w:color w:val="auto"/>
          <w:shd w:val="clear" w:color="auto" w:fill="auto"/>
        </w:rPr>
        <w:t>码头平台采用钻孔灌注桩，桩基</w:t>
      </w:r>
      <w:r>
        <w:rPr>
          <w:color w:val="auto"/>
          <w:shd w:val="clear" w:color="auto" w:fill="auto"/>
        </w:rPr>
        <w:t>施工需选择低水位时施工。</w:t>
      </w:r>
      <w:r>
        <w:rPr>
          <w:rFonts w:hint="eastAsia"/>
          <w:color w:val="auto"/>
          <w:shd w:val="clear" w:color="auto" w:fill="auto"/>
        </w:rPr>
        <w:t>上部结构采用现浇/叠合构件，可平整后方场地作为预制场地，预制完成后安装即可，现浇构件可直接由混凝土搅拌车输送至现场后由混凝土输送泵现场浇筑。现浇混凝土采用人工配合机械施工，用强制式拌和机拌制混凝土，翻斗车运输，插入式软轴振捣器振捣。</w:t>
      </w:r>
    </w:p>
    <w:p>
      <w:pPr>
        <w:bidi w:val="0"/>
        <w:rPr>
          <w:rFonts w:hint="eastAsia"/>
          <w:color w:val="auto"/>
          <w:shd w:val="clear" w:color="auto" w:fill="auto"/>
        </w:rPr>
      </w:pPr>
      <w:r>
        <w:rPr>
          <w:rFonts w:hint="eastAsia"/>
          <w:color w:val="auto"/>
          <w:shd w:val="clear" w:color="auto" w:fill="auto"/>
        </w:rPr>
        <w:t>（3）护岸</w:t>
      </w:r>
      <w:r>
        <w:rPr>
          <w:color w:val="auto"/>
          <w:shd w:val="clear" w:color="auto" w:fill="auto"/>
        </w:rPr>
        <w:t>工程</w:t>
      </w:r>
    </w:p>
    <w:p>
      <w:pPr>
        <w:bidi w:val="0"/>
        <w:rPr>
          <w:rFonts w:hint="eastAsia"/>
          <w:color w:val="auto"/>
          <w:shd w:val="clear" w:color="auto" w:fill="auto"/>
        </w:rPr>
      </w:pPr>
      <w:r>
        <w:rPr>
          <w:rFonts w:hint="eastAsia"/>
          <w:color w:val="auto"/>
          <w:shd w:val="clear" w:color="auto" w:fill="auto"/>
        </w:rPr>
        <w:t>护岸工程可以待码头桩基工程完成后再行处理。</w:t>
      </w:r>
    </w:p>
    <w:p>
      <w:pPr>
        <w:bidi w:val="0"/>
        <w:rPr>
          <w:color w:val="auto"/>
          <w:shd w:val="clear" w:color="auto" w:fill="auto"/>
        </w:rPr>
      </w:pPr>
      <w:r>
        <w:rPr>
          <w:rFonts w:hint="eastAsia"/>
          <w:color w:val="auto"/>
          <w:shd w:val="clear" w:color="auto" w:fill="auto"/>
        </w:rPr>
        <w:t>（4）路域施工</w:t>
      </w:r>
    </w:p>
    <w:p>
      <w:pPr>
        <w:bidi w:val="0"/>
        <w:rPr>
          <w:color w:val="auto"/>
          <w:shd w:val="clear" w:color="auto" w:fill="auto"/>
        </w:rPr>
      </w:pPr>
      <w:r>
        <w:rPr>
          <w:rFonts w:hint="eastAsia"/>
          <w:color w:val="auto"/>
          <w:shd w:val="clear" w:color="auto" w:fill="auto"/>
        </w:rPr>
        <w:t>本工程陆域清表后</w:t>
      </w:r>
      <w:r>
        <w:rPr>
          <w:color w:val="auto"/>
          <w:shd w:val="clear" w:color="auto" w:fill="auto"/>
        </w:rPr>
        <w:t>回填</w:t>
      </w:r>
      <w:r>
        <w:rPr>
          <w:rFonts w:hint="eastAsia"/>
          <w:color w:val="auto"/>
          <w:shd w:val="clear" w:color="auto" w:fill="auto"/>
        </w:rPr>
        <w:t>灰土和</w:t>
      </w:r>
      <w:r>
        <w:rPr>
          <w:color w:val="auto"/>
          <w:shd w:val="clear" w:color="auto" w:fill="auto"/>
        </w:rPr>
        <w:t>素土，部分</w:t>
      </w:r>
      <w:r>
        <w:rPr>
          <w:rFonts w:hint="eastAsia"/>
          <w:color w:val="auto"/>
          <w:shd w:val="clear" w:color="auto" w:fill="auto"/>
        </w:rPr>
        <w:t>沟</w:t>
      </w:r>
      <w:r>
        <w:rPr>
          <w:color w:val="auto"/>
          <w:shd w:val="clear" w:color="auto" w:fill="auto"/>
        </w:rPr>
        <w:t>、塘区域需要清淤和</w:t>
      </w:r>
      <w:r>
        <w:rPr>
          <w:rFonts w:hint="eastAsia"/>
          <w:color w:val="auto"/>
          <w:shd w:val="clear" w:color="auto" w:fill="auto"/>
        </w:rPr>
        <w:t>换填处理，回填土碾压到设计高程后，即可进行上部结构层施工。</w:t>
      </w:r>
    </w:p>
    <w:p>
      <w:pPr>
        <w:bidi w:val="0"/>
        <w:rPr>
          <w:color w:val="auto"/>
          <w:shd w:val="clear" w:color="auto" w:fill="auto"/>
        </w:rPr>
      </w:pPr>
      <w:r>
        <w:rPr>
          <w:rFonts w:hint="eastAsia"/>
          <w:color w:val="auto"/>
          <w:shd w:val="clear" w:color="auto" w:fill="auto"/>
        </w:rPr>
        <w:t>（5）设备安装、调试</w:t>
      </w:r>
    </w:p>
    <w:p>
      <w:pPr>
        <w:bidi w:val="0"/>
        <w:rPr>
          <w:color w:val="auto"/>
          <w:shd w:val="clear" w:color="auto" w:fill="auto"/>
        </w:rPr>
      </w:pPr>
      <w:r>
        <w:rPr>
          <w:rFonts w:hint="eastAsia"/>
          <w:color w:val="auto"/>
          <w:shd w:val="clear" w:color="auto" w:fill="auto"/>
        </w:rPr>
        <w:t>水工结构完成后，机械设备等由厂家直接运至现场，由专业人员到现场安装、调试。</w:t>
      </w:r>
    </w:p>
    <w:p>
      <w:pPr>
        <w:bidi w:val="0"/>
        <w:rPr>
          <w:color w:val="auto"/>
          <w:shd w:val="clear" w:color="auto" w:fill="auto"/>
        </w:rPr>
      </w:pPr>
      <w:r>
        <w:rPr>
          <w:rFonts w:hint="eastAsia"/>
          <w:color w:val="auto"/>
          <w:shd w:val="clear" w:color="auto" w:fill="auto"/>
        </w:rPr>
        <w:t>（6）附属工程</w:t>
      </w:r>
    </w:p>
    <w:p>
      <w:pPr>
        <w:bidi w:val="0"/>
        <w:rPr>
          <w:bCs/>
          <w:color w:val="auto"/>
          <w:szCs w:val="28"/>
          <w:shd w:val="clear" w:color="auto" w:fill="auto"/>
        </w:rPr>
      </w:pPr>
      <w:r>
        <w:rPr>
          <w:rFonts w:hint="eastAsia"/>
          <w:color w:val="auto"/>
          <w:shd w:val="clear" w:color="auto" w:fill="auto"/>
        </w:rPr>
        <w:t>各附属设施随施工进度根据设计图纸的布置要求进行。</w:t>
      </w:r>
    </w:p>
    <w:p>
      <w:pPr>
        <w:pStyle w:val="6"/>
        <w:bidi w:val="0"/>
        <w:rPr>
          <w:rFonts w:hint="eastAsia"/>
          <w:color w:val="auto"/>
          <w:shd w:val="clear" w:color="auto" w:fill="auto"/>
        </w:rPr>
      </w:pPr>
      <w:bookmarkStart w:id="218" w:name="_Toc24285"/>
      <w:bookmarkStart w:id="219" w:name="_Toc26003"/>
      <w:r>
        <w:rPr>
          <w:rFonts w:hint="eastAsia"/>
          <w:color w:val="auto"/>
          <w:shd w:val="clear" w:color="auto" w:fill="auto"/>
          <w:lang w:val="en-US" w:eastAsia="zh-CN"/>
        </w:rPr>
        <w:t>2.1.9.3</w:t>
      </w:r>
      <w:r>
        <w:rPr>
          <w:rFonts w:hint="eastAsia"/>
          <w:color w:val="auto"/>
          <w:shd w:val="clear" w:color="auto" w:fill="auto"/>
        </w:rPr>
        <w:t>施工进度计划</w:t>
      </w:r>
      <w:bookmarkEnd w:id="218"/>
      <w:bookmarkEnd w:id="219"/>
    </w:p>
    <w:p>
      <w:pPr>
        <w:bidi w:val="0"/>
        <w:rPr>
          <w:rFonts w:hint="eastAsia"/>
          <w:color w:val="auto"/>
          <w:shd w:val="clear" w:color="auto" w:fill="auto"/>
        </w:rPr>
      </w:pPr>
      <w:r>
        <w:rPr>
          <w:rFonts w:hint="eastAsia"/>
          <w:color w:val="auto"/>
          <w:shd w:val="clear" w:color="auto" w:fill="auto"/>
        </w:rPr>
        <w:t>本工程的施工期暂定12个月，20</w:t>
      </w:r>
      <w:r>
        <w:rPr>
          <w:rFonts w:hint="eastAsia"/>
          <w:color w:val="auto"/>
          <w:shd w:val="clear" w:color="auto" w:fill="auto"/>
          <w:lang w:val="en-US" w:eastAsia="zh-CN"/>
        </w:rPr>
        <w:t>20</w:t>
      </w:r>
      <w:r>
        <w:rPr>
          <w:rFonts w:hint="eastAsia"/>
          <w:color w:val="auto"/>
          <w:shd w:val="clear" w:color="auto" w:fill="auto"/>
        </w:rPr>
        <w:t>年1</w:t>
      </w:r>
      <w:r>
        <w:rPr>
          <w:color w:val="auto"/>
          <w:shd w:val="clear" w:color="auto" w:fill="auto"/>
        </w:rPr>
        <w:t>0</w:t>
      </w:r>
      <w:r>
        <w:rPr>
          <w:rFonts w:hint="eastAsia"/>
          <w:color w:val="auto"/>
          <w:shd w:val="clear" w:color="auto" w:fill="auto"/>
        </w:rPr>
        <w:t>月开工，20</w:t>
      </w:r>
      <w:r>
        <w:rPr>
          <w:color w:val="auto"/>
          <w:shd w:val="clear" w:color="auto" w:fill="auto"/>
        </w:rPr>
        <w:t>2</w:t>
      </w:r>
      <w:r>
        <w:rPr>
          <w:rFonts w:hint="eastAsia"/>
          <w:color w:val="auto"/>
          <w:shd w:val="clear" w:color="auto" w:fill="auto"/>
          <w:lang w:val="en-US" w:eastAsia="zh-CN"/>
        </w:rPr>
        <w:t>1</w:t>
      </w:r>
      <w:r>
        <w:rPr>
          <w:rFonts w:hint="eastAsia"/>
          <w:color w:val="auto"/>
          <w:shd w:val="clear" w:color="auto" w:fill="auto"/>
        </w:rPr>
        <w:t>年</w:t>
      </w:r>
      <w:r>
        <w:rPr>
          <w:color w:val="auto"/>
          <w:shd w:val="clear" w:color="auto" w:fill="auto"/>
        </w:rPr>
        <w:t>9</w:t>
      </w:r>
      <w:r>
        <w:rPr>
          <w:rFonts w:hint="eastAsia"/>
          <w:color w:val="auto"/>
          <w:shd w:val="clear" w:color="auto" w:fill="auto"/>
        </w:rPr>
        <w:t>月交工验收。</w:t>
      </w:r>
    </w:p>
    <w:p>
      <w:pPr>
        <w:pStyle w:val="5"/>
        <w:rPr>
          <w:rFonts w:hint="eastAsia"/>
          <w:color w:val="auto"/>
          <w:shd w:val="clear" w:color="auto" w:fill="auto"/>
          <w:lang w:val="en-US" w:eastAsia="zh-CN"/>
        </w:rPr>
      </w:pPr>
      <w:bookmarkStart w:id="220" w:name="_Toc316641949"/>
      <w:r>
        <w:rPr>
          <w:rFonts w:hint="eastAsia"/>
          <w:color w:val="auto"/>
          <w:shd w:val="clear" w:color="auto" w:fill="auto"/>
          <w:lang w:val="en-US" w:eastAsia="zh-CN"/>
        </w:rPr>
        <w:t>2.1.10</w:t>
      </w:r>
      <w:r>
        <w:rPr>
          <w:color w:val="auto"/>
          <w:shd w:val="clear" w:color="auto" w:fill="auto"/>
        </w:rPr>
        <w:t>土</w:t>
      </w:r>
      <w:bookmarkEnd w:id="220"/>
      <w:r>
        <w:rPr>
          <w:rFonts w:hint="eastAsia"/>
          <w:color w:val="auto"/>
          <w:shd w:val="clear" w:color="auto" w:fill="auto"/>
          <w:lang w:val="en-US" w:eastAsia="zh-CN"/>
        </w:rPr>
        <w:t>石方工程及占地情况</w:t>
      </w:r>
    </w:p>
    <w:p>
      <w:pPr>
        <w:pStyle w:val="6"/>
        <w:rPr>
          <w:rFonts w:hint="eastAsia"/>
          <w:color w:val="auto"/>
          <w:shd w:val="clear" w:color="auto" w:fill="auto"/>
          <w:lang w:val="en-US" w:eastAsia="zh-CN"/>
        </w:rPr>
      </w:pPr>
      <w:r>
        <w:rPr>
          <w:rFonts w:hint="eastAsia"/>
          <w:color w:val="auto"/>
          <w:shd w:val="clear" w:color="auto" w:fill="auto"/>
          <w:lang w:val="en-US" w:eastAsia="zh-CN"/>
        </w:rPr>
        <w:t>2.1.10.1土石方平衡</w:t>
      </w:r>
    </w:p>
    <w:p>
      <w:pPr>
        <w:adjustRightInd w:val="0"/>
        <w:snapToGrid w:val="0"/>
        <w:ind w:firstLine="480"/>
        <w:rPr>
          <w:rFonts w:hint="eastAsia" w:ascii="Times New Roman" w:hAnsi="Times New Roman"/>
          <w:color w:val="auto"/>
          <w:shd w:val="clear" w:color="auto" w:fill="auto"/>
          <w:vertAlign w:val="baseline"/>
          <w:lang w:eastAsia="zh-CN"/>
        </w:rPr>
      </w:pPr>
      <w:r>
        <w:rPr>
          <w:rFonts w:hint="eastAsia" w:ascii="Times New Roman" w:hAnsi="Times New Roman"/>
          <w:color w:val="auto"/>
          <w:shd w:val="clear" w:color="auto" w:fill="auto"/>
          <w:vertAlign w:val="baseline"/>
          <w:lang w:eastAsia="zh-CN"/>
        </w:rPr>
        <w:t>（1）前方码头区土石方量</w:t>
      </w:r>
    </w:p>
    <w:p>
      <w:pPr>
        <w:adjustRightInd w:val="0"/>
        <w:snapToGrid w:val="0"/>
        <w:ind w:firstLine="480"/>
        <w:rPr>
          <w:rFonts w:hint="eastAsia" w:ascii="Times New Roman" w:hAnsi="Times New Roman"/>
          <w:color w:val="auto"/>
          <w:shd w:val="clear" w:color="auto" w:fill="auto"/>
          <w:vertAlign w:val="baseline"/>
          <w:lang w:eastAsia="zh-CN"/>
        </w:rPr>
      </w:pPr>
      <w:r>
        <w:rPr>
          <w:rFonts w:hint="eastAsia" w:ascii="Times New Roman" w:hAnsi="Times New Roman"/>
          <w:color w:val="auto"/>
          <w:shd w:val="clear" w:color="auto" w:fill="auto"/>
          <w:vertAlign w:val="baseline"/>
          <w:lang w:eastAsia="zh-CN"/>
        </w:rPr>
        <w:t>前方码头区挖方总量</w:t>
      </w:r>
      <w:r>
        <w:rPr>
          <w:rFonts w:hint="eastAsia"/>
          <w:color w:val="auto"/>
          <w:shd w:val="clear" w:color="auto" w:fill="auto"/>
          <w:vertAlign w:val="baseline"/>
          <w:lang w:val="en-US" w:eastAsia="zh-CN"/>
        </w:rPr>
        <w:t>9.35</w:t>
      </w:r>
      <w:r>
        <w:rPr>
          <w:rFonts w:hint="eastAsia" w:ascii="Times New Roman" w:hAnsi="Times New Roman"/>
          <w:color w:val="auto"/>
          <w:shd w:val="clear" w:color="auto" w:fill="auto"/>
          <w:vertAlign w:val="baseline"/>
          <w:lang w:eastAsia="zh-CN"/>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ascii="Times New Roman" w:hAnsi="Times New Roman"/>
          <w:color w:val="auto"/>
          <w:shd w:val="clear" w:color="auto" w:fill="auto"/>
          <w:vertAlign w:val="baseline"/>
          <w:lang w:eastAsia="zh-CN"/>
        </w:rPr>
        <w:t>，包括陆上方挖方</w:t>
      </w:r>
      <w:r>
        <w:rPr>
          <w:rFonts w:hint="eastAsia"/>
          <w:color w:val="auto"/>
          <w:shd w:val="clear" w:color="auto" w:fill="auto"/>
          <w:vertAlign w:val="baseline"/>
          <w:lang w:val="en-US" w:eastAsia="zh-CN"/>
        </w:rPr>
        <w:t>4.58</w:t>
      </w:r>
      <w:r>
        <w:rPr>
          <w:rFonts w:hint="eastAsia" w:ascii="Times New Roman" w:hAnsi="Times New Roman"/>
          <w:color w:val="auto"/>
          <w:shd w:val="clear" w:color="auto" w:fill="auto"/>
          <w:vertAlign w:val="baseline"/>
          <w:lang w:eastAsia="zh-CN"/>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ascii="Times New Roman" w:hAnsi="Times New Roman"/>
          <w:color w:val="auto"/>
          <w:shd w:val="clear" w:color="auto" w:fill="auto"/>
          <w:vertAlign w:val="baseline"/>
          <w:lang w:eastAsia="zh-CN"/>
        </w:rPr>
        <w:t>，水下疏浚方4.</w:t>
      </w:r>
      <w:r>
        <w:rPr>
          <w:rFonts w:hint="eastAsia"/>
          <w:color w:val="auto"/>
          <w:shd w:val="clear" w:color="auto" w:fill="auto"/>
          <w:vertAlign w:val="baseline"/>
          <w:lang w:val="en-US" w:eastAsia="zh-CN"/>
        </w:rPr>
        <w:t>63</w:t>
      </w:r>
      <w:r>
        <w:rPr>
          <w:rFonts w:hint="eastAsia" w:ascii="Times New Roman" w:hAnsi="Times New Roman"/>
          <w:color w:val="auto"/>
          <w:shd w:val="clear" w:color="auto" w:fill="auto"/>
          <w:vertAlign w:val="baseline"/>
          <w:lang w:eastAsia="zh-CN"/>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ascii="Times New Roman" w:hAnsi="Times New Roman"/>
          <w:color w:val="auto"/>
          <w:shd w:val="clear" w:color="auto" w:fill="auto"/>
          <w:vertAlign w:val="baseline"/>
          <w:lang w:eastAsia="zh-CN"/>
        </w:rPr>
        <w:t>，拆迁弃渣</w:t>
      </w:r>
      <w:r>
        <w:rPr>
          <w:rFonts w:hint="eastAsia"/>
          <w:color w:val="auto"/>
          <w:shd w:val="clear" w:color="auto" w:fill="auto"/>
          <w:vertAlign w:val="baseline"/>
          <w:lang w:val="en-US" w:eastAsia="zh-CN"/>
        </w:rPr>
        <w:t>0.08</w:t>
      </w:r>
      <w:r>
        <w:rPr>
          <w:rFonts w:hint="eastAsia" w:ascii="Times New Roman" w:hAnsi="Times New Roman"/>
          <w:color w:val="auto"/>
          <w:shd w:val="clear" w:color="auto" w:fill="auto"/>
          <w:vertAlign w:val="baseline"/>
          <w:lang w:eastAsia="zh-CN"/>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vertAlign w:val="baseline"/>
          <w:lang w:eastAsia="zh-CN"/>
        </w:rPr>
        <w:t>，</w:t>
      </w:r>
      <w:r>
        <w:rPr>
          <w:rFonts w:hint="eastAsia" w:ascii="Times New Roman" w:hAnsi="Times New Roman"/>
          <w:color w:val="auto"/>
          <w:shd w:val="clear" w:color="auto" w:fill="auto"/>
          <w:vertAlign w:val="baseline"/>
          <w:lang w:eastAsia="zh-CN"/>
        </w:rPr>
        <w:t>地表清杂0.0</w:t>
      </w:r>
      <w:r>
        <w:rPr>
          <w:rFonts w:hint="eastAsia"/>
          <w:color w:val="auto"/>
          <w:shd w:val="clear" w:color="auto" w:fill="auto"/>
          <w:vertAlign w:val="baseline"/>
          <w:lang w:val="en-US" w:eastAsia="zh-CN"/>
        </w:rPr>
        <w:t>6</w:t>
      </w:r>
      <w:r>
        <w:rPr>
          <w:rFonts w:hint="eastAsia" w:ascii="Times New Roman" w:hAnsi="Times New Roman"/>
          <w:color w:val="auto"/>
          <w:shd w:val="clear" w:color="auto" w:fill="auto"/>
          <w:vertAlign w:val="baseline"/>
          <w:lang w:eastAsia="zh-CN"/>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ascii="Times New Roman" w:hAnsi="Times New Roman"/>
          <w:color w:val="auto"/>
          <w:shd w:val="clear" w:color="auto" w:fill="auto"/>
          <w:vertAlign w:val="baseline"/>
          <w:lang w:eastAsia="zh-CN"/>
        </w:rPr>
        <w:t>；前方码头区填方0.30万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ascii="Times New Roman" w:hAnsi="Times New Roman"/>
          <w:color w:val="auto"/>
          <w:shd w:val="clear" w:color="auto" w:fill="auto"/>
          <w:vertAlign w:val="baseline"/>
          <w:lang w:eastAsia="zh-CN"/>
        </w:rPr>
        <w:t>，为档土墙后回填土方，其他0.3万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ascii="Times New Roman" w:hAnsi="Times New Roman"/>
          <w:color w:val="auto"/>
          <w:shd w:val="clear" w:color="auto" w:fill="auto"/>
          <w:vertAlign w:val="baseline"/>
          <w:lang w:eastAsia="zh-CN"/>
        </w:rPr>
        <w:t>；弃方</w:t>
      </w:r>
      <w:r>
        <w:rPr>
          <w:rFonts w:hint="eastAsia"/>
          <w:color w:val="auto"/>
          <w:shd w:val="clear" w:color="auto" w:fill="auto"/>
          <w:vertAlign w:val="baseline"/>
          <w:lang w:val="en-US" w:eastAsia="zh-CN"/>
        </w:rPr>
        <w:t>6.41</w:t>
      </w:r>
      <w:r>
        <w:rPr>
          <w:rFonts w:hint="eastAsia" w:ascii="Times New Roman" w:hAnsi="Times New Roman"/>
          <w:color w:val="auto"/>
          <w:shd w:val="clear" w:color="auto" w:fill="auto"/>
          <w:vertAlign w:val="baseline"/>
          <w:lang w:eastAsia="zh-CN"/>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ascii="Times New Roman" w:hAnsi="Times New Roman"/>
          <w:color w:val="auto"/>
          <w:shd w:val="clear" w:color="auto" w:fill="auto"/>
          <w:vertAlign w:val="baseline"/>
          <w:lang w:eastAsia="zh-CN"/>
        </w:rPr>
        <w:t>，其中陆上方弃方1.</w:t>
      </w:r>
      <w:r>
        <w:rPr>
          <w:rFonts w:hint="eastAsia"/>
          <w:color w:val="auto"/>
          <w:shd w:val="clear" w:color="auto" w:fill="auto"/>
          <w:vertAlign w:val="baseline"/>
          <w:lang w:val="en-US" w:eastAsia="zh-CN"/>
        </w:rPr>
        <w:t>78</w:t>
      </w:r>
      <w:r>
        <w:rPr>
          <w:rFonts w:hint="eastAsia" w:ascii="Times New Roman" w:hAnsi="Times New Roman"/>
          <w:color w:val="auto"/>
          <w:shd w:val="clear" w:color="auto" w:fill="auto"/>
          <w:vertAlign w:val="baseline"/>
          <w:lang w:eastAsia="zh-CN"/>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ascii="Times New Roman" w:hAnsi="Times New Roman"/>
          <w:color w:val="auto"/>
          <w:shd w:val="clear" w:color="auto" w:fill="auto"/>
          <w:vertAlign w:val="baseline"/>
          <w:lang w:eastAsia="zh-CN"/>
        </w:rPr>
        <w:t>，水下疏浚弃方4.</w:t>
      </w:r>
      <w:r>
        <w:rPr>
          <w:rFonts w:hint="eastAsia"/>
          <w:color w:val="auto"/>
          <w:shd w:val="clear" w:color="auto" w:fill="auto"/>
          <w:vertAlign w:val="baseline"/>
          <w:lang w:val="en-US" w:eastAsia="zh-CN"/>
        </w:rPr>
        <w:t>63</w:t>
      </w:r>
      <w:r>
        <w:rPr>
          <w:rFonts w:hint="eastAsia" w:ascii="Times New Roman" w:hAnsi="Times New Roman"/>
          <w:color w:val="auto"/>
          <w:shd w:val="clear" w:color="auto" w:fill="auto"/>
          <w:vertAlign w:val="baseline"/>
          <w:lang w:eastAsia="zh-CN"/>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ascii="Times New Roman" w:hAnsi="Times New Roman"/>
          <w:color w:val="auto"/>
          <w:shd w:val="clear" w:color="auto" w:fill="auto"/>
          <w:vertAlign w:val="baseline"/>
          <w:lang w:eastAsia="zh-CN"/>
        </w:rPr>
        <w:t>，调出2.</w:t>
      </w:r>
      <w:r>
        <w:rPr>
          <w:rFonts w:hint="eastAsia"/>
          <w:color w:val="auto"/>
          <w:shd w:val="clear" w:color="auto" w:fill="auto"/>
          <w:vertAlign w:val="baseline"/>
          <w:lang w:val="en-US" w:eastAsia="zh-CN"/>
        </w:rPr>
        <w:t>64</w:t>
      </w:r>
      <w:r>
        <w:rPr>
          <w:rFonts w:hint="eastAsia" w:ascii="Times New Roman" w:hAnsi="Times New Roman"/>
          <w:color w:val="auto"/>
          <w:shd w:val="clear" w:color="auto" w:fill="auto"/>
          <w:vertAlign w:val="baseline"/>
          <w:lang w:eastAsia="zh-CN"/>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ascii="Times New Roman" w:hAnsi="Times New Roman"/>
          <w:color w:val="auto"/>
          <w:shd w:val="clear" w:color="auto" w:fill="auto"/>
          <w:vertAlign w:val="baseline"/>
          <w:lang w:eastAsia="zh-CN"/>
        </w:rPr>
        <w:t>陆上挖方用于后方陆域场地回填。</w:t>
      </w:r>
    </w:p>
    <w:p>
      <w:pPr>
        <w:adjustRightInd w:val="0"/>
        <w:snapToGrid w:val="0"/>
        <w:ind w:firstLine="480"/>
        <w:rPr>
          <w:rFonts w:hint="eastAsia" w:ascii="Times New Roman" w:hAnsi="Times New Roman"/>
          <w:color w:val="auto"/>
          <w:shd w:val="clear" w:color="auto" w:fill="auto"/>
          <w:vertAlign w:val="baseline"/>
          <w:lang w:eastAsia="zh-CN"/>
        </w:rPr>
      </w:pPr>
      <w:r>
        <w:rPr>
          <w:rFonts w:hint="eastAsia" w:ascii="Times New Roman" w:hAnsi="Times New Roman"/>
          <w:color w:val="auto"/>
          <w:shd w:val="clear" w:color="auto" w:fill="auto"/>
          <w:vertAlign w:val="baseline"/>
          <w:lang w:eastAsia="zh-CN"/>
        </w:rPr>
        <w:t>（2）后方陆域区土石方量</w:t>
      </w:r>
    </w:p>
    <w:p>
      <w:pPr>
        <w:adjustRightInd w:val="0"/>
        <w:snapToGrid w:val="0"/>
        <w:ind w:firstLine="480"/>
        <w:rPr>
          <w:color w:val="FF0000"/>
          <w:shd w:val="clear" w:color="auto" w:fill="auto"/>
        </w:rPr>
      </w:pPr>
      <w:r>
        <w:rPr>
          <w:rFonts w:hint="eastAsia" w:ascii="Times New Roman" w:hAnsi="Times New Roman"/>
          <w:color w:val="auto"/>
          <w:shd w:val="clear" w:color="auto" w:fill="auto"/>
          <w:vertAlign w:val="baseline"/>
          <w:lang w:eastAsia="zh-CN"/>
        </w:rPr>
        <w:t>后方陆域区表土剥离0.</w:t>
      </w:r>
      <w:r>
        <w:rPr>
          <w:rFonts w:hint="eastAsia"/>
          <w:color w:val="auto"/>
          <w:shd w:val="clear" w:color="auto" w:fill="auto"/>
          <w:vertAlign w:val="baseline"/>
          <w:lang w:val="en-US" w:eastAsia="zh-CN"/>
        </w:rPr>
        <w:t>61</w:t>
      </w:r>
      <w:r>
        <w:rPr>
          <w:rFonts w:hint="eastAsia" w:ascii="Times New Roman" w:hAnsi="Times New Roman"/>
          <w:color w:val="auto"/>
          <w:shd w:val="clear" w:color="auto" w:fill="auto"/>
          <w:vertAlign w:val="baseline"/>
          <w:lang w:eastAsia="zh-CN"/>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ascii="Times New Roman" w:hAnsi="Times New Roman"/>
          <w:color w:val="auto"/>
          <w:shd w:val="clear" w:color="auto" w:fill="auto"/>
          <w:vertAlign w:val="baseline"/>
          <w:lang w:eastAsia="zh-CN"/>
        </w:rPr>
        <w:t>，地表清杂0.</w:t>
      </w:r>
      <w:r>
        <w:rPr>
          <w:rFonts w:hint="eastAsia"/>
          <w:color w:val="auto"/>
          <w:shd w:val="clear" w:color="auto" w:fill="auto"/>
          <w:vertAlign w:val="baseline"/>
          <w:lang w:val="en-US" w:eastAsia="zh-CN"/>
        </w:rPr>
        <w:t>21</w:t>
      </w:r>
      <w:r>
        <w:rPr>
          <w:rFonts w:hint="eastAsia" w:ascii="Times New Roman" w:hAnsi="Times New Roman"/>
          <w:color w:val="auto"/>
          <w:shd w:val="clear" w:color="auto" w:fill="auto"/>
          <w:vertAlign w:val="baseline"/>
          <w:lang w:eastAsia="zh-CN"/>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ascii="Times New Roman" w:hAnsi="Times New Roman"/>
          <w:color w:val="auto"/>
          <w:shd w:val="clear" w:color="auto" w:fill="auto"/>
          <w:vertAlign w:val="baseline"/>
          <w:lang w:eastAsia="zh-CN"/>
        </w:rPr>
        <w:t>，挖方总量0.</w:t>
      </w:r>
      <w:r>
        <w:rPr>
          <w:rFonts w:hint="eastAsia"/>
          <w:color w:val="auto"/>
          <w:shd w:val="clear" w:color="auto" w:fill="auto"/>
          <w:vertAlign w:val="baseline"/>
          <w:lang w:val="en-US" w:eastAsia="zh-CN"/>
        </w:rPr>
        <w:t>76</w:t>
      </w:r>
      <w:r>
        <w:rPr>
          <w:rFonts w:hint="eastAsia" w:ascii="Times New Roman" w:hAnsi="Times New Roman"/>
          <w:color w:val="auto"/>
          <w:shd w:val="clear" w:color="auto" w:fill="auto"/>
          <w:vertAlign w:val="baseline"/>
          <w:lang w:eastAsia="zh-CN"/>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ascii="Times New Roman" w:hAnsi="Times New Roman"/>
          <w:color w:val="auto"/>
          <w:shd w:val="clear" w:color="auto" w:fill="auto"/>
          <w:vertAlign w:val="baseline"/>
          <w:lang w:eastAsia="zh-CN"/>
        </w:rPr>
        <w:t>，填方总量</w:t>
      </w:r>
      <w:r>
        <w:rPr>
          <w:rFonts w:hint="eastAsia"/>
          <w:color w:val="auto"/>
          <w:shd w:val="clear" w:color="auto" w:fill="auto"/>
          <w:vertAlign w:val="baseline"/>
          <w:lang w:val="en-US" w:eastAsia="zh-CN"/>
        </w:rPr>
        <w:t>3.25</w:t>
      </w:r>
      <w:r>
        <w:rPr>
          <w:rFonts w:hint="eastAsia" w:ascii="Times New Roman" w:hAnsi="Times New Roman"/>
          <w:color w:val="auto"/>
          <w:shd w:val="clear" w:color="auto" w:fill="auto"/>
          <w:vertAlign w:val="baseline"/>
          <w:lang w:eastAsia="zh-CN"/>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ascii="Times New Roman" w:hAnsi="Times New Roman"/>
          <w:color w:val="auto"/>
          <w:shd w:val="clear" w:color="auto" w:fill="auto"/>
          <w:vertAlign w:val="baseline"/>
          <w:lang w:eastAsia="zh-CN"/>
        </w:rPr>
        <w:t>，全部利用前方码头水上挖方。</w:t>
      </w:r>
    </w:p>
    <w:p>
      <w:pPr>
        <w:snapToGrid w:val="0"/>
        <w:ind w:firstLine="480"/>
        <w:rPr>
          <w:snapToGrid w:val="0"/>
          <w:color w:val="auto"/>
          <w:shd w:val="clear" w:color="auto" w:fill="auto"/>
        </w:rPr>
      </w:pPr>
      <w:r>
        <w:rPr>
          <w:snapToGrid w:val="0"/>
          <w:color w:val="auto"/>
          <w:shd w:val="clear" w:color="auto" w:fill="auto"/>
        </w:rPr>
        <w:t>工程土石方平衡及流向表详见表</w:t>
      </w:r>
      <w:r>
        <w:rPr>
          <w:rFonts w:hint="eastAsia"/>
          <w:snapToGrid w:val="0"/>
          <w:color w:val="auto"/>
          <w:shd w:val="clear" w:color="auto" w:fill="auto"/>
          <w:lang w:val="en-US" w:eastAsia="zh-CN"/>
        </w:rPr>
        <w:t>2</w:t>
      </w:r>
      <w:r>
        <w:rPr>
          <w:rFonts w:hint="eastAsia"/>
          <w:snapToGrid w:val="0"/>
          <w:color w:val="auto"/>
          <w:shd w:val="clear" w:color="auto" w:fill="auto"/>
        </w:rPr>
        <w:t>.1-</w:t>
      </w:r>
      <w:r>
        <w:rPr>
          <w:snapToGrid w:val="0"/>
          <w:color w:val="auto"/>
          <w:shd w:val="clear" w:color="auto" w:fill="auto"/>
        </w:rPr>
        <w:t>1</w:t>
      </w:r>
      <w:r>
        <w:rPr>
          <w:rFonts w:hint="eastAsia"/>
          <w:snapToGrid w:val="0"/>
          <w:color w:val="auto"/>
          <w:shd w:val="clear" w:color="auto" w:fill="auto"/>
          <w:lang w:val="en-US" w:eastAsia="zh-CN"/>
        </w:rPr>
        <w:t>3</w:t>
      </w:r>
      <w:r>
        <w:rPr>
          <w:snapToGrid w:val="0"/>
          <w:color w:val="auto"/>
          <w:shd w:val="clear" w:color="auto" w:fill="auto"/>
        </w:rPr>
        <w:t>。</w:t>
      </w:r>
    </w:p>
    <w:p>
      <w:pPr>
        <w:snapToGrid w:val="0"/>
        <w:ind w:firstLine="480"/>
        <w:rPr>
          <w:snapToGrid w:val="0"/>
          <w:color w:val="auto"/>
          <w:shd w:val="clear" w:color="auto" w:fill="auto"/>
        </w:rPr>
        <w:sectPr>
          <w:pgSz w:w="11906" w:h="16838"/>
          <w:pgMar w:top="1418" w:right="1588" w:bottom="1418" w:left="1588" w:header="850" w:footer="850" w:gutter="0"/>
          <w:pgBorders>
            <w:top w:val="none" w:sz="0" w:space="0"/>
            <w:left w:val="none" w:sz="0" w:space="0"/>
            <w:bottom w:val="none" w:sz="0" w:space="0"/>
            <w:right w:val="none" w:sz="0" w:space="0"/>
          </w:pgBorders>
          <w:pgNumType w:fmt="decimal"/>
          <w:cols w:space="425" w:num="1"/>
          <w:docGrid w:linePitch="312" w:charSpace="0"/>
        </w:sectPr>
      </w:pPr>
    </w:p>
    <w:p>
      <w:pPr>
        <w:snapToGrid w:val="0"/>
        <w:ind w:firstLine="480"/>
        <w:jc w:val="center"/>
        <w:rPr>
          <w:rFonts w:eastAsia="黑体"/>
          <w:color w:val="auto"/>
          <w:shd w:val="clear" w:color="auto" w:fill="auto"/>
        </w:rPr>
      </w:pPr>
    </w:p>
    <w:p>
      <w:pPr>
        <w:pStyle w:val="43"/>
        <w:rPr>
          <w:rFonts w:hint="eastAsia" w:ascii="Times New Roman" w:hAnsi="Times New Roman"/>
          <w:color w:val="auto"/>
          <w:sz w:val="21"/>
          <w:szCs w:val="21"/>
          <w:shd w:val="clear" w:color="auto" w:fill="auto"/>
        </w:rPr>
      </w:pPr>
      <w:r>
        <w:rPr>
          <w:rFonts w:hint="eastAsia" w:ascii="Times New Roman" w:hAnsi="Times New Roman"/>
          <w:color w:val="auto"/>
          <w:sz w:val="21"/>
          <w:szCs w:val="21"/>
          <w:shd w:val="clear" w:color="auto" w:fill="auto"/>
        </w:rPr>
        <w:t>表</w:t>
      </w:r>
      <w:r>
        <w:rPr>
          <w:rFonts w:hint="eastAsia" w:ascii="Times New Roman" w:hAnsi="Times New Roman"/>
          <w:color w:val="auto"/>
          <w:sz w:val="21"/>
          <w:szCs w:val="21"/>
          <w:shd w:val="clear" w:color="auto" w:fill="auto"/>
          <w:lang w:val="en-US" w:eastAsia="zh-CN"/>
        </w:rPr>
        <w:t>2</w:t>
      </w:r>
      <w:r>
        <w:rPr>
          <w:rFonts w:hint="eastAsia" w:ascii="Times New Roman" w:hAnsi="Times New Roman"/>
          <w:color w:val="auto"/>
          <w:sz w:val="21"/>
          <w:szCs w:val="21"/>
          <w:shd w:val="clear" w:color="auto" w:fill="auto"/>
        </w:rPr>
        <w:t>.1-1</w:t>
      </w:r>
      <w:r>
        <w:rPr>
          <w:rFonts w:hint="eastAsia"/>
          <w:color w:val="auto"/>
          <w:sz w:val="21"/>
          <w:szCs w:val="21"/>
          <w:shd w:val="clear" w:color="auto" w:fill="auto"/>
          <w:lang w:val="en-US" w:eastAsia="zh-CN"/>
        </w:rPr>
        <w:t>3</w:t>
      </w:r>
      <w:r>
        <w:rPr>
          <w:rFonts w:hint="eastAsia" w:ascii="Times New Roman" w:hAnsi="Times New Roman"/>
          <w:color w:val="auto"/>
          <w:sz w:val="21"/>
          <w:szCs w:val="21"/>
          <w:shd w:val="clear" w:color="auto" w:fill="auto"/>
        </w:rPr>
        <w:t xml:space="preserve">  </w:t>
      </w:r>
      <w:r>
        <w:rPr>
          <w:rFonts w:hint="eastAsia"/>
          <w:color w:val="auto"/>
          <w:sz w:val="21"/>
          <w:szCs w:val="21"/>
          <w:shd w:val="clear" w:color="auto" w:fill="auto"/>
          <w:lang w:eastAsia="zh-CN"/>
        </w:rPr>
        <w:t>阜阳港太和港区陶庙作业区码头工程</w:t>
      </w:r>
      <w:r>
        <w:rPr>
          <w:rFonts w:hint="eastAsia" w:ascii="Times New Roman" w:hAnsi="Times New Roman"/>
          <w:color w:val="auto"/>
          <w:sz w:val="21"/>
          <w:szCs w:val="21"/>
          <w:shd w:val="clear" w:color="auto" w:fill="auto"/>
        </w:rPr>
        <w:t>土石方平衡及流向表  单位：万</w:t>
      </w:r>
      <w:r>
        <w:rPr>
          <w:rFonts w:hint="eastAsia"/>
          <w:color w:val="auto"/>
          <w:sz w:val="21"/>
          <w:szCs w:val="21"/>
          <w:shd w:val="clear" w:color="auto" w:fill="auto"/>
          <w:vertAlign w:val="baseline"/>
          <w:lang w:eastAsia="zh-CN"/>
        </w:rPr>
        <w:t>m</w:t>
      </w:r>
      <w:r>
        <w:rPr>
          <w:rFonts w:hint="eastAsia"/>
          <w:color w:val="auto"/>
          <w:sz w:val="21"/>
          <w:szCs w:val="21"/>
          <w:shd w:val="clear" w:color="auto" w:fill="auto"/>
          <w:vertAlign w:val="superscript"/>
          <w:lang w:eastAsia="zh-CN"/>
        </w:rPr>
        <w:t>3</w:t>
      </w:r>
    </w:p>
    <w:tbl>
      <w:tblPr>
        <w:tblStyle w:val="26"/>
        <w:tblW w:w="5028" w:type="pct"/>
        <w:tblInd w:w="0" w:type="dxa"/>
        <w:tblBorders>
          <w:top w:val="single" w:color="auto" w:sz="2" w:space="0"/>
          <w:left w:val="single" w:color="auto" w:sz="2" w:space="0"/>
          <w:bottom w:val="single" w:color="auto" w:sz="2" w:space="0"/>
          <w:right w:val="single" w:color="auto" w:sz="2" w:space="0"/>
          <w:insideH w:val="none" w:color="auto" w:sz="4" w:space="0"/>
          <w:insideV w:val="none" w:color="auto" w:sz="4" w:space="0"/>
        </w:tblBorders>
        <w:tblLayout w:type="autofit"/>
        <w:tblCellMar>
          <w:top w:w="0" w:type="dxa"/>
          <w:left w:w="0" w:type="dxa"/>
          <w:bottom w:w="0" w:type="dxa"/>
          <w:right w:w="0" w:type="dxa"/>
        </w:tblCellMar>
      </w:tblPr>
      <w:tblGrid>
        <w:gridCol w:w="1258"/>
        <w:gridCol w:w="722"/>
        <w:gridCol w:w="663"/>
        <w:gridCol w:w="792"/>
        <w:gridCol w:w="882"/>
        <w:gridCol w:w="963"/>
        <w:gridCol w:w="1003"/>
        <w:gridCol w:w="899"/>
        <w:gridCol w:w="955"/>
        <w:gridCol w:w="755"/>
        <w:gridCol w:w="817"/>
        <w:gridCol w:w="977"/>
        <w:gridCol w:w="452"/>
        <w:gridCol w:w="663"/>
        <w:gridCol w:w="517"/>
        <w:gridCol w:w="545"/>
        <w:gridCol w:w="525"/>
        <w:gridCol w:w="654"/>
      </w:tblGrid>
      <w:tr>
        <w:tblPrEx>
          <w:tblBorders>
            <w:top w:val="single" w:color="auto" w:sz="2" w:space="0"/>
            <w:left w:val="single" w:color="auto" w:sz="2" w:space="0"/>
            <w:bottom w:val="single" w:color="auto" w:sz="2" w:space="0"/>
            <w:right w:val="single" w:color="auto" w:sz="2" w:space="0"/>
            <w:insideH w:val="none" w:color="auto" w:sz="4" w:space="0"/>
            <w:insideV w:val="none" w:color="auto" w:sz="4" w:space="0"/>
          </w:tblBorders>
          <w:tblCellMar>
            <w:top w:w="0" w:type="dxa"/>
            <w:left w:w="0" w:type="dxa"/>
            <w:bottom w:w="0" w:type="dxa"/>
            <w:right w:w="0" w:type="dxa"/>
          </w:tblCellMar>
        </w:tblPrEx>
        <w:trPr>
          <w:trHeight w:val="283" w:hRule="atLeast"/>
        </w:trPr>
        <w:tc>
          <w:tcPr>
            <w:tcW w:w="448" w:type="pct"/>
            <w:vMerge w:val="restart"/>
            <w:tcBorders>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名称</w:t>
            </w:r>
          </w:p>
        </w:tc>
        <w:tc>
          <w:tcPr>
            <w:tcW w:w="1789" w:type="pct"/>
            <w:gridSpan w:val="6"/>
            <w:tcBorders>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挖方</w:t>
            </w:r>
          </w:p>
        </w:tc>
        <w:tc>
          <w:tcPr>
            <w:tcW w:w="929" w:type="pct"/>
            <w:gridSpan w:val="3"/>
            <w:tcBorders>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填方</w:t>
            </w:r>
          </w:p>
        </w:tc>
        <w:tc>
          <w:tcPr>
            <w:tcW w:w="639" w:type="pct"/>
            <w:gridSpan w:val="2"/>
            <w:tcBorders>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调入</w:t>
            </w:r>
          </w:p>
        </w:tc>
        <w:tc>
          <w:tcPr>
            <w:tcW w:w="397" w:type="pct"/>
            <w:gridSpan w:val="2"/>
            <w:tcBorders>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调出</w:t>
            </w:r>
          </w:p>
        </w:tc>
        <w:tc>
          <w:tcPr>
            <w:tcW w:w="378" w:type="pct"/>
            <w:gridSpan w:val="2"/>
            <w:tcBorders>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借方</w:t>
            </w:r>
          </w:p>
        </w:tc>
        <w:tc>
          <w:tcPr>
            <w:tcW w:w="417" w:type="pct"/>
            <w:gridSpan w:val="2"/>
            <w:tcBorders>
              <w:left w:val="single" w:color="000000" w:sz="6" w:space="0"/>
              <w:bottom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弃方</w:t>
            </w:r>
          </w:p>
        </w:tc>
      </w:tr>
      <w:tr>
        <w:tblPrEx>
          <w:tblBorders>
            <w:top w:val="single" w:color="auto" w:sz="2" w:space="0"/>
            <w:left w:val="single" w:color="auto" w:sz="2" w:space="0"/>
            <w:bottom w:val="single" w:color="auto" w:sz="2" w:space="0"/>
            <w:right w:val="single" w:color="auto" w:sz="2" w:space="0"/>
            <w:insideH w:val="none" w:color="auto" w:sz="4" w:space="0"/>
            <w:insideV w:val="none" w:color="auto" w:sz="4" w:space="0"/>
          </w:tblBorders>
          <w:tblCellMar>
            <w:top w:w="0" w:type="dxa"/>
            <w:left w:w="0" w:type="dxa"/>
            <w:bottom w:w="0" w:type="dxa"/>
            <w:right w:w="0" w:type="dxa"/>
          </w:tblCellMar>
        </w:tblPrEx>
        <w:trPr>
          <w:trHeight w:val="283" w:hRule="atLeast"/>
        </w:trPr>
        <w:tc>
          <w:tcPr>
            <w:tcW w:w="448" w:type="pct"/>
            <w:vMerge w:val="continue"/>
            <w:tcBorders>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c>
          <w:tcPr>
            <w:tcW w:w="257"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eastAsia="zh-CN"/>
              </w:rPr>
            </w:pPr>
            <w:r>
              <w:rPr>
                <w:rFonts w:hint="eastAsia" w:cs="Times New Roman"/>
                <w:color w:val="auto"/>
                <w:kern w:val="0"/>
                <w:sz w:val="21"/>
                <w:szCs w:val="21"/>
                <w:shd w:val="clear" w:color="auto" w:fill="auto"/>
                <w:lang w:eastAsia="zh-CN"/>
              </w:rPr>
              <w:t>合计</w:t>
            </w:r>
          </w:p>
        </w:tc>
        <w:tc>
          <w:tcPr>
            <w:tcW w:w="236"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eastAsia="zh-CN"/>
              </w:rPr>
            </w:pPr>
            <w:r>
              <w:rPr>
                <w:rFonts w:hint="eastAsia" w:cs="Times New Roman"/>
                <w:color w:val="auto"/>
                <w:kern w:val="0"/>
                <w:sz w:val="21"/>
                <w:szCs w:val="21"/>
                <w:shd w:val="clear" w:color="auto" w:fill="auto"/>
                <w:lang w:eastAsia="zh-CN"/>
              </w:rPr>
              <w:t>陆上方</w:t>
            </w:r>
          </w:p>
        </w:tc>
        <w:tc>
          <w:tcPr>
            <w:tcW w:w="282"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水下方</w:t>
            </w:r>
          </w:p>
        </w:tc>
        <w:tc>
          <w:tcPr>
            <w:tcW w:w="314"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eastAsia="zh-CN"/>
              </w:rPr>
            </w:pPr>
            <w:r>
              <w:rPr>
                <w:rFonts w:hint="eastAsia" w:cs="Times New Roman"/>
                <w:color w:val="auto"/>
                <w:kern w:val="0"/>
                <w:sz w:val="21"/>
                <w:szCs w:val="21"/>
                <w:shd w:val="clear" w:color="auto" w:fill="auto"/>
                <w:lang w:eastAsia="zh-CN"/>
              </w:rPr>
              <w:t>表土剥离</w:t>
            </w:r>
          </w:p>
        </w:tc>
        <w:tc>
          <w:tcPr>
            <w:tcW w:w="343"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拆迁弃渣</w:t>
            </w:r>
          </w:p>
        </w:tc>
        <w:tc>
          <w:tcPr>
            <w:tcW w:w="355"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eastAsia="zh-CN"/>
              </w:rPr>
            </w:pPr>
            <w:r>
              <w:rPr>
                <w:rFonts w:hint="eastAsia" w:cs="Times New Roman"/>
                <w:color w:val="auto"/>
                <w:kern w:val="0"/>
                <w:sz w:val="21"/>
                <w:szCs w:val="21"/>
                <w:shd w:val="clear" w:color="auto" w:fill="auto"/>
                <w:lang w:eastAsia="zh-CN"/>
              </w:rPr>
              <w:t>地表清杂</w:t>
            </w:r>
          </w:p>
        </w:tc>
        <w:tc>
          <w:tcPr>
            <w:tcW w:w="320"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eastAsia="zh-CN"/>
              </w:rPr>
            </w:pPr>
            <w:r>
              <w:rPr>
                <w:rFonts w:hint="eastAsia" w:cs="Times New Roman"/>
                <w:color w:val="auto"/>
                <w:kern w:val="0"/>
                <w:sz w:val="21"/>
                <w:szCs w:val="21"/>
                <w:shd w:val="clear" w:color="auto" w:fill="auto"/>
                <w:lang w:eastAsia="zh-CN"/>
              </w:rPr>
              <w:t>合计</w:t>
            </w:r>
          </w:p>
        </w:tc>
        <w:tc>
          <w:tcPr>
            <w:tcW w:w="340"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eastAsia="zh-CN"/>
              </w:rPr>
            </w:pPr>
            <w:r>
              <w:rPr>
                <w:rFonts w:hint="eastAsia" w:cs="Times New Roman"/>
                <w:color w:val="auto"/>
                <w:kern w:val="0"/>
                <w:sz w:val="21"/>
                <w:szCs w:val="21"/>
                <w:shd w:val="clear" w:color="auto" w:fill="auto"/>
                <w:lang w:eastAsia="zh-CN"/>
              </w:rPr>
              <w:t>表土回覆</w:t>
            </w:r>
          </w:p>
        </w:tc>
        <w:tc>
          <w:tcPr>
            <w:tcW w:w="267"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eastAsia="zh-CN"/>
              </w:rPr>
            </w:pPr>
            <w:r>
              <w:rPr>
                <w:rFonts w:hint="eastAsia" w:cs="Times New Roman"/>
                <w:color w:val="auto"/>
                <w:kern w:val="0"/>
                <w:sz w:val="21"/>
                <w:szCs w:val="21"/>
                <w:shd w:val="clear" w:color="auto" w:fill="auto"/>
                <w:lang w:eastAsia="zh-CN"/>
              </w:rPr>
              <w:t>其他</w:t>
            </w:r>
          </w:p>
        </w:tc>
        <w:tc>
          <w:tcPr>
            <w:tcW w:w="291"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数量</w:t>
            </w:r>
          </w:p>
        </w:tc>
        <w:tc>
          <w:tcPr>
            <w:tcW w:w="348"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来源</w:t>
            </w:r>
          </w:p>
        </w:tc>
        <w:tc>
          <w:tcPr>
            <w:tcW w:w="161"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数量</w:t>
            </w:r>
          </w:p>
        </w:tc>
        <w:tc>
          <w:tcPr>
            <w:tcW w:w="236"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去向</w:t>
            </w:r>
          </w:p>
        </w:tc>
        <w:tc>
          <w:tcPr>
            <w:tcW w:w="184"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数量</w:t>
            </w:r>
          </w:p>
        </w:tc>
        <w:tc>
          <w:tcPr>
            <w:tcW w:w="194"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来源</w:t>
            </w:r>
          </w:p>
        </w:tc>
        <w:tc>
          <w:tcPr>
            <w:tcW w:w="187"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数量</w:t>
            </w:r>
          </w:p>
        </w:tc>
        <w:tc>
          <w:tcPr>
            <w:tcW w:w="230" w:type="pct"/>
            <w:tcBorders>
              <w:top w:val="single" w:color="000000" w:sz="6" w:space="0"/>
              <w:left w:val="single" w:color="000000" w:sz="6" w:space="0"/>
              <w:bottom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去向</w:t>
            </w:r>
          </w:p>
        </w:tc>
      </w:tr>
      <w:tr>
        <w:tblPrEx>
          <w:tblBorders>
            <w:top w:val="single" w:color="auto" w:sz="2" w:space="0"/>
            <w:left w:val="single" w:color="auto" w:sz="2" w:space="0"/>
            <w:bottom w:val="single" w:color="auto" w:sz="2" w:space="0"/>
            <w:right w:val="single" w:color="auto" w:sz="2" w:space="0"/>
            <w:insideH w:val="none" w:color="auto" w:sz="4" w:space="0"/>
            <w:insideV w:val="none" w:color="auto" w:sz="4" w:space="0"/>
          </w:tblBorders>
          <w:tblCellMar>
            <w:top w:w="0" w:type="dxa"/>
            <w:left w:w="0" w:type="dxa"/>
            <w:bottom w:w="0" w:type="dxa"/>
            <w:right w:w="0" w:type="dxa"/>
          </w:tblCellMar>
        </w:tblPrEx>
        <w:trPr>
          <w:trHeight w:val="283" w:hRule="atLeast"/>
        </w:trPr>
        <w:tc>
          <w:tcPr>
            <w:tcW w:w="448" w:type="pct"/>
            <w:tcBorders>
              <w:top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前方</w:t>
            </w:r>
            <w:r>
              <w:rPr>
                <w:rFonts w:hint="eastAsia" w:cs="Times New Roman"/>
                <w:color w:val="auto"/>
                <w:kern w:val="0"/>
                <w:sz w:val="21"/>
                <w:szCs w:val="21"/>
                <w:shd w:val="clear" w:color="auto" w:fill="auto"/>
                <w:lang w:eastAsia="zh-CN"/>
              </w:rPr>
              <w:t>码头</w:t>
            </w:r>
            <w:r>
              <w:rPr>
                <w:rFonts w:hint="eastAsia" w:ascii="Times New Roman" w:hAnsi="Times New Roman" w:cs="Times New Roman"/>
                <w:color w:val="auto"/>
                <w:kern w:val="0"/>
                <w:sz w:val="21"/>
                <w:szCs w:val="21"/>
                <w:shd w:val="clear" w:color="auto" w:fill="auto"/>
              </w:rPr>
              <w:t>区</w:t>
            </w:r>
          </w:p>
        </w:tc>
        <w:tc>
          <w:tcPr>
            <w:tcW w:w="257"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9.35</w:t>
            </w:r>
          </w:p>
        </w:tc>
        <w:tc>
          <w:tcPr>
            <w:tcW w:w="236"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cs="Times New Roman"/>
                <w:color w:val="auto"/>
                <w:kern w:val="0"/>
                <w:sz w:val="21"/>
                <w:szCs w:val="21"/>
                <w:shd w:val="clear" w:color="auto" w:fill="auto"/>
                <w:lang w:val="en-US" w:eastAsia="zh-CN"/>
              </w:rPr>
            </w:pPr>
            <w:r>
              <w:rPr>
                <w:rFonts w:hint="eastAsia" w:ascii="Times New Roman" w:hAnsi="Times New Roman" w:cs="Times New Roman"/>
                <w:color w:val="auto"/>
                <w:kern w:val="0"/>
                <w:sz w:val="21"/>
                <w:szCs w:val="21"/>
                <w:shd w:val="clear" w:color="auto" w:fill="auto"/>
                <w:lang w:val="en-US" w:eastAsia="zh-CN"/>
              </w:rPr>
              <w:t>4.58</w:t>
            </w:r>
          </w:p>
        </w:tc>
        <w:tc>
          <w:tcPr>
            <w:tcW w:w="282"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cs="Times New Roman"/>
                <w:color w:val="auto"/>
                <w:kern w:val="0"/>
                <w:sz w:val="21"/>
                <w:szCs w:val="21"/>
                <w:shd w:val="clear" w:color="auto" w:fill="auto"/>
                <w:lang w:val="en-US" w:eastAsia="zh-CN"/>
              </w:rPr>
            </w:pPr>
            <w:r>
              <w:rPr>
                <w:rFonts w:hint="eastAsia" w:ascii="Times New Roman" w:hAnsi="Times New Roman" w:cs="Times New Roman"/>
                <w:color w:val="auto"/>
                <w:kern w:val="0"/>
                <w:sz w:val="21"/>
                <w:szCs w:val="21"/>
                <w:shd w:val="clear" w:color="auto" w:fill="auto"/>
                <w:lang w:val="en-US" w:eastAsia="zh-CN"/>
              </w:rPr>
              <w:t>4.63</w:t>
            </w:r>
          </w:p>
        </w:tc>
        <w:tc>
          <w:tcPr>
            <w:tcW w:w="314"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cs="Times New Roman"/>
                <w:color w:val="auto"/>
                <w:kern w:val="0"/>
                <w:sz w:val="21"/>
                <w:szCs w:val="21"/>
                <w:shd w:val="clear" w:color="auto" w:fill="auto"/>
                <w:lang w:val="en-US" w:eastAsia="zh-CN"/>
              </w:rPr>
            </w:pPr>
          </w:p>
        </w:tc>
        <w:tc>
          <w:tcPr>
            <w:tcW w:w="343"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0.08</w:t>
            </w:r>
          </w:p>
        </w:tc>
        <w:tc>
          <w:tcPr>
            <w:tcW w:w="355"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0.06</w:t>
            </w:r>
          </w:p>
        </w:tc>
        <w:tc>
          <w:tcPr>
            <w:tcW w:w="320"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eastAsia="zh-CN"/>
              </w:rPr>
            </w:pPr>
            <w:r>
              <w:rPr>
                <w:rFonts w:hint="eastAsia" w:ascii="Times New Roman" w:hAnsi="Times New Roman" w:cs="Times New Roman"/>
                <w:color w:val="auto"/>
                <w:kern w:val="0"/>
                <w:sz w:val="21"/>
                <w:szCs w:val="21"/>
                <w:shd w:val="clear" w:color="auto" w:fill="auto"/>
              </w:rPr>
              <w:t>0.</w:t>
            </w:r>
            <w:r>
              <w:rPr>
                <w:rFonts w:hint="eastAsia" w:cs="Times New Roman"/>
                <w:color w:val="auto"/>
                <w:kern w:val="0"/>
                <w:sz w:val="21"/>
                <w:szCs w:val="21"/>
                <w:shd w:val="clear" w:color="auto" w:fill="auto"/>
                <w:lang w:val="en-US" w:eastAsia="zh-CN"/>
              </w:rPr>
              <w:t>3</w:t>
            </w:r>
          </w:p>
        </w:tc>
        <w:tc>
          <w:tcPr>
            <w:tcW w:w="340"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c>
          <w:tcPr>
            <w:tcW w:w="267"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0.3</w:t>
            </w:r>
          </w:p>
        </w:tc>
        <w:tc>
          <w:tcPr>
            <w:tcW w:w="291"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c>
          <w:tcPr>
            <w:tcW w:w="348"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c>
          <w:tcPr>
            <w:tcW w:w="161"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2.64</w:t>
            </w:r>
          </w:p>
        </w:tc>
        <w:tc>
          <w:tcPr>
            <w:tcW w:w="236"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eastAsia="zh-CN"/>
              </w:rPr>
            </w:pPr>
            <w:r>
              <w:rPr>
                <w:rFonts w:hint="eastAsia" w:ascii="Times New Roman" w:hAnsi="Times New Roman" w:cs="Times New Roman"/>
                <w:color w:val="auto"/>
                <w:kern w:val="0"/>
                <w:sz w:val="21"/>
                <w:szCs w:val="21"/>
                <w:shd w:val="clear" w:color="auto" w:fill="auto"/>
              </w:rPr>
              <w:t>后方</w:t>
            </w:r>
            <w:r>
              <w:rPr>
                <w:rFonts w:hint="eastAsia" w:cs="Times New Roman"/>
                <w:color w:val="auto"/>
                <w:kern w:val="0"/>
                <w:sz w:val="21"/>
                <w:szCs w:val="21"/>
                <w:shd w:val="clear" w:color="auto" w:fill="auto"/>
                <w:lang w:eastAsia="zh-CN"/>
              </w:rPr>
              <w:t>陆域</w:t>
            </w:r>
          </w:p>
        </w:tc>
        <w:tc>
          <w:tcPr>
            <w:tcW w:w="184"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c>
          <w:tcPr>
            <w:tcW w:w="194"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c>
          <w:tcPr>
            <w:tcW w:w="187"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6.41</w:t>
            </w:r>
          </w:p>
        </w:tc>
        <w:tc>
          <w:tcPr>
            <w:tcW w:w="230" w:type="pct"/>
            <w:vMerge w:val="restart"/>
            <w:tcBorders>
              <w:top w:val="single" w:color="000000" w:sz="6" w:space="0"/>
              <w:lef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弃土区</w:t>
            </w:r>
          </w:p>
        </w:tc>
      </w:tr>
      <w:tr>
        <w:tblPrEx>
          <w:tblBorders>
            <w:top w:val="single" w:color="auto" w:sz="2" w:space="0"/>
            <w:left w:val="single" w:color="auto" w:sz="2" w:space="0"/>
            <w:bottom w:val="single" w:color="auto" w:sz="2" w:space="0"/>
            <w:right w:val="single" w:color="auto" w:sz="2" w:space="0"/>
            <w:insideH w:val="none" w:color="auto" w:sz="4" w:space="0"/>
            <w:insideV w:val="none" w:color="auto" w:sz="4" w:space="0"/>
          </w:tblBorders>
          <w:tblCellMar>
            <w:top w:w="0" w:type="dxa"/>
            <w:left w:w="0" w:type="dxa"/>
            <w:bottom w:w="0" w:type="dxa"/>
            <w:right w:w="0" w:type="dxa"/>
          </w:tblCellMar>
        </w:tblPrEx>
        <w:trPr>
          <w:trHeight w:val="283" w:hRule="atLeast"/>
        </w:trPr>
        <w:tc>
          <w:tcPr>
            <w:tcW w:w="448" w:type="pct"/>
            <w:tcBorders>
              <w:top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后方</w:t>
            </w:r>
            <w:r>
              <w:rPr>
                <w:rFonts w:hint="eastAsia" w:ascii="Times New Roman" w:hAnsi="Times New Roman" w:cs="Times New Roman"/>
                <w:color w:val="auto"/>
                <w:kern w:val="0"/>
                <w:sz w:val="21"/>
                <w:szCs w:val="21"/>
                <w:shd w:val="clear" w:color="auto" w:fill="auto"/>
                <w:lang w:eastAsia="zh-CN"/>
              </w:rPr>
              <w:t>陆域</w:t>
            </w:r>
            <w:r>
              <w:rPr>
                <w:rFonts w:hint="eastAsia" w:ascii="Times New Roman" w:hAnsi="Times New Roman" w:cs="Times New Roman"/>
                <w:color w:val="auto"/>
                <w:kern w:val="0"/>
                <w:sz w:val="21"/>
                <w:szCs w:val="21"/>
                <w:shd w:val="clear" w:color="auto" w:fill="auto"/>
              </w:rPr>
              <w:t>区</w:t>
            </w:r>
          </w:p>
        </w:tc>
        <w:tc>
          <w:tcPr>
            <w:tcW w:w="257"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0.76</w:t>
            </w:r>
          </w:p>
        </w:tc>
        <w:tc>
          <w:tcPr>
            <w:tcW w:w="236"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c>
          <w:tcPr>
            <w:tcW w:w="282"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c>
          <w:tcPr>
            <w:tcW w:w="314"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0.61</w:t>
            </w:r>
          </w:p>
        </w:tc>
        <w:tc>
          <w:tcPr>
            <w:tcW w:w="343"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cs="Times New Roman"/>
                <w:color w:val="auto"/>
                <w:kern w:val="0"/>
                <w:sz w:val="21"/>
                <w:szCs w:val="21"/>
                <w:shd w:val="clear" w:color="auto" w:fill="auto"/>
                <w:lang w:val="en-US" w:eastAsia="zh-CN"/>
              </w:rPr>
            </w:pPr>
          </w:p>
        </w:tc>
        <w:tc>
          <w:tcPr>
            <w:tcW w:w="355"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0.15</w:t>
            </w:r>
          </w:p>
        </w:tc>
        <w:tc>
          <w:tcPr>
            <w:tcW w:w="320"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3.25</w:t>
            </w:r>
          </w:p>
        </w:tc>
        <w:tc>
          <w:tcPr>
            <w:tcW w:w="340"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0.61</w:t>
            </w:r>
          </w:p>
        </w:tc>
        <w:tc>
          <w:tcPr>
            <w:tcW w:w="267"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2.64</w:t>
            </w:r>
          </w:p>
        </w:tc>
        <w:tc>
          <w:tcPr>
            <w:tcW w:w="291"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2.64</w:t>
            </w:r>
          </w:p>
        </w:tc>
        <w:tc>
          <w:tcPr>
            <w:tcW w:w="348"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eastAsia="zh-CN"/>
              </w:rPr>
            </w:pPr>
            <w:r>
              <w:rPr>
                <w:rFonts w:hint="eastAsia" w:cs="Times New Roman"/>
                <w:color w:val="auto"/>
                <w:kern w:val="0"/>
                <w:sz w:val="21"/>
                <w:szCs w:val="21"/>
                <w:shd w:val="clear" w:color="auto" w:fill="auto"/>
                <w:lang w:eastAsia="zh-CN"/>
              </w:rPr>
              <w:t>前方码头</w:t>
            </w:r>
          </w:p>
        </w:tc>
        <w:tc>
          <w:tcPr>
            <w:tcW w:w="161"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c>
          <w:tcPr>
            <w:tcW w:w="236"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c>
          <w:tcPr>
            <w:tcW w:w="184"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c>
          <w:tcPr>
            <w:tcW w:w="194"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c>
          <w:tcPr>
            <w:tcW w:w="187"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0.15</w:t>
            </w:r>
          </w:p>
        </w:tc>
        <w:tc>
          <w:tcPr>
            <w:tcW w:w="230" w:type="pct"/>
            <w:vMerge w:val="continue"/>
            <w:tcBorders>
              <w:left w:val="single" w:color="000000" w:sz="6" w:space="0"/>
              <w:bottom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r>
      <w:tr>
        <w:tblPrEx>
          <w:tblBorders>
            <w:top w:val="single" w:color="auto" w:sz="2" w:space="0"/>
            <w:left w:val="single" w:color="auto" w:sz="2" w:space="0"/>
            <w:bottom w:val="single" w:color="auto" w:sz="2" w:space="0"/>
            <w:right w:val="single" w:color="auto" w:sz="2" w:space="0"/>
            <w:insideH w:val="none" w:color="auto" w:sz="4" w:space="0"/>
            <w:insideV w:val="none" w:color="auto" w:sz="4" w:space="0"/>
          </w:tblBorders>
          <w:tblCellMar>
            <w:top w:w="0" w:type="dxa"/>
            <w:left w:w="0" w:type="dxa"/>
            <w:bottom w:w="0" w:type="dxa"/>
            <w:right w:w="0" w:type="dxa"/>
          </w:tblCellMar>
        </w:tblPrEx>
        <w:trPr>
          <w:trHeight w:val="283" w:hRule="atLeast"/>
        </w:trPr>
        <w:tc>
          <w:tcPr>
            <w:tcW w:w="448" w:type="pct"/>
            <w:tcBorders>
              <w:top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r>
              <w:rPr>
                <w:rFonts w:hint="eastAsia" w:ascii="Times New Roman" w:hAnsi="Times New Roman" w:cs="Times New Roman"/>
                <w:color w:val="auto"/>
                <w:kern w:val="0"/>
                <w:sz w:val="21"/>
                <w:szCs w:val="21"/>
                <w:shd w:val="clear" w:color="auto" w:fill="auto"/>
              </w:rPr>
              <w:t>合计</w:t>
            </w:r>
          </w:p>
        </w:tc>
        <w:tc>
          <w:tcPr>
            <w:tcW w:w="257"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10.11</w:t>
            </w:r>
          </w:p>
        </w:tc>
        <w:tc>
          <w:tcPr>
            <w:tcW w:w="236"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4.58</w:t>
            </w:r>
          </w:p>
        </w:tc>
        <w:tc>
          <w:tcPr>
            <w:tcW w:w="282"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4.63</w:t>
            </w:r>
          </w:p>
        </w:tc>
        <w:tc>
          <w:tcPr>
            <w:tcW w:w="314"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0.61</w:t>
            </w:r>
          </w:p>
        </w:tc>
        <w:tc>
          <w:tcPr>
            <w:tcW w:w="343"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0.08</w:t>
            </w:r>
          </w:p>
        </w:tc>
        <w:tc>
          <w:tcPr>
            <w:tcW w:w="355"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0.21</w:t>
            </w:r>
          </w:p>
        </w:tc>
        <w:tc>
          <w:tcPr>
            <w:tcW w:w="320"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3.55</w:t>
            </w:r>
          </w:p>
        </w:tc>
        <w:tc>
          <w:tcPr>
            <w:tcW w:w="340"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0.61</w:t>
            </w:r>
          </w:p>
        </w:tc>
        <w:tc>
          <w:tcPr>
            <w:tcW w:w="267"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2.94</w:t>
            </w:r>
          </w:p>
        </w:tc>
        <w:tc>
          <w:tcPr>
            <w:tcW w:w="291"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2.64</w:t>
            </w:r>
          </w:p>
        </w:tc>
        <w:tc>
          <w:tcPr>
            <w:tcW w:w="348"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c>
          <w:tcPr>
            <w:tcW w:w="161"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2.64</w:t>
            </w:r>
          </w:p>
        </w:tc>
        <w:tc>
          <w:tcPr>
            <w:tcW w:w="236"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c>
          <w:tcPr>
            <w:tcW w:w="184"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c>
          <w:tcPr>
            <w:tcW w:w="194"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c>
          <w:tcPr>
            <w:tcW w:w="187" w:type="pct"/>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6.56</w:t>
            </w:r>
          </w:p>
        </w:tc>
        <w:tc>
          <w:tcPr>
            <w:tcW w:w="230" w:type="pct"/>
            <w:tcBorders>
              <w:top w:val="single" w:color="000000" w:sz="6" w:space="0"/>
              <w:left w:val="single" w:color="000000" w:sz="6" w:space="0"/>
              <w:bottom w:val="single" w:color="000000" w:sz="6" w:space="0"/>
            </w:tcBorders>
            <w:vAlign w:val="center"/>
          </w:tcPr>
          <w:p>
            <w:pPr>
              <w:widowControl/>
              <w:spacing w:line="240" w:lineRule="auto"/>
              <w:ind w:firstLine="0" w:firstLineChars="0"/>
              <w:jc w:val="center"/>
              <w:rPr>
                <w:rFonts w:hint="eastAsia" w:ascii="Times New Roman" w:hAnsi="Times New Roman" w:cs="Times New Roman"/>
                <w:color w:val="auto"/>
                <w:kern w:val="0"/>
                <w:sz w:val="21"/>
                <w:szCs w:val="21"/>
                <w:shd w:val="clear" w:color="auto" w:fill="auto"/>
              </w:rPr>
            </w:pPr>
          </w:p>
        </w:tc>
      </w:tr>
      <w:tr>
        <w:tblPrEx>
          <w:tblBorders>
            <w:top w:val="single" w:color="auto" w:sz="2" w:space="0"/>
            <w:left w:val="single" w:color="auto" w:sz="2" w:space="0"/>
            <w:bottom w:val="single" w:color="auto" w:sz="2" w:space="0"/>
            <w:right w:val="single" w:color="auto" w:sz="2" w:space="0"/>
            <w:insideH w:val="none" w:color="auto" w:sz="4" w:space="0"/>
            <w:insideV w:val="none" w:color="auto" w:sz="4" w:space="0"/>
          </w:tblBorders>
          <w:tblCellMar>
            <w:top w:w="0" w:type="dxa"/>
            <w:left w:w="0" w:type="dxa"/>
            <w:bottom w:w="0" w:type="dxa"/>
            <w:right w:w="0" w:type="dxa"/>
          </w:tblCellMar>
        </w:tblPrEx>
        <w:trPr>
          <w:trHeight w:val="283" w:hRule="atLeast"/>
        </w:trPr>
        <w:tc>
          <w:tcPr>
            <w:tcW w:w="5000" w:type="pct"/>
            <w:gridSpan w:val="18"/>
            <w:tcBorders>
              <w:top w:val="single" w:color="000000" w:sz="6" w:space="0"/>
            </w:tcBorders>
            <w:vAlign w:val="center"/>
          </w:tcPr>
          <w:p>
            <w:pPr>
              <w:widowControl/>
              <w:spacing w:line="240" w:lineRule="auto"/>
              <w:ind w:firstLine="0" w:firstLineChars="0"/>
              <w:jc w:val="left"/>
              <w:rPr>
                <w:rFonts w:hint="eastAsia" w:cs="Times New Roman"/>
                <w:color w:val="auto"/>
                <w:kern w:val="0"/>
                <w:sz w:val="21"/>
                <w:szCs w:val="21"/>
                <w:shd w:val="clear" w:color="auto" w:fill="auto"/>
                <w:lang w:eastAsia="zh-CN"/>
              </w:rPr>
            </w:pPr>
            <w:r>
              <w:rPr>
                <w:rFonts w:hint="eastAsia" w:cs="Times New Roman"/>
                <w:color w:val="auto"/>
                <w:kern w:val="0"/>
                <w:sz w:val="21"/>
                <w:szCs w:val="21"/>
                <w:shd w:val="clear" w:color="auto" w:fill="auto"/>
                <w:lang w:eastAsia="zh-CN"/>
              </w:rPr>
              <w:t>备注：</w:t>
            </w:r>
            <w:r>
              <w:rPr>
                <w:rFonts w:hint="eastAsia" w:cs="Times New Roman"/>
                <w:color w:val="auto"/>
                <w:kern w:val="0"/>
                <w:sz w:val="21"/>
                <w:szCs w:val="21"/>
                <w:shd w:val="clear" w:color="auto" w:fill="auto"/>
                <w:lang w:val="en-US" w:eastAsia="zh-CN"/>
              </w:rPr>
              <w:t>6.56万</w:t>
            </w:r>
            <w:r>
              <w:rPr>
                <w:rFonts w:hint="eastAsia" w:ascii="Times New Roman" w:hAnsi="Times New Roman"/>
                <w:color w:val="auto"/>
                <w:shd w:val="clear" w:color="auto" w:fill="auto"/>
                <w:vertAlign w:val="baseline"/>
                <w:lang w:eastAsia="zh-CN"/>
              </w:rPr>
              <w:t>m</w:t>
            </w:r>
            <w:r>
              <w:rPr>
                <w:rFonts w:hint="eastAsia" w:ascii="Times New Roman" w:hAnsi="Times New Roman"/>
                <w:color w:val="auto"/>
                <w:shd w:val="clear" w:color="auto" w:fill="auto"/>
                <w:vertAlign w:val="superscript"/>
                <w:lang w:eastAsia="zh-CN"/>
              </w:rPr>
              <w:t>3</w:t>
            </w:r>
            <w:r>
              <w:rPr>
                <w:rFonts w:hint="eastAsia" w:cs="Times New Roman"/>
                <w:color w:val="auto"/>
                <w:kern w:val="0"/>
                <w:sz w:val="21"/>
                <w:szCs w:val="21"/>
                <w:shd w:val="clear" w:color="auto" w:fill="auto"/>
                <w:lang w:val="en-US" w:eastAsia="zh-CN"/>
              </w:rPr>
              <w:t>弃土，包括陆上方弃土1.64万</w:t>
            </w:r>
            <w:r>
              <w:rPr>
                <w:rFonts w:hint="eastAsia" w:ascii="Times New Roman" w:hAnsi="Times New Roman"/>
                <w:color w:val="auto"/>
                <w:shd w:val="clear" w:color="auto" w:fill="auto"/>
                <w:vertAlign w:val="baseline"/>
                <w:lang w:eastAsia="zh-CN"/>
              </w:rPr>
              <w:t>m</w:t>
            </w:r>
            <w:r>
              <w:rPr>
                <w:rFonts w:hint="eastAsia" w:ascii="Times New Roman" w:hAnsi="Times New Roman"/>
                <w:color w:val="auto"/>
                <w:shd w:val="clear" w:color="auto" w:fill="auto"/>
                <w:vertAlign w:val="superscript"/>
                <w:lang w:eastAsia="zh-CN"/>
              </w:rPr>
              <w:t>3</w:t>
            </w:r>
            <w:r>
              <w:rPr>
                <w:rFonts w:hint="eastAsia" w:cs="Times New Roman"/>
                <w:color w:val="auto"/>
                <w:kern w:val="0"/>
                <w:sz w:val="21"/>
                <w:szCs w:val="21"/>
                <w:shd w:val="clear" w:color="auto" w:fill="auto"/>
                <w:lang w:val="en-US" w:eastAsia="zh-CN"/>
              </w:rPr>
              <w:t>，港池水下方弃土4.63万</w:t>
            </w:r>
            <w:r>
              <w:rPr>
                <w:rFonts w:hint="eastAsia" w:ascii="Times New Roman" w:hAnsi="Times New Roman"/>
                <w:color w:val="auto"/>
                <w:shd w:val="clear" w:color="auto" w:fill="auto"/>
                <w:vertAlign w:val="baseline"/>
                <w:lang w:eastAsia="zh-CN"/>
              </w:rPr>
              <w:t>m</w:t>
            </w:r>
            <w:r>
              <w:rPr>
                <w:rFonts w:hint="eastAsia" w:ascii="Times New Roman" w:hAnsi="Times New Roman"/>
                <w:color w:val="auto"/>
                <w:shd w:val="clear" w:color="auto" w:fill="auto"/>
                <w:vertAlign w:val="superscript"/>
                <w:lang w:eastAsia="zh-CN"/>
              </w:rPr>
              <w:t>3</w:t>
            </w:r>
            <w:r>
              <w:rPr>
                <w:rFonts w:hint="eastAsia"/>
                <w:color w:val="auto"/>
                <w:shd w:val="clear" w:color="auto" w:fill="auto"/>
                <w:vertAlign w:val="baseline"/>
                <w:lang w:eastAsia="zh-CN"/>
              </w:rPr>
              <w:t>、</w:t>
            </w:r>
            <w:r>
              <w:rPr>
                <w:rFonts w:hint="eastAsia" w:ascii="Times New Roman" w:hAnsi="Times New Roman" w:cs="Times New Roman"/>
                <w:color w:val="auto"/>
                <w:kern w:val="0"/>
                <w:sz w:val="21"/>
                <w:szCs w:val="21"/>
                <w:shd w:val="clear" w:color="auto" w:fill="auto"/>
                <w:lang w:val="en-US" w:eastAsia="zh-CN"/>
              </w:rPr>
              <w:t>拆迁弃渣</w:t>
            </w:r>
            <w:r>
              <w:rPr>
                <w:rFonts w:hint="eastAsia" w:cs="Times New Roman"/>
                <w:color w:val="auto"/>
                <w:kern w:val="0"/>
                <w:sz w:val="21"/>
                <w:szCs w:val="21"/>
                <w:shd w:val="clear" w:color="auto" w:fill="auto"/>
                <w:lang w:val="en-US" w:eastAsia="zh-CN"/>
              </w:rPr>
              <w:t>0.08万</w:t>
            </w:r>
            <w:r>
              <w:rPr>
                <w:rFonts w:hint="eastAsia" w:ascii="Times New Roman" w:hAnsi="Times New Roman"/>
                <w:color w:val="auto"/>
                <w:shd w:val="clear" w:color="auto" w:fill="auto"/>
                <w:vertAlign w:val="baseline"/>
                <w:lang w:eastAsia="zh-CN"/>
              </w:rPr>
              <w:t>m</w:t>
            </w:r>
            <w:r>
              <w:rPr>
                <w:rFonts w:hint="eastAsia" w:ascii="Times New Roman" w:hAnsi="Times New Roman"/>
                <w:color w:val="auto"/>
                <w:shd w:val="clear" w:color="auto" w:fill="auto"/>
                <w:vertAlign w:val="superscript"/>
                <w:lang w:eastAsia="zh-CN"/>
              </w:rPr>
              <w:t>3</w:t>
            </w:r>
            <w:r>
              <w:rPr>
                <w:rFonts w:hint="eastAsia" w:ascii="Times New Roman" w:hAnsi="Times New Roman"/>
                <w:color w:val="auto"/>
                <w:shd w:val="clear" w:color="auto" w:fill="auto"/>
                <w:vertAlign w:val="baseline"/>
                <w:lang w:eastAsia="zh-CN"/>
              </w:rPr>
              <w:t>、</w:t>
            </w:r>
            <w:r>
              <w:rPr>
                <w:rFonts w:hint="eastAsia" w:ascii="Times New Roman" w:hAnsi="Times New Roman" w:cs="Times New Roman"/>
                <w:color w:val="auto"/>
                <w:kern w:val="0"/>
                <w:sz w:val="21"/>
                <w:szCs w:val="21"/>
                <w:shd w:val="clear" w:color="auto" w:fill="auto"/>
                <w:lang w:val="en-US" w:eastAsia="zh-CN"/>
              </w:rPr>
              <w:t>地表清杂土方0.2万</w:t>
            </w:r>
            <w:r>
              <w:rPr>
                <w:rFonts w:hint="eastAsia" w:ascii="Times New Roman" w:hAnsi="Times New Roman"/>
                <w:color w:val="auto"/>
                <w:shd w:val="clear" w:color="auto" w:fill="auto"/>
                <w:vertAlign w:val="baseline"/>
                <w:lang w:eastAsia="zh-CN"/>
              </w:rPr>
              <w:t>m</w:t>
            </w:r>
            <w:r>
              <w:rPr>
                <w:rFonts w:hint="eastAsia" w:ascii="Times New Roman" w:hAnsi="Times New Roman"/>
                <w:color w:val="auto"/>
                <w:shd w:val="clear" w:color="auto" w:fill="auto"/>
                <w:vertAlign w:val="superscript"/>
                <w:lang w:eastAsia="zh-CN"/>
              </w:rPr>
              <w:t>3</w:t>
            </w:r>
            <w:r>
              <w:rPr>
                <w:rFonts w:hint="eastAsia"/>
                <w:color w:val="auto"/>
                <w:shd w:val="clear" w:color="auto" w:fill="auto"/>
                <w:vertAlign w:val="baseline"/>
                <w:lang w:eastAsia="zh-CN"/>
              </w:rPr>
              <w:t>。</w:t>
            </w:r>
          </w:p>
        </w:tc>
      </w:tr>
    </w:tbl>
    <w:p>
      <w:pPr>
        <w:snapToGrid w:val="0"/>
        <w:spacing w:line="240" w:lineRule="auto"/>
        <w:ind w:firstLine="480"/>
        <w:jc w:val="center"/>
        <w:rPr>
          <w:rFonts w:eastAsia="黑体"/>
          <w:color w:val="auto"/>
          <w:shd w:val="clear" w:color="auto" w:fill="auto"/>
          <w:vertAlign w:val="superscript"/>
        </w:rPr>
      </w:pPr>
      <w:r>
        <w:drawing>
          <wp:inline distT="0" distB="0" distL="114300" distR="114300">
            <wp:extent cx="6835140" cy="2948305"/>
            <wp:effectExtent l="0" t="0" r="3810" b="4445"/>
            <wp:docPr id="11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6"/>
                    <pic:cNvPicPr>
                      <a:picLocks noChangeAspect="1"/>
                    </pic:cNvPicPr>
                  </pic:nvPicPr>
                  <pic:blipFill>
                    <a:blip r:embed="rId20"/>
                    <a:stretch>
                      <a:fillRect/>
                    </a:stretch>
                  </pic:blipFill>
                  <pic:spPr>
                    <a:xfrm>
                      <a:off x="0" y="0"/>
                      <a:ext cx="6835140" cy="2948305"/>
                    </a:xfrm>
                    <a:prstGeom prst="rect">
                      <a:avLst/>
                    </a:prstGeom>
                    <a:noFill/>
                    <a:ln>
                      <a:noFill/>
                    </a:ln>
                  </pic:spPr>
                </pic:pic>
              </a:graphicData>
            </a:graphic>
          </wp:inline>
        </w:drawing>
      </w:r>
    </w:p>
    <w:p>
      <w:pPr>
        <w:bidi w:val="0"/>
        <w:jc w:val="center"/>
        <w:sectPr>
          <w:footerReference r:id="rId8"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b/>
          <w:bCs/>
          <w:lang w:eastAsia="zh-CN"/>
        </w:rPr>
        <w:t>图</w:t>
      </w:r>
      <w:r>
        <w:rPr>
          <w:rFonts w:hint="eastAsia"/>
          <w:b/>
          <w:bCs/>
          <w:lang w:val="en-US" w:eastAsia="zh-CN"/>
        </w:rPr>
        <w:t>2-1 土石方平衡流向图</w:t>
      </w:r>
    </w:p>
    <w:p>
      <w:pPr>
        <w:pStyle w:val="6"/>
        <w:rPr>
          <w:rFonts w:hint="eastAsia"/>
          <w:color w:val="auto"/>
          <w:shd w:val="clear" w:color="auto" w:fill="auto"/>
          <w:lang w:val="en-US" w:eastAsia="zh-CN"/>
        </w:rPr>
      </w:pPr>
      <w:bookmarkStart w:id="221" w:name="_Toc20743_WPSOffice_Level1"/>
      <w:bookmarkStart w:id="222" w:name="_Toc25897_WPSOffice_Level1"/>
      <w:r>
        <w:rPr>
          <w:rFonts w:hint="eastAsia"/>
          <w:color w:val="auto"/>
          <w:shd w:val="clear" w:color="auto" w:fill="auto"/>
          <w:lang w:val="en-US" w:eastAsia="zh-CN"/>
        </w:rPr>
        <w:t>2.1.10.2工程占地</w:t>
      </w:r>
      <w:r>
        <w:rPr>
          <w:color w:val="auto"/>
          <w:shd w:val="clear" w:color="auto" w:fill="auto"/>
        </w:rPr>
        <w:t>及拆迁情况</w:t>
      </w:r>
    </w:p>
    <w:bookmarkEnd w:id="221"/>
    <w:bookmarkEnd w:id="222"/>
    <w:p>
      <w:pPr>
        <w:rPr>
          <w:rFonts w:eastAsia="黑体"/>
          <w:color w:val="auto"/>
          <w:shd w:val="clear" w:color="auto" w:fill="auto"/>
        </w:rPr>
      </w:pPr>
      <w:bookmarkStart w:id="223" w:name="_Toc20743_WPSOffice_Level2"/>
      <w:bookmarkStart w:id="224" w:name="_Toc23271_WPSOffice_Level2"/>
      <w:r>
        <w:rPr>
          <w:rFonts w:hint="default"/>
          <w:color w:val="auto"/>
          <w:shd w:val="clear" w:color="auto" w:fill="auto"/>
        </w:rPr>
        <w:t>本工程总占地</w:t>
      </w:r>
      <w:r>
        <w:rPr>
          <w:rFonts w:hint="eastAsia"/>
          <w:color w:val="auto"/>
          <w:shd w:val="clear" w:color="auto" w:fill="auto"/>
          <w:lang w:val="en-US" w:eastAsia="zh-CN"/>
        </w:rPr>
        <w:t>8.79</w:t>
      </w:r>
      <w:r>
        <w:rPr>
          <w:rFonts w:hint="default"/>
          <w:color w:val="auto"/>
          <w:shd w:val="clear" w:color="auto" w:fill="auto"/>
        </w:rPr>
        <w:t>h</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2</w:t>
      </w:r>
      <w:r>
        <w:rPr>
          <w:rFonts w:hint="default"/>
          <w:color w:val="auto"/>
          <w:shd w:val="clear" w:color="auto" w:fill="auto"/>
        </w:rPr>
        <w:t>，其中永久占地</w:t>
      </w:r>
      <w:r>
        <w:rPr>
          <w:rFonts w:hint="eastAsia"/>
          <w:color w:val="auto"/>
          <w:shd w:val="clear" w:color="auto" w:fill="auto"/>
          <w:lang w:val="en-US" w:eastAsia="zh-CN"/>
        </w:rPr>
        <w:t>5.91</w:t>
      </w:r>
      <w:r>
        <w:rPr>
          <w:rFonts w:hint="default"/>
          <w:color w:val="auto"/>
          <w:shd w:val="clear" w:color="auto" w:fill="auto"/>
        </w:rPr>
        <w:t>h</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2</w:t>
      </w:r>
      <w:r>
        <w:rPr>
          <w:rFonts w:hint="default"/>
          <w:color w:val="auto"/>
          <w:shd w:val="clear" w:color="auto" w:fill="auto"/>
        </w:rPr>
        <w:t>，临时占地为2.</w:t>
      </w:r>
      <w:r>
        <w:rPr>
          <w:rFonts w:hint="eastAsia"/>
          <w:color w:val="auto"/>
          <w:shd w:val="clear" w:color="auto" w:fill="auto"/>
          <w:lang w:val="en-US" w:eastAsia="zh-CN"/>
        </w:rPr>
        <w:t>78</w:t>
      </w:r>
      <w:r>
        <w:rPr>
          <w:rFonts w:hint="default"/>
          <w:color w:val="auto"/>
          <w:shd w:val="clear" w:color="auto" w:fill="auto"/>
        </w:rPr>
        <w:t>h</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2</w:t>
      </w:r>
      <w:r>
        <w:rPr>
          <w:rFonts w:hint="default"/>
          <w:color w:val="auto"/>
          <w:shd w:val="clear" w:color="auto" w:fill="auto"/>
        </w:rPr>
        <w:t>。现状占地类型主要为内陆滩涂、坑塘水面、耕地、住宅等。占地数量、类型和占地性质详见下表：</w:t>
      </w:r>
    </w:p>
    <w:p>
      <w:pPr>
        <w:adjustRightInd w:val="0"/>
        <w:snapToGrid w:val="0"/>
        <w:spacing w:line="240" w:lineRule="auto"/>
        <w:ind w:firstLine="420" w:firstLineChars="200"/>
        <w:jc w:val="center"/>
        <w:rPr>
          <w:color w:val="auto"/>
          <w:sz w:val="21"/>
          <w:szCs w:val="21"/>
          <w:shd w:val="clear" w:color="auto" w:fill="auto"/>
        </w:rPr>
      </w:pPr>
      <w:r>
        <w:rPr>
          <w:rFonts w:eastAsia="黑体"/>
          <w:color w:val="auto"/>
          <w:sz w:val="21"/>
          <w:szCs w:val="21"/>
          <w:shd w:val="clear" w:color="auto" w:fill="auto"/>
        </w:rPr>
        <w:t>表</w:t>
      </w:r>
      <w:r>
        <w:rPr>
          <w:rFonts w:hint="eastAsia" w:eastAsia="黑体"/>
          <w:color w:val="auto"/>
          <w:sz w:val="21"/>
          <w:szCs w:val="21"/>
          <w:shd w:val="clear" w:color="auto" w:fill="auto"/>
          <w:lang w:val="en-US" w:eastAsia="zh-CN"/>
        </w:rPr>
        <w:t>2</w:t>
      </w:r>
      <w:r>
        <w:rPr>
          <w:rFonts w:hint="eastAsia" w:eastAsia="黑体"/>
          <w:color w:val="auto"/>
          <w:sz w:val="21"/>
          <w:szCs w:val="21"/>
          <w:shd w:val="clear" w:color="auto" w:fill="auto"/>
        </w:rPr>
        <w:t>.1-1</w:t>
      </w:r>
      <w:r>
        <w:rPr>
          <w:rFonts w:hint="eastAsia" w:eastAsia="黑体"/>
          <w:color w:val="auto"/>
          <w:sz w:val="21"/>
          <w:szCs w:val="21"/>
          <w:shd w:val="clear" w:color="auto" w:fill="auto"/>
          <w:lang w:val="en-US" w:eastAsia="zh-CN"/>
        </w:rPr>
        <w:t>4</w:t>
      </w:r>
      <w:r>
        <w:rPr>
          <w:rFonts w:hint="eastAsia" w:eastAsia="黑体"/>
          <w:color w:val="auto"/>
          <w:sz w:val="21"/>
          <w:szCs w:val="21"/>
          <w:shd w:val="clear" w:color="auto" w:fill="auto"/>
        </w:rPr>
        <w:t xml:space="preserve"> </w:t>
      </w:r>
      <w:r>
        <w:rPr>
          <w:rFonts w:eastAsia="黑体"/>
          <w:color w:val="auto"/>
          <w:sz w:val="21"/>
          <w:szCs w:val="21"/>
          <w:shd w:val="clear" w:color="auto" w:fill="auto"/>
        </w:rPr>
        <w:t>工程占地类型、数量和性质表</w:t>
      </w:r>
    </w:p>
    <w:tbl>
      <w:tblPr>
        <w:tblStyle w:val="26"/>
        <w:tblW w:w="9708" w:type="dxa"/>
        <w:jc w:val="center"/>
        <w:tblLayout w:type="fixed"/>
        <w:tblCellMar>
          <w:top w:w="0" w:type="dxa"/>
          <w:left w:w="108" w:type="dxa"/>
          <w:bottom w:w="0" w:type="dxa"/>
          <w:right w:w="108" w:type="dxa"/>
        </w:tblCellMar>
      </w:tblPr>
      <w:tblGrid>
        <w:gridCol w:w="968"/>
        <w:gridCol w:w="1369"/>
        <w:gridCol w:w="1077"/>
        <w:gridCol w:w="1230"/>
        <w:gridCol w:w="930"/>
        <w:gridCol w:w="772"/>
        <w:gridCol w:w="1186"/>
        <w:gridCol w:w="990"/>
        <w:gridCol w:w="1186"/>
      </w:tblGrid>
      <w:tr>
        <w:tblPrEx>
          <w:tblCellMar>
            <w:top w:w="0" w:type="dxa"/>
            <w:left w:w="108" w:type="dxa"/>
            <w:bottom w:w="0" w:type="dxa"/>
            <w:right w:w="108" w:type="dxa"/>
          </w:tblCellMar>
        </w:tblPrEx>
        <w:trPr>
          <w:trHeight w:val="285" w:hRule="atLeast"/>
          <w:jc w:val="center"/>
        </w:trPr>
        <w:tc>
          <w:tcPr>
            <w:tcW w:w="968" w:type="dxa"/>
            <w:vMerge w:val="restart"/>
            <w:tcBorders>
              <w:top w:val="single" w:color="auto" w:sz="8" w:space="0"/>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r>
              <w:rPr>
                <w:rFonts w:hint="eastAsia" w:cs="Times New Roman"/>
                <w:color w:val="auto"/>
                <w:kern w:val="0"/>
                <w:sz w:val="21"/>
                <w:szCs w:val="21"/>
                <w:shd w:val="clear" w:color="auto" w:fill="auto"/>
              </w:rPr>
              <w:t>行政区划</w:t>
            </w:r>
          </w:p>
        </w:tc>
        <w:tc>
          <w:tcPr>
            <w:tcW w:w="1369" w:type="dxa"/>
            <w:vMerge w:val="restart"/>
            <w:tcBorders>
              <w:top w:val="single" w:color="auto" w:sz="8" w:space="0"/>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r>
              <w:rPr>
                <w:rFonts w:hint="eastAsia" w:cs="Times New Roman"/>
                <w:color w:val="auto"/>
                <w:kern w:val="0"/>
                <w:sz w:val="21"/>
                <w:szCs w:val="21"/>
                <w:shd w:val="clear" w:color="auto" w:fill="auto"/>
              </w:rPr>
              <w:t>工程分区</w:t>
            </w:r>
          </w:p>
        </w:tc>
        <w:tc>
          <w:tcPr>
            <w:tcW w:w="6185" w:type="dxa"/>
            <w:gridSpan w:val="6"/>
            <w:tcBorders>
              <w:top w:val="single" w:color="auto" w:sz="8" w:space="0"/>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r>
              <w:rPr>
                <w:rFonts w:hint="eastAsia" w:cs="Times New Roman"/>
                <w:color w:val="auto"/>
                <w:kern w:val="0"/>
                <w:sz w:val="21"/>
                <w:szCs w:val="21"/>
                <w:shd w:val="clear" w:color="auto" w:fill="auto"/>
              </w:rPr>
              <w:t>占地类型及数量（h</w:t>
            </w:r>
            <w:r>
              <w:rPr>
                <w:rFonts w:hint="eastAsia" w:cs="Times New Roman"/>
                <w:color w:val="auto"/>
                <w:kern w:val="0"/>
                <w:sz w:val="21"/>
                <w:szCs w:val="21"/>
                <w:shd w:val="clear" w:color="auto" w:fill="auto"/>
                <w:vertAlign w:val="baseline"/>
                <w:lang w:eastAsia="zh-CN"/>
              </w:rPr>
              <w:t>m</w:t>
            </w:r>
            <w:r>
              <w:rPr>
                <w:rFonts w:hint="eastAsia" w:cs="Times New Roman"/>
                <w:color w:val="auto"/>
                <w:kern w:val="0"/>
                <w:sz w:val="21"/>
                <w:szCs w:val="21"/>
                <w:shd w:val="clear" w:color="auto" w:fill="auto"/>
                <w:vertAlign w:val="superscript"/>
                <w:lang w:eastAsia="zh-CN"/>
              </w:rPr>
              <w:t>2</w:t>
            </w:r>
            <w:r>
              <w:rPr>
                <w:rFonts w:hint="eastAsia" w:cs="Times New Roman"/>
                <w:color w:val="auto"/>
                <w:kern w:val="0"/>
                <w:sz w:val="21"/>
                <w:szCs w:val="21"/>
                <w:shd w:val="clear" w:color="auto" w:fill="auto"/>
              </w:rPr>
              <w:t>）</w:t>
            </w:r>
          </w:p>
        </w:tc>
        <w:tc>
          <w:tcPr>
            <w:tcW w:w="1186" w:type="dxa"/>
            <w:vMerge w:val="restart"/>
            <w:tcBorders>
              <w:top w:val="single" w:color="auto" w:sz="8" w:space="0"/>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r>
              <w:rPr>
                <w:rFonts w:hint="eastAsia" w:cs="Times New Roman"/>
                <w:color w:val="auto"/>
                <w:kern w:val="0"/>
                <w:sz w:val="21"/>
                <w:szCs w:val="21"/>
                <w:shd w:val="clear" w:color="auto" w:fill="auto"/>
              </w:rPr>
              <w:t>占地性质</w:t>
            </w:r>
          </w:p>
        </w:tc>
      </w:tr>
      <w:tr>
        <w:tblPrEx>
          <w:tblCellMar>
            <w:top w:w="0" w:type="dxa"/>
            <w:left w:w="108" w:type="dxa"/>
            <w:bottom w:w="0" w:type="dxa"/>
            <w:right w:w="108" w:type="dxa"/>
          </w:tblCellMar>
        </w:tblPrEx>
        <w:trPr>
          <w:trHeight w:val="285" w:hRule="atLeast"/>
          <w:jc w:val="center"/>
        </w:trPr>
        <w:tc>
          <w:tcPr>
            <w:tcW w:w="968" w:type="dxa"/>
            <w:vMerge w:val="continue"/>
            <w:tcBorders>
              <w:top w:val="single" w:color="auto" w:sz="8" w:space="0"/>
              <w:left w:val="single" w:color="auto" w:sz="8" w:space="0"/>
              <w:bottom w:val="single" w:color="000000" w:sz="8" w:space="0"/>
              <w:right w:val="single" w:color="auto" w:sz="8" w:space="0"/>
            </w:tcBorders>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1369" w:type="dxa"/>
            <w:vMerge w:val="continue"/>
            <w:tcBorders>
              <w:top w:val="single" w:color="auto" w:sz="8" w:space="0"/>
              <w:left w:val="single" w:color="auto" w:sz="8" w:space="0"/>
              <w:bottom w:val="single" w:color="000000" w:sz="8" w:space="0"/>
              <w:right w:val="single" w:color="auto" w:sz="8" w:space="0"/>
            </w:tcBorders>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2307" w:type="dxa"/>
            <w:gridSpan w:val="2"/>
            <w:tcBorders>
              <w:top w:val="single" w:color="auto" w:sz="8" w:space="0"/>
              <w:left w:val="nil"/>
              <w:bottom w:val="single" w:color="auto" w:sz="8" w:space="0"/>
              <w:right w:val="single" w:color="000000"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r>
              <w:rPr>
                <w:rFonts w:hint="eastAsia" w:cs="Times New Roman"/>
                <w:color w:val="auto"/>
                <w:kern w:val="0"/>
                <w:sz w:val="21"/>
                <w:szCs w:val="21"/>
                <w:shd w:val="clear" w:color="auto" w:fill="auto"/>
              </w:rPr>
              <w:t>水域及水利设施用地</w:t>
            </w:r>
          </w:p>
        </w:tc>
        <w:tc>
          <w:tcPr>
            <w:tcW w:w="930" w:type="dxa"/>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r>
              <w:rPr>
                <w:rFonts w:hint="eastAsia" w:cs="Times New Roman"/>
                <w:color w:val="auto"/>
                <w:kern w:val="0"/>
                <w:sz w:val="21"/>
                <w:szCs w:val="21"/>
                <w:shd w:val="clear" w:color="auto" w:fill="auto"/>
              </w:rPr>
              <w:t>交通运输用地</w:t>
            </w:r>
          </w:p>
        </w:tc>
        <w:tc>
          <w:tcPr>
            <w:tcW w:w="772" w:type="dxa"/>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r>
              <w:rPr>
                <w:rFonts w:hint="eastAsia" w:cs="Times New Roman"/>
                <w:color w:val="auto"/>
                <w:kern w:val="0"/>
                <w:sz w:val="21"/>
                <w:szCs w:val="21"/>
                <w:shd w:val="clear" w:color="auto" w:fill="auto"/>
                <w:lang w:val="en-US" w:eastAsia="zh-CN"/>
              </w:rPr>
              <w:t>耕</w:t>
            </w:r>
            <w:r>
              <w:rPr>
                <w:rFonts w:hint="eastAsia" w:cs="Times New Roman"/>
                <w:color w:val="auto"/>
                <w:kern w:val="0"/>
                <w:sz w:val="21"/>
                <w:szCs w:val="21"/>
                <w:shd w:val="clear" w:color="auto" w:fill="auto"/>
              </w:rPr>
              <w:t>地</w:t>
            </w:r>
          </w:p>
        </w:tc>
        <w:tc>
          <w:tcPr>
            <w:tcW w:w="1186" w:type="dxa"/>
            <w:vMerge w:val="restart"/>
            <w:tcBorders>
              <w:top w:val="nil"/>
              <w:left w:val="single" w:color="auto" w:sz="8" w:space="0"/>
              <w:right w:val="single" w:color="auto" w:sz="8" w:space="0"/>
            </w:tcBorders>
            <w:shd w:val="clear" w:color="auto" w:fill="auto"/>
            <w:vAlign w:val="center"/>
          </w:tcPr>
          <w:p>
            <w:pPr>
              <w:widowControl/>
              <w:spacing w:line="240" w:lineRule="auto"/>
              <w:ind w:firstLine="0" w:firstLineChars="0"/>
              <w:jc w:val="center"/>
              <w:rPr>
                <w:rFonts w:hint="default"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住宅用地</w:t>
            </w:r>
          </w:p>
        </w:tc>
        <w:tc>
          <w:tcPr>
            <w:tcW w:w="990" w:type="dxa"/>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r>
              <w:rPr>
                <w:rFonts w:hint="eastAsia" w:cs="Times New Roman"/>
                <w:color w:val="auto"/>
                <w:kern w:val="0"/>
                <w:sz w:val="21"/>
                <w:szCs w:val="21"/>
                <w:shd w:val="clear" w:color="auto" w:fill="auto"/>
              </w:rPr>
              <w:t>合计</w:t>
            </w:r>
          </w:p>
        </w:tc>
        <w:tc>
          <w:tcPr>
            <w:tcW w:w="1186" w:type="dxa"/>
            <w:vMerge w:val="continue"/>
            <w:tcBorders>
              <w:top w:val="single" w:color="auto" w:sz="8" w:space="0"/>
              <w:left w:val="single" w:color="auto" w:sz="8" w:space="0"/>
              <w:bottom w:val="single" w:color="000000" w:sz="8" w:space="0"/>
              <w:right w:val="single" w:color="auto" w:sz="8" w:space="0"/>
            </w:tcBorders>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r>
      <w:tr>
        <w:tblPrEx>
          <w:tblCellMar>
            <w:top w:w="0" w:type="dxa"/>
            <w:left w:w="108" w:type="dxa"/>
            <w:bottom w:w="0" w:type="dxa"/>
            <w:right w:w="108" w:type="dxa"/>
          </w:tblCellMar>
        </w:tblPrEx>
        <w:trPr>
          <w:trHeight w:val="285" w:hRule="atLeast"/>
          <w:jc w:val="center"/>
        </w:trPr>
        <w:tc>
          <w:tcPr>
            <w:tcW w:w="968" w:type="dxa"/>
            <w:vMerge w:val="continue"/>
            <w:tcBorders>
              <w:top w:val="single" w:color="auto" w:sz="8" w:space="0"/>
              <w:left w:val="single" w:color="auto" w:sz="8" w:space="0"/>
              <w:bottom w:val="single" w:color="000000" w:sz="8" w:space="0"/>
              <w:right w:val="single" w:color="auto" w:sz="8" w:space="0"/>
            </w:tcBorders>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1369" w:type="dxa"/>
            <w:vMerge w:val="continue"/>
            <w:tcBorders>
              <w:top w:val="single" w:color="auto" w:sz="8" w:space="0"/>
              <w:left w:val="single" w:color="auto" w:sz="8" w:space="0"/>
              <w:bottom w:val="single" w:color="000000" w:sz="8" w:space="0"/>
              <w:right w:val="single" w:color="auto" w:sz="8" w:space="0"/>
            </w:tcBorders>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1077"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r>
              <w:rPr>
                <w:rFonts w:hint="eastAsia" w:cs="Times New Roman"/>
                <w:color w:val="auto"/>
                <w:kern w:val="0"/>
                <w:sz w:val="21"/>
                <w:szCs w:val="21"/>
                <w:shd w:val="clear" w:color="auto" w:fill="auto"/>
              </w:rPr>
              <w:t>内陆滩涂</w:t>
            </w:r>
          </w:p>
        </w:tc>
        <w:tc>
          <w:tcPr>
            <w:tcW w:w="123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r>
              <w:rPr>
                <w:rFonts w:hint="eastAsia" w:cs="Times New Roman"/>
                <w:color w:val="auto"/>
                <w:kern w:val="0"/>
                <w:sz w:val="21"/>
                <w:szCs w:val="21"/>
                <w:shd w:val="clear" w:color="auto" w:fill="auto"/>
              </w:rPr>
              <w:t>坑塘水面</w:t>
            </w:r>
          </w:p>
        </w:tc>
        <w:tc>
          <w:tcPr>
            <w:tcW w:w="930"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772"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1186" w:type="dxa"/>
            <w:vMerge w:val="continue"/>
            <w:tcBorders>
              <w:left w:val="single" w:color="auto" w:sz="8" w:space="0"/>
              <w:bottom w:val="single" w:color="000000" w:sz="8" w:space="0"/>
              <w:right w:val="single" w:color="auto" w:sz="8" w:space="0"/>
            </w:tcBorders>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990"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1186" w:type="dxa"/>
            <w:vMerge w:val="continue"/>
            <w:tcBorders>
              <w:top w:val="single" w:color="auto" w:sz="8" w:space="0"/>
              <w:left w:val="single" w:color="auto" w:sz="8" w:space="0"/>
              <w:bottom w:val="single" w:color="000000" w:sz="8" w:space="0"/>
              <w:right w:val="single" w:color="auto" w:sz="8" w:space="0"/>
            </w:tcBorders>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r>
      <w:tr>
        <w:trPr>
          <w:trHeight w:val="285" w:hRule="atLeast"/>
          <w:jc w:val="center"/>
        </w:trPr>
        <w:tc>
          <w:tcPr>
            <w:tcW w:w="968" w:type="dxa"/>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shd w:val="clear" w:color="auto" w:fill="auto"/>
                <w:lang w:eastAsia="zh-CN"/>
              </w:rPr>
            </w:pPr>
            <w:r>
              <w:rPr>
                <w:rFonts w:hint="eastAsia" w:cs="Times New Roman"/>
                <w:color w:val="auto"/>
                <w:kern w:val="0"/>
                <w:sz w:val="21"/>
                <w:szCs w:val="21"/>
                <w:shd w:val="clear" w:color="auto" w:fill="auto"/>
                <w:lang w:eastAsia="zh-CN"/>
              </w:rPr>
              <w:t>阜阳市太和县</w:t>
            </w:r>
          </w:p>
        </w:tc>
        <w:tc>
          <w:tcPr>
            <w:tcW w:w="1369"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r>
              <w:rPr>
                <w:rFonts w:hint="eastAsia" w:cs="Times New Roman"/>
                <w:color w:val="auto"/>
                <w:kern w:val="0"/>
                <w:sz w:val="21"/>
                <w:szCs w:val="21"/>
                <w:shd w:val="clear" w:color="auto" w:fill="auto"/>
              </w:rPr>
              <w:t>前方泊位区</w:t>
            </w:r>
          </w:p>
        </w:tc>
        <w:tc>
          <w:tcPr>
            <w:tcW w:w="1077"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default"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3.61</w:t>
            </w:r>
          </w:p>
        </w:tc>
        <w:tc>
          <w:tcPr>
            <w:tcW w:w="123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93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77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1186"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99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default"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3.61</w:t>
            </w:r>
          </w:p>
        </w:tc>
        <w:tc>
          <w:tcPr>
            <w:tcW w:w="1186"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r>
              <w:rPr>
                <w:rFonts w:hint="eastAsia" w:cs="Times New Roman"/>
                <w:color w:val="auto"/>
                <w:kern w:val="0"/>
                <w:sz w:val="21"/>
                <w:szCs w:val="21"/>
                <w:shd w:val="clear" w:color="auto" w:fill="auto"/>
              </w:rPr>
              <w:t>永久占地</w:t>
            </w:r>
          </w:p>
        </w:tc>
      </w:tr>
      <w:tr>
        <w:tblPrEx>
          <w:tblCellMar>
            <w:top w:w="0" w:type="dxa"/>
            <w:left w:w="108" w:type="dxa"/>
            <w:bottom w:w="0" w:type="dxa"/>
            <w:right w:w="108" w:type="dxa"/>
          </w:tblCellMar>
        </w:tblPrEx>
        <w:trPr>
          <w:trHeight w:val="300" w:hRule="atLeast"/>
          <w:jc w:val="center"/>
        </w:trPr>
        <w:tc>
          <w:tcPr>
            <w:tcW w:w="968"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1369"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r>
              <w:rPr>
                <w:rFonts w:hint="eastAsia" w:cs="Times New Roman"/>
                <w:color w:val="auto"/>
                <w:kern w:val="0"/>
                <w:sz w:val="21"/>
                <w:szCs w:val="21"/>
                <w:shd w:val="clear" w:color="auto" w:fill="auto"/>
              </w:rPr>
              <w:t>后方陆域区</w:t>
            </w:r>
          </w:p>
        </w:tc>
        <w:tc>
          <w:tcPr>
            <w:tcW w:w="1077"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123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93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77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1186"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default"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0.36</w:t>
            </w:r>
          </w:p>
        </w:tc>
        <w:tc>
          <w:tcPr>
            <w:tcW w:w="99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default"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2.4</w:t>
            </w:r>
          </w:p>
        </w:tc>
        <w:tc>
          <w:tcPr>
            <w:tcW w:w="1186"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r>
              <w:rPr>
                <w:rFonts w:hint="eastAsia" w:cs="Times New Roman"/>
                <w:color w:val="auto"/>
                <w:kern w:val="0"/>
                <w:sz w:val="21"/>
                <w:szCs w:val="21"/>
                <w:shd w:val="clear" w:color="auto" w:fill="auto"/>
                <w:lang w:val="en-US" w:eastAsia="zh-CN"/>
              </w:rPr>
              <w:t>永久</w:t>
            </w:r>
            <w:r>
              <w:rPr>
                <w:rFonts w:hint="eastAsia" w:cs="Times New Roman"/>
                <w:color w:val="auto"/>
                <w:kern w:val="0"/>
                <w:sz w:val="21"/>
                <w:szCs w:val="21"/>
                <w:shd w:val="clear" w:color="auto" w:fill="auto"/>
              </w:rPr>
              <w:t>占地</w:t>
            </w:r>
          </w:p>
        </w:tc>
      </w:tr>
      <w:tr>
        <w:tblPrEx>
          <w:tblCellMar>
            <w:top w:w="0" w:type="dxa"/>
            <w:left w:w="108" w:type="dxa"/>
            <w:bottom w:w="0" w:type="dxa"/>
            <w:right w:w="108" w:type="dxa"/>
          </w:tblCellMar>
        </w:tblPrEx>
        <w:trPr>
          <w:trHeight w:val="300" w:hRule="atLeast"/>
          <w:jc w:val="center"/>
        </w:trPr>
        <w:tc>
          <w:tcPr>
            <w:tcW w:w="968"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1369"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r>
              <w:rPr>
                <w:rFonts w:hint="eastAsia" w:cs="Times New Roman"/>
                <w:color w:val="auto"/>
                <w:kern w:val="0"/>
                <w:sz w:val="21"/>
                <w:szCs w:val="21"/>
                <w:shd w:val="clear" w:color="auto" w:fill="auto"/>
              </w:rPr>
              <w:t>弃土区</w:t>
            </w:r>
          </w:p>
        </w:tc>
        <w:tc>
          <w:tcPr>
            <w:tcW w:w="1077"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123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default"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rPr>
              <w:t>2.</w:t>
            </w:r>
            <w:r>
              <w:rPr>
                <w:rFonts w:hint="eastAsia" w:cs="Times New Roman"/>
                <w:color w:val="auto"/>
                <w:kern w:val="0"/>
                <w:sz w:val="21"/>
                <w:szCs w:val="21"/>
                <w:shd w:val="clear" w:color="auto" w:fill="auto"/>
                <w:lang w:val="en-US" w:eastAsia="zh-CN"/>
              </w:rPr>
              <w:t>78</w:t>
            </w:r>
          </w:p>
        </w:tc>
        <w:tc>
          <w:tcPr>
            <w:tcW w:w="93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77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r>
              <w:rPr>
                <w:rFonts w:hint="eastAsia" w:cs="Times New Roman"/>
                <w:color w:val="auto"/>
                <w:kern w:val="0"/>
                <w:sz w:val="21"/>
                <w:szCs w:val="21"/>
                <w:shd w:val="clear" w:color="auto" w:fill="auto"/>
              </w:rPr>
              <w:t>0.02</w:t>
            </w:r>
          </w:p>
        </w:tc>
        <w:tc>
          <w:tcPr>
            <w:tcW w:w="1186"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99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default" w:eastAsia="宋体" w:cs="Times New Roman"/>
                <w:color w:val="auto"/>
                <w:kern w:val="0"/>
                <w:sz w:val="21"/>
                <w:szCs w:val="21"/>
                <w:shd w:val="clear" w:color="auto" w:fill="auto"/>
                <w:lang w:val="en-US" w:eastAsia="zh-CN"/>
              </w:rPr>
            </w:pPr>
            <w:r>
              <w:rPr>
                <w:rFonts w:hint="eastAsia" w:cs="Times New Roman"/>
                <w:color w:val="auto"/>
                <w:kern w:val="0"/>
                <w:sz w:val="21"/>
                <w:szCs w:val="21"/>
                <w:shd w:val="clear" w:color="auto" w:fill="auto"/>
                <w:lang w:val="en-US" w:eastAsia="zh-CN"/>
              </w:rPr>
              <w:t>2.78</w:t>
            </w:r>
          </w:p>
        </w:tc>
        <w:tc>
          <w:tcPr>
            <w:tcW w:w="1186"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r>
              <w:rPr>
                <w:rFonts w:hint="eastAsia" w:cs="Times New Roman"/>
                <w:color w:val="auto"/>
                <w:kern w:val="0"/>
                <w:sz w:val="21"/>
                <w:szCs w:val="21"/>
                <w:shd w:val="clear" w:color="auto" w:fill="auto"/>
              </w:rPr>
              <w:t>临时占地</w:t>
            </w:r>
          </w:p>
        </w:tc>
      </w:tr>
      <w:tr>
        <w:tblPrEx>
          <w:tblCellMar>
            <w:top w:w="0" w:type="dxa"/>
            <w:left w:w="108" w:type="dxa"/>
            <w:bottom w:w="0" w:type="dxa"/>
            <w:right w:w="108" w:type="dxa"/>
          </w:tblCellMar>
        </w:tblPrEx>
        <w:trPr>
          <w:trHeight w:val="300" w:hRule="atLeast"/>
          <w:jc w:val="center"/>
        </w:trPr>
        <w:tc>
          <w:tcPr>
            <w:tcW w:w="968" w:type="dxa"/>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color w:val="auto"/>
                <w:kern w:val="0"/>
                <w:sz w:val="21"/>
                <w:szCs w:val="21"/>
                <w:shd w:val="clear" w:color="auto" w:fill="auto"/>
              </w:rPr>
            </w:pPr>
          </w:p>
        </w:tc>
        <w:tc>
          <w:tcPr>
            <w:tcW w:w="1369"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b/>
                <w:bCs/>
                <w:color w:val="auto"/>
                <w:kern w:val="0"/>
                <w:sz w:val="21"/>
                <w:szCs w:val="21"/>
                <w:shd w:val="clear" w:color="auto" w:fill="auto"/>
              </w:rPr>
            </w:pPr>
            <w:r>
              <w:rPr>
                <w:rFonts w:hint="eastAsia" w:cs="Times New Roman"/>
                <w:b/>
                <w:bCs/>
                <w:color w:val="auto"/>
                <w:kern w:val="0"/>
                <w:sz w:val="21"/>
                <w:szCs w:val="21"/>
                <w:shd w:val="clear" w:color="auto" w:fill="auto"/>
              </w:rPr>
              <w:t>合计</w:t>
            </w:r>
          </w:p>
        </w:tc>
        <w:tc>
          <w:tcPr>
            <w:tcW w:w="1077"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default" w:eastAsia="宋体" w:cs="Times New Roman"/>
                <w:b/>
                <w:bCs/>
                <w:color w:val="auto"/>
                <w:kern w:val="0"/>
                <w:sz w:val="21"/>
                <w:szCs w:val="21"/>
                <w:shd w:val="clear" w:color="auto" w:fill="auto"/>
                <w:lang w:val="en-US" w:eastAsia="zh-CN"/>
              </w:rPr>
            </w:pPr>
            <w:r>
              <w:rPr>
                <w:rFonts w:hint="eastAsia" w:cs="Times New Roman"/>
                <w:b/>
                <w:bCs/>
                <w:color w:val="auto"/>
                <w:kern w:val="0"/>
                <w:sz w:val="21"/>
                <w:szCs w:val="21"/>
                <w:shd w:val="clear" w:color="auto" w:fill="auto"/>
                <w:lang w:val="en-US" w:eastAsia="zh-CN"/>
              </w:rPr>
              <w:t>3.61</w:t>
            </w:r>
          </w:p>
        </w:tc>
        <w:tc>
          <w:tcPr>
            <w:tcW w:w="123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default" w:eastAsia="宋体" w:cs="Times New Roman"/>
                <w:b/>
                <w:bCs/>
                <w:color w:val="auto"/>
                <w:kern w:val="0"/>
                <w:sz w:val="21"/>
                <w:szCs w:val="21"/>
                <w:shd w:val="clear" w:color="auto" w:fill="auto"/>
                <w:lang w:val="en-US" w:eastAsia="zh-CN"/>
              </w:rPr>
            </w:pPr>
            <w:r>
              <w:rPr>
                <w:rFonts w:hint="eastAsia" w:cs="Times New Roman"/>
                <w:b/>
                <w:bCs/>
                <w:color w:val="auto"/>
                <w:kern w:val="0"/>
                <w:sz w:val="21"/>
                <w:szCs w:val="21"/>
                <w:shd w:val="clear" w:color="auto" w:fill="auto"/>
              </w:rPr>
              <w:t>2.</w:t>
            </w:r>
            <w:r>
              <w:rPr>
                <w:rFonts w:hint="eastAsia" w:cs="Times New Roman"/>
                <w:b/>
                <w:bCs/>
                <w:color w:val="auto"/>
                <w:kern w:val="0"/>
                <w:sz w:val="21"/>
                <w:szCs w:val="21"/>
                <w:shd w:val="clear" w:color="auto" w:fill="auto"/>
                <w:lang w:val="en-US" w:eastAsia="zh-CN"/>
              </w:rPr>
              <w:t>78</w:t>
            </w:r>
          </w:p>
        </w:tc>
        <w:tc>
          <w:tcPr>
            <w:tcW w:w="93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b/>
                <w:bCs/>
                <w:color w:val="auto"/>
                <w:kern w:val="0"/>
                <w:sz w:val="21"/>
                <w:szCs w:val="21"/>
                <w:shd w:val="clear" w:color="auto" w:fill="auto"/>
              </w:rPr>
            </w:pPr>
          </w:p>
        </w:tc>
        <w:tc>
          <w:tcPr>
            <w:tcW w:w="77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b/>
                <w:bCs/>
                <w:color w:val="auto"/>
                <w:kern w:val="0"/>
                <w:sz w:val="21"/>
                <w:szCs w:val="21"/>
                <w:shd w:val="clear" w:color="auto" w:fill="auto"/>
              </w:rPr>
            </w:pPr>
            <w:r>
              <w:rPr>
                <w:rFonts w:hint="eastAsia" w:cs="Times New Roman"/>
                <w:b/>
                <w:bCs/>
                <w:color w:val="auto"/>
                <w:kern w:val="0"/>
                <w:sz w:val="21"/>
                <w:szCs w:val="21"/>
                <w:shd w:val="clear" w:color="auto" w:fill="auto"/>
              </w:rPr>
              <w:t>0.02</w:t>
            </w:r>
          </w:p>
        </w:tc>
        <w:tc>
          <w:tcPr>
            <w:tcW w:w="1186"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default" w:eastAsia="宋体" w:cs="Times New Roman"/>
                <w:b/>
                <w:bCs/>
                <w:color w:val="auto"/>
                <w:kern w:val="0"/>
                <w:sz w:val="21"/>
                <w:szCs w:val="21"/>
                <w:shd w:val="clear" w:color="auto" w:fill="auto"/>
                <w:lang w:val="en-US" w:eastAsia="zh-CN"/>
              </w:rPr>
            </w:pPr>
            <w:r>
              <w:rPr>
                <w:rFonts w:hint="eastAsia" w:cs="Times New Roman"/>
                <w:b/>
                <w:bCs/>
                <w:color w:val="auto"/>
                <w:kern w:val="0"/>
                <w:sz w:val="21"/>
                <w:szCs w:val="21"/>
                <w:shd w:val="clear" w:color="auto" w:fill="auto"/>
                <w:lang w:val="en-US" w:eastAsia="zh-CN"/>
              </w:rPr>
              <w:t>0.36</w:t>
            </w:r>
          </w:p>
        </w:tc>
        <w:tc>
          <w:tcPr>
            <w:tcW w:w="99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default" w:eastAsia="宋体" w:cs="Times New Roman"/>
                <w:b/>
                <w:bCs/>
                <w:color w:val="auto"/>
                <w:kern w:val="0"/>
                <w:sz w:val="21"/>
                <w:szCs w:val="21"/>
                <w:shd w:val="clear" w:color="auto" w:fill="auto"/>
                <w:lang w:val="en-US" w:eastAsia="zh-CN"/>
              </w:rPr>
            </w:pPr>
            <w:r>
              <w:rPr>
                <w:rFonts w:hint="eastAsia" w:cs="Times New Roman"/>
                <w:b/>
                <w:bCs/>
                <w:color w:val="auto"/>
                <w:kern w:val="0"/>
                <w:sz w:val="21"/>
                <w:szCs w:val="21"/>
                <w:shd w:val="clear" w:color="auto" w:fill="auto"/>
                <w:lang w:val="en-US" w:eastAsia="zh-CN"/>
              </w:rPr>
              <w:t>8.79</w:t>
            </w:r>
          </w:p>
        </w:tc>
        <w:tc>
          <w:tcPr>
            <w:tcW w:w="1186"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hint="eastAsia" w:cs="Times New Roman"/>
                <w:b/>
                <w:bCs/>
                <w:color w:val="auto"/>
                <w:kern w:val="0"/>
                <w:sz w:val="21"/>
                <w:szCs w:val="21"/>
                <w:shd w:val="clear" w:color="auto" w:fill="auto"/>
              </w:rPr>
            </w:pPr>
          </w:p>
        </w:tc>
      </w:tr>
    </w:tbl>
    <w:p>
      <w:pPr>
        <w:bidi w:val="0"/>
        <w:rPr>
          <w:rFonts w:hint="default"/>
          <w:b w:val="0"/>
          <w:bCs w:val="0"/>
          <w:color w:val="auto"/>
        </w:rPr>
      </w:pPr>
      <w:r>
        <w:rPr>
          <w:rFonts w:hint="eastAsia"/>
          <w:b w:val="0"/>
          <w:bCs w:val="0"/>
          <w:color w:val="auto"/>
          <w:lang w:eastAsia="zh-CN"/>
        </w:rPr>
        <w:t>根据《基本农田保护条例》，</w:t>
      </w:r>
      <w:r>
        <w:rPr>
          <w:b w:val="0"/>
          <w:bCs w:val="0"/>
          <w:color w:val="auto"/>
        </w:rPr>
        <w:t>国家实行基本农田保护制度。</w:t>
      </w:r>
      <w:r>
        <w:rPr>
          <w:rFonts w:hint="default"/>
          <w:b w:val="0"/>
          <w:bCs w:val="0"/>
          <w:color w:val="auto"/>
        </w:rPr>
        <w:t>基本农田保护区经依法划定后，任何单位和个人不得改变或者占用。国家能源、交通、水利、军事设施等重点建设项目选址确实无法避开基本农田保护区，需要占用基本农田，涉及农用地转用或者征收土地的，必须经国务院批准。</w:t>
      </w:r>
    </w:p>
    <w:p>
      <w:pPr>
        <w:bidi w:val="0"/>
        <w:rPr>
          <w:rFonts w:hint="eastAsia"/>
          <w:b w:val="0"/>
          <w:bCs w:val="0"/>
          <w:color w:val="auto"/>
          <w:lang w:eastAsia="zh-CN"/>
        </w:rPr>
      </w:pPr>
      <w:r>
        <w:rPr>
          <w:rFonts w:hint="eastAsia"/>
          <w:b w:val="0"/>
          <w:bCs w:val="0"/>
          <w:color w:val="auto"/>
          <w:lang w:eastAsia="zh-CN"/>
        </w:rPr>
        <w:t>根据</w:t>
      </w:r>
      <w:r>
        <w:rPr>
          <w:rFonts w:hint="eastAsia"/>
          <w:b w:val="0"/>
          <w:bCs w:val="0"/>
          <w:color w:val="auto"/>
          <w:lang w:val="en-US" w:eastAsia="zh-CN"/>
        </w:rPr>
        <w:t>太和县自然资源和规划局文件太自然资管【2020】31号文（见附件4）</w:t>
      </w:r>
      <w:r>
        <w:rPr>
          <w:rFonts w:hint="eastAsia"/>
          <w:b w:val="0"/>
          <w:bCs w:val="0"/>
          <w:color w:val="auto"/>
          <w:lang w:eastAsia="zh-CN"/>
        </w:rPr>
        <w:t>，本项目不占基本农田。</w:t>
      </w:r>
    </w:p>
    <w:p>
      <w:pPr>
        <w:pStyle w:val="4"/>
        <w:bidi w:val="0"/>
        <w:rPr>
          <w:rFonts w:hint="eastAsia"/>
          <w:color w:val="auto"/>
          <w:shd w:val="clear" w:color="auto" w:fill="auto"/>
          <w:lang w:val="en-US" w:eastAsia="zh-CN"/>
        </w:rPr>
      </w:pPr>
      <w:bookmarkStart w:id="225" w:name="_Toc1879"/>
      <w:r>
        <w:rPr>
          <w:rFonts w:hint="eastAsia"/>
          <w:color w:val="auto"/>
          <w:shd w:val="clear" w:color="auto" w:fill="auto"/>
          <w:lang w:val="en-US" w:eastAsia="zh-CN"/>
        </w:rPr>
        <w:t>2.2 工程分析</w:t>
      </w:r>
      <w:bookmarkEnd w:id="225"/>
    </w:p>
    <w:p>
      <w:pPr>
        <w:pStyle w:val="5"/>
        <w:rPr>
          <w:rFonts w:hint="eastAsia"/>
          <w:lang w:val="en-US" w:eastAsia="zh-CN"/>
        </w:rPr>
      </w:pPr>
      <w:r>
        <w:rPr>
          <w:rFonts w:hint="eastAsia"/>
          <w:lang w:val="en-US" w:eastAsia="zh-CN"/>
        </w:rPr>
        <w:t>2.2.1 环境影响因素分析</w:t>
      </w:r>
    </w:p>
    <w:p>
      <w:pPr>
        <w:pStyle w:val="6"/>
        <w:rPr>
          <w:rFonts w:hint="eastAsia"/>
          <w:lang w:val="en-US" w:eastAsia="zh-CN"/>
        </w:rPr>
      </w:pPr>
      <w:r>
        <w:rPr>
          <w:rFonts w:hint="eastAsia"/>
          <w:lang w:val="en-US" w:eastAsia="zh-CN"/>
        </w:rPr>
        <w:t>2.2.1.1施工期生产工艺流程及产污环节</w:t>
      </w:r>
    </w:p>
    <w:p>
      <w:pPr>
        <w:rPr>
          <w:rFonts w:hint="eastAsia"/>
          <w:lang w:val="en-US" w:eastAsia="zh-CN"/>
        </w:rPr>
      </w:pPr>
      <w:r>
        <w:rPr>
          <w:rFonts w:hint="eastAsia" w:ascii="宋体" w:hAnsi="宋体" w:eastAsia="宋体"/>
          <w:sz w:val="24"/>
        </w:rPr>
        <w:t>根据工程建设内容、施工方案及施工工艺特点</w:t>
      </w:r>
      <w:r>
        <w:rPr>
          <w:rFonts w:hint="eastAsia" w:ascii="宋体" w:hAnsi="宋体" w:eastAsia="宋体"/>
          <w:sz w:val="24"/>
          <w:lang w:eastAsia="zh-CN"/>
        </w:rPr>
        <w:t>，</w:t>
      </w:r>
      <w:r>
        <w:rPr>
          <w:rFonts w:hint="eastAsia" w:ascii="宋体" w:hAnsi="宋体" w:eastAsia="宋体"/>
          <w:sz w:val="24"/>
          <w:lang w:val="en-US" w:eastAsia="zh-CN"/>
        </w:rPr>
        <w:t>本项目</w:t>
      </w:r>
      <w:r>
        <w:rPr>
          <w:rFonts w:hint="default"/>
        </w:rPr>
        <w:t>施工期主要工程内容包括临时围堰、基坑开挖、基础施工、</w:t>
      </w:r>
      <w:r>
        <w:rPr>
          <w:rFonts w:hint="eastAsia"/>
          <w:lang w:eastAsia="zh-CN"/>
        </w:rPr>
        <w:t>桩基施工</w:t>
      </w:r>
      <w:r>
        <w:rPr>
          <w:rFonts w:hint="default"/>
        </w:rPr>
        <w:t>、码头梁系及板系施工</w:t>
      </w:r>
      <w:r>
        <w:rPr>
          <w:rFonts w:hint="eastAsia"/>
          <w:lang w:eastAsia="zh-CN"/>
        </w:rPr>
        <w:t>、</w:t>
      </w:r>
      <w:r>
        <w:rPr>
          <w:rFonts w:hint="default"/>
        </w:rPr>
        <w:t>回填土、港池开挖、拆除临时围堰，以及机械设备、电气、给排水等设施的购置和安装。</w:t>
      </w:r>
    </w:p>
    <w:p>
      <w:pPr>
        <w:rPr>
          <w:rFonts w:hint="eastAsia"/>
          <w:lang w:val="en-US" w:eastAsia="zh-CN"/>
        </w:rPr>
      </w:pPr>
      <w:r>
        <w:rPr>
          <w:rFonts w:hint="eastAsia"/>
          <w:lang w:val="en-US" w:eastAsia="zh-CN"/>
        </w:rPr>
        <w:t>一、本项目施工期工艺流程及产污节点图见图2.2-1。</w:t>
      </w:r>
    </w:p>
    <w:p>
      <w:pPr>
        <w:ind w:left="0" w:leftChars="0" w:firstLine="0" w:firstLineChars="0"/>
        <w:rPr>
          <w:rFonts w:hint="eastAsia" w:eastAsia="宋体"/>
          <w:lang w:eastAsia="zh-CN"/>
        </w:rPr>
      </w:pPr>
      <w:r>
        <w:rPr>
          <w:rFonts w:hint="eastAsia" w:eastAsia="宋体"/>
          <w:lang w:eastAsia="zh-CN"/>
        </w:rPr>
        <w:drawing>
          <wp:inline distT="0" distB="0" distL="114300" distR="114300">
            <wp:extent cx="5200650" cy="7124700"/>
            <wp:effectExtent l="0" t="0" r="0" b="0"/>
            <wp:docPr id="16" name="图片 16" descr="施工工艺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施工工艺流程"/>
                    <pic:cNvPicPr>
                      <a:picLocks noChangeAspect="1"/>
                    </pic:cNvPicPr>
                  </pic:nvPicPr>
                  <pic:blipFill>
                    <a:blip r:embed="rId21"/>
                    <a:stretch>
                      <a:fillRect/>
                    </a:stretch>
                  </pic:blipFill>
                  <pic:spPr>
                    <a:xfrm>
                      <a:off x="0" y="0"/>
                      <a:ext cx="5200650" cy="7124700"/>
                    </a:xfrm>
                    <a:prstGeom prst="rect">
                      <a:avLst/>
                    </a:prstGeom>
                  </pic:spPr>
                </pic:pic>
              </a:graphicData>
            </a:graphic>
          </wp:inline>
        </w:drawing>
      </w:r>
    </w:p>
    <w:p>
      <w:pPr>
        <w:jc w:val="center"/>
        <w:rPr>
          <w:rFonts w:hint="default" w:ascii="Times New Roman" w:hAnsi="Times New Roman" w:eastAsia="黑体" w:cs="Times New Roman"/>
          <w:color w:val="auto"/>
          <w:sz w:val="21"/>
          <w:szCs w:val="21"/>
          <w:shd w:val="clear" w:color="auto" w:fill="auto"/>
          <w:lang w:val="en-US" w:eastAsia="zh-CN"/>
        </w:rPr>
      </w:pPr>
      <w:r>
        <w:rPr>
          <w:rFonts w:hint="eastAsia" w:ascii="Times New Roman" w:hAnsi="Times New Roman" w:eastAsia="黑体" w:cs="Times New Roman"/>
          <w:color w:val="auto"/>
          <w:sz w:val="21"/>
          <w:szCs w:val="21"/>
          <w:shd w:val="clear" w:color="auto" w:fill="auto"/>
          <w:lang w:val="en-US" w:eastAsia="zh-CN"/>
        </w:rPr>
        <w:t xml:space="preserve">图2.2-1 </w:t>
      </w:r>
      <w:r>
        <w:rPr>
          <w:rFonts w:hint="default" w:ascii="Times New Roman" w:hAnsi="Times New Roman" w:eastAsia="黑体" w:cs="Times New Roman"/>
          <w:color w:val="auto"/>
          <w:sz w:val="21"/>
          <w:szCs w:val="21"/>
          <w:shd w:val="clear" w:color="auto" w:fill="auto"/>
          <w:lang w:val="en-US" w:eastAsia="zh-CN"/>
        </w:rPr>
        <w:t>施工期工艺流程及产污节点图</w:t>
      </w:r>
    </w:p>
    <w:p>
      <w:pPr>
        <w:bidi w:val="0"/>
        <w:rPr>
          <w:rFonts w:hint="default"/>
          <w:lang w:val="en-US" w:eastAsia="zh-CN"/>
        </w:rPr>
      </w:pPr>
      <w:r>
        <w:rPr>
          <w:rFonts w:hint="eastAsia"/>
          <w:lang w:val="en-US" w:eastAsia="zh-CN"/>
        </w:rPr>
        <w:t>二、本项目施工期产污环节见表2.2.1。</w:t>
      </w:r>
    </w:p>
    <w:p>
      <w:pPr>
        <w:jc w:val="center"/>
        <w:rPr>
          <w:rFonts w:hint="eastAsia" w:ascii="Times New Roman" w:hAnsi="Times New Roman" w:eastAsia="黑体" w:cs="Times New Roman"/>
          <w:color w:val="auto"/>
          <w:sz w:val="21"/>
          <w:szCs w:val="21"/>
          <w:shd w:val="clear" w:color="auto" w:fill="auto"/>
          <w:lang w:val="en-US" w:eastAsia="zh-CN"/>
        </w:rPr>
      </w:pPr>
      <w:r>
        <w:rPr>
          <w:rFonts w:hint="eastAsia" w:ascii="Times New Roman" w:hAnsi="Times New Roman" w:eastAsia="黑体" w:cs="Times New Roman"/>
          <w:color w:val="auto"/>
          <w:sz w:val="21"/>
          <w:szCs w:val="21"/>
          <w:shd w:val="clear" w:color="auto" w:fill="auto"/>
          <w:lang w:val="en-US" w:eastAsia="zh-CN"/>
        </w:rPr>
        <w:t>表2.2-1 施工期产污环节一览表</w:t>
      </w:r>
    </w:p>
    <w:tbl>
      <w:tblPr>
        <w:tblStyle w:val="2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2"/>
        <w:gridCol w:w="1050"/>
        <w:gridCol w:w="2550"/>
        <w:gridCol w:w="2031"/>
        <w:gridCol w:w="21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lang w:val="en-US" w:eastAsia="zh-CN"/>
              </w:rPr>
              <w:t>序号</w:t>
            </w:r>
          </w:p>
        </w:tc>
        <w:tc>
          <w:tcPr>
            <w:tcW w:w="10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类型</w:t>
            </w:r>
          </w:p>
        </w:tc>
        <w:tc>
          <w:tcPr>
            <w:tcW w:w="25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污染源</w:t>
            </w:r>
          </w:p>
        </w:tc>
        <w:tc>
          <w:tcPr>
            <w:tcW w:w="203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主要污染物</w:t>
            </w:r>
          </w:p>
        </w:tc>
        <w:tc>
          <w:tcPr>
            <w:tcW w:w="218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1</w:t>
            </w:r>
          </w:p>
        </w:tc>
        <w:tc>
          <w:tcPr>
            <w:tcW w:w="105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废气</w:t>
            </w:r>
          </w:p>
        </w:tc>
        <w:tc>
          <w:tcPr>
            <w:tcW w:w="25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场地平整、挖土</w:t>
            </w:r>
          </w:p>
        </w:tc>
        <w:tc>
          <w:tcPr>
            <w:tcW w:w="2031"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粉尘</w:t>
            </w:r>
          </w:p>
        </w:tc>
        <w:tc>
          <w:tcPr>
            <w:tcW w:w="2189"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空气环境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105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25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建筑材料运输、堆放</w:t>
            </w:r>
          </w:p>
        </w:tc>
        <w:tc>
          <w:tcPr>
            <w:tcW w:w="203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218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105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25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固体废物运输</w:t>
            </w:r>
          </w:p>
        </w:tc>
        <w:tc>
          <w:tcPr>
            <w:tcW w:w="203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218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2</w:t>
            </w:r>
          </w:p>
        </w:tc>
        <w:tc>
          <w:tcPr>
            <w:tcW w:w="105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废水</w:t>
            </w:r>
          </w:p>
        </w:tc>
        <w:tc>
          <w:tcPr>
            <w:tcW w:w="25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基坑排水</w:t>
            </w:r>
          </w:p>
        </w:tc>
        <w:tc>
          <w:tcPr>
            <w:tcW w:w="2031"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SS</w:t>
            </w:r>
          </w:p>
        </w:tc>
        <w:tc>
          <w:tcPr>
            <w:tcW w:w="2189"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地表水环境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105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25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疏浚造成的水体扰动</w:t>
            </w:r>
          </w:p>
        </w:tc>
        <w:tc>
          <w:tcPr>
            <w:tcW w:w="203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218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105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25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结构阶段混凝土养护排水</w:t>
            </w:r>
          </w:p>
        </w:tc>
        <w:tc>
          <w:tcPr>
            <w:tcW w:w="203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2189"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循环使用，不外排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105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25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各种车辆冲洗水</w:t>
            </w:r>
          </w:p>
        </w:tc>
        <w:tc>
          <w:tcPr>
            <w:tcW w:w="203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218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cs="Times New Roman"/>
                <w:b w:val="0"/>
                <w:bCs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105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25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抛泥区余水</w:t>
            </w:r>
          </w:p>
        </w:tc>
        <w:tc>
          <w:tcPr>
            <w:tcW w:w="203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218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cs="Times New Roman"/>
                <w:b w:val="0"/>
                <w:bCs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70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105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25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生活污水</w:t>
            </w:r>
          </w:p>
        </w:tc>
        <w:tc>
          <w:tcPr>
            <w:tcW w:w="203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COD、BOD</w:t>
            </w:r>
            <w:r>
              <w:rPr>
                <w:rFonts w:hint="eastAsia" w:ascii="Times New Roman" w:hAnsi="Times New Roman"/>
                <w:b w:val="0"/>
                <w:bCs w:val="0"/>
                <w:sz w:val="21"/>
                <w:szCs w:val="21"/>
                <w:vertAlign w:val="subscript"/>
                <w:lang w:val="en-US" w:eastAsia="zh-CN"/>
              </w:rPr>
              <w:t>5</w:t>
            </w:r>
            <w:r>
              <w:rPr>
                <w:rFonts w:hint="eastAsia" w:ascii="Times New Roman" w:hAnsi="Times New Roman"/>
                <w:b w:val="0"/>
                <w:bCs w:val="0"/>
                <w:sz w:val="21"/>
                <w:szCs w:val="21"/>
                <w:lang w:val="en-US" w:eastAsia="zh-CN"/>
              </w:rPr>
              <w:t>、NH</w:t>
            </w:r>
            <w:r>
              <w:rPr>
                <w:rFonts w:hint="eastAsia" w:ascii="Times New Roman" w:hAnsi="Times New Roman"/>
                <w:b w:val="0"/>
                <w:bCs w:val="0"/>
                <w:sz w:val="21"/>
                <w:szCs w:val="21"/>
                <w:vertAlign w:val="subscript"/>
                <w:lang w:val="en-US" w:eastAsia="zh-CN"/>
              </w:rPr>
              <w:t>3</w:t>
            </w:r>
            <w:r>
              <w:rPr>
                <w:rFonts w:hint="eastAsia" w:ascii="Times New Roman" w:hAnsi="Times New Roman"/>
                <w:b w:val="0"/>
                <w:bCs w:val="0"/>
                <w:sz w:val="21"/>
                <w:szCs w:val="21"/>
                <w:lang w:val="en-US" w:eastAsia="zh-CN"/>
              </w:rPr>
              <w:t>-N、SS</w:t>
            </w:r>
          </w:p>
        </w:tc>
        <w:tc>
          <w:tcPr>
            <w:tcW w:w="218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经临时化粪池预处理后定期由清掏车外运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3</w:t>
            </w:r>
          </w:p>
        </w:tc>
        <w:tc>
          <w:tcPr>
            <w:tcW w:w="105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噪声</w:t>
            </w:r>
          </w:p>
        </w:tc>
        <w:tc>
          <w:tcPr>
            <w:tcW w:w="25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施工机械</w:t>
            </w:r>
          </w:p>
        </w:tc>
        <w:tc>
          <w:tcPr>
            <w:tcW w:w="2031"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噪声</w:t>
            </w:r>
          </w:p>
        </w:tc>
        <w:tc>
          <w:tcPr>
            <w:tcW w:w="2189"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105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25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运输车辆</w:t>
            </w:r>
          </w:p>
        </w:tc>
        <w:tc>
          <w:tcPr>
            <w:tcW w:w="203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218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4</w:t>
            </w:r>
          </w:p>
        </w:tc>
        <w:tc>
          <w:tcPr>
            <w:tcW w:w="105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固体废物</w:t>
            </w:r>
          </w:p>
        </w:tc>
        <w:tc>
          <w:tcPr>
            <w:tcW w:w="25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建筑施工</w:t>
            </w:r>
          </w:p>
        </w:tc>
        <w:tc>
          <w:tcPr>
            <w:tcW w:w="203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建筑材料</w:t>
            </w:r>
          </w:p>
        </w:tc>
        <w:tc>
          <w:tcPr>
            <w:tcW w:w="218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集中堆放及时清理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105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p>
        </w:tc>
        <w:tc>
          <w:tcPr>
            <w:tcW w:w="25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员工</w:t>
            </w:r>
          </w:p>
        </w:tc>
        <w:tc>
          <w:tcPr>
            <w:tcW w:w="203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生活垃圾</w:t>
            </w:r>
          </w:p>
        </w:tc>
        <w:tc>
          <w:tcPr>
            <w:tcW w:w="218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环卫部门清运</w:t>
            </w:r>
          </w:p>
        </w:tc>
      </w:tr>
    </w:tbl>
    <w:p>
      <w:pPr>
        <w:pStyle w:val="6"/>
        <w:rPr>
          <w:rFonts w:hint="eastAsia"/>
          <w:lang w:val="en-US" w:eastAsia="zh-CN"/>
        </w:rPr>
      </w:pPr>
      <w:r>
        <w:rPr>
          <w:rFonts w:hint="eastAsia"/>
          <w:lang w:val="en-US" w:eastAsia="zh-CN"/>
        </w:rPr>
        <w:t>2.2.1.2营运期生产工艺流程及产污环节</w:t>
      </w:r>
    </w:p>
    <w:p>
      <w:pPr>
        <w:rPr>
          <w:rFonts w:hint="eastAsia"/>
          <w:b w:val="0"/>
          <w:bCs w:val="0"/>
          <w:lang w:val="en-US" w:eastAsia="zh-CN"/>
        </w:rPr>
      </w:pPr>
      <w:r>
        <w:rPr>
          <w:rFonts w:hint="eastAsia"/>
          <w:b w:val="0"/>
          <w:bCs w:val="0"/>
          <w:lang w:val="en-US" w:eastAsia="zh-CN"/>
        </w:rPr>
        <w:t>一、</w:t>
      </w:r>
      <w:r>
        <w:rPr>
          <w:rFonts w:hint="eastAsia"/>
          <w:b w:val="0"/>
          <w:bCs w:val="0"/>
        </w:rPr>
        <w:t>装卸工艺</w:t>
      </w:r>
      <w:r>
        <w:rPr>
          <w:rFonts w:hint="eastAsia"/>
          <w:b w:val="0"/>
          <w:bCs w:val="0"/>
          <w:lang w:val="en-US" w:eastAsia="zh-CN"/>
        </w:rPr>
        <w:t>方案</w:t>
      </w:r>
    </w:p>
    <w:p>
      <w:pPr>
        <w:rPr>
          <w:rFonts w:hint="eastAsia"/>
          <w:color w:val="auto"/>
          <w:shd w:val="clear" w:color="auto" w:fill="auto"/>
          <w:lang w:val="en-US" w:eastAsia="zh-CN"/>
        </w:rPr>
      </w:pPr>
      <w:r>
        <w:rPr>
          <w:rFonts w:hint="eastAsia"/>
          <w:lang w:val="en-US" w:eastAsia="zh-CN"/>
        </w:rPr>
        <w:t>见第2.1.4.2章节。</w:t>
      </w:r>
    </w:p>
    <w:p>
      <w:pPr>
        <w:rPr>
          <w:rFonts w:hint="default" w:eastAsia="宋体"/>
          <w:color w:val="auto"/>
          <w:shd w:val="clear" w:color="auto" w:fill="auto"/>
          <w:lang w:val="en-US" w:eastAsia="zh-CN"/>
        </w:rPr>
      </w:pPr>
      <w:r>
        <w:rPr>
          <w:rFonts w:hint="eastAsia"/>
          <w:color w:val="auto"/>
          <w:shd w:val="clear" w:color="auto" w:fill="auto"/>
          <w:lang w:val="en-US" w:eastAsia="zh-CN"/>
        </w:rPr>
        <w:t>二、项目运营期装卸工艺流程及产污节点图如下：</w:t>
      </w:r>
    </w:p>
    <w:p>
      <w:pPr>
        <w:ind w:left="0" w:leftChars="0" w:firstLine="0" w:firstLineChars="0"/>
        <w:jc w:val="center"/>
        <w:rPr>
          <w:rFonts w:hint="eastAsia" w:eastAsia="宋体"/>
          <w:color w:val="auto"/>
          <w:shd w:val="clear" w:color="auto" w:fill="auto"/>
          <w:lang w:eastAsia="zh-CN"/>
        </w:rPr>
      </w:pPr>
      <w:r>
        <w:rPr>
          <w:rFonts w:hint="eastAsia" w:eastAsia="宋体"/>
          <w:color w:val="auto"/>
          <w:shd w:val="clear" w:color="auto" w:fill="auto"/>
          <w:lang w:eastAsia="zh-CN"/>
        </w:rPr>
        <w:drawing>
          <wp:inline distT="0" distB="0" distL="114300" distR="114300">
            <wp:extent cx="5147310" cy="2114550"/>
            <wp:effectExtent l="0" t="0" r="15240" b="0"/>
            <wp:docPr id="11" name="图片 4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6" descr="图片1"/>
                    <pic:cNvPicPr>
                      <a:picLocks noChangeAspect="1"/>
                    </pic:cNvPicPr>
                  </pic:nvPicPr>
                  <pic:blipFill>
                    <a:blip r:embed="rId22"/>
                    <a:srcRect l="2348" b="2632"/>
                    <a:stretch>
                      <a:fillRect/>
                    </a:stretch>
                  </pic:blipFill>
                  <pic:spPr>
                    <a:xfrm>
                      <a:off x="0" y="0"/>
                      <a:ext cx="5147310" cy="2114550"/>
                    </a:xfrm>
                    <a:prstGeom prst="rect">
                      <a:avLst/>
                    </a:prstGeom>
                    <a:noFill/>
                    <a:ln>
                      <a:noFill/>
                    </a:ln>
                  </pic:spPr>
                </pic:pic>
              </a:graphicData>
            </a:graphic>
          </wp:inline>
        </w:drawing>
      </w:r>
    </w:p>
    <w:p>
      <w:pPr>
        <w:jc w:val="center"/>
        <w:rPr>
          <w:rFonts w:hint="eastAsia"/>
          <w:lang w:val="en-US" w:eastAsia="zh-CN"/>
        </w:rPr>
      </w:pPr>
      <w:r>
        <w:rPr>
          <w:rFonts w:hint="eastAsia" w:eastAsia="黑体"/>
          <w:color w:val="auto"/>
          <w:sz w:val="21"/>
          <w:szCs w:val="21"/>
          <w:shd w:val="clear" w:color="auto" w:fill="auto"/>
          <w:lang w:val="en-US" w:eastAsia="zh-CN"/>
        </w:rPr>
        <w:t>图2.2-2 本项目装卸工艺流程及产污节点图</w:t>
      </w:r>
    </w:p>
    <w:p>
      <w:pPr>
        <w:pStyle w:val="5"/>
        <w:bidi w:val="0"/>
        <w:rPr>
          <w:rFonts w:hint="eastAsia"/>
        </w:rPr>
      </w:pPr>
      <w:r>
        <w:rPr>
          <w:rFonts w:hint="eastAsia"/>
          <w:color w:val="auto"/>
          <w:shd w:val="clear" w:color="auto" w:fill="auto"/>
          <w:lang w:val="en-US" w:eastAsia="zh-CN"/>
        </w:rPr>
        <w:t>2.2</w:t>
      </w: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 xml:space="preserve"> 施工期工程分析</w:t>
      </w:r>
      <w:bookmarkEnd w:id="223"/>
      <w:bookmarkEnd w:id="224"/>
    </w:p>
    <w:p>
      <w:pPr>
        <w:pStyle w:val="6"/>
        <w:rPr>
          <w:rFonts w:hint="eastAsia" w:eastAsia="宋体"/>
          <w:color w:val="auto"/>
          <w:shd w:val="clear" w:color="auto" w:fill="auto"/>
          <w:lang w:val="en-US" w:eastAsia="zh-CN"/>
        </w:rPr>
      </w:pPr>
      <w:r>
        <w:rPr>
          <w:rFonts w:hint="eastAsia"/>
          <w:color w:val="auto"/>
          <w:shd w:val="clear" w:color="auto" w:fill="auto"/>
          <w:lang w:val="en-US" w:eastAsia="zh-CN"/>
        </w:rPr>
        <w:t>2.2.2.1废气</w:t>
      </w:r>
    </w:p>
    <w:p>
      <w:pPr>
        <w:bidi w:val="0"/>
        <w:rPr>
          <w:color w:val="auto"/>
          <w:shd w:val="clear" w:color="auto" w:fill="auto"/>
        </w:rPr>
      </w:pPr>
      <w:r>
        <w:rPr>
          <w:color w:val="auto"/>
          <w:shd w:val="clear" w:color="auto" w:fill="auto"/>
        </w:rPr>
        <w:t>（</w:t>
      </w:r>
      <w:r>
        <w:rPr>
          <w:rFonts w:hint="eastAsia"/>
          <w:color w:val="auto"/>
          <w:shd w:val="clear" w:color="auto" w:fill="auto"/>
        </w:rPr>
        <w:t>1</w:t>
      </w:r>
      <w:r>
        <w:rPr>
          <w:color w:val="auto"/>
          <w:shd w:val="clear" w:color="auto" w:fill="auto"/>
        </w:rPr>
        <w:t>）施工粉尘</w:t>
      </w:r>
    </w:p>
    <w:p>
      <w:pPr>
        <w:rPr>
          <w:rFonts w:hint="eastAsia" w:eastAsia="宋体"/>
          <w:color w:val="auto"/>
          <w:shd w:val="clear" w:color="auto" w:fill="auto"/>
          <w:lang w:eastAsia="zh-CN"/>
        </w:rPr>
      </w:pPr>
      <w:r>
        <w:rPr>
          <w:rFonts w:hint="eastAsia"/>
          <w:b w:val="0"/>
          <w:bCs w:val="0"/>
          <w:color w:val="auto"/>
          <w:shd w:val="clear" w:color="auto" w:fill="auto"/>
          <w:lang w:eastAsia="zh-CN"/>
        </w:rPr>
        <w:t>本项目采用商品混凝土，不设置</w:t>
      </w:r>
      <w:r>
        <w:rPr>
          <w:b w:val="0"/>
          <w:bCs w:val="0"/>
          <w:color w:val="auto"/>
          <w:shd w:val="clear" w:color="auto" w:fill="auto"/>
        </w:rPr>
        <w:t>混凝土搅拌站</w:t>
      </w:r>
      <w:r>
        <w:rPr>
          <w:rFonts w:hint="eastAsia"/>
          <w:b w:val="0"/>
          <w:bCs w:val="0"/>
          <w:color w:val="auto"/>
          <w:shd w:val="clear" w:color="auto" w:fill="auto"/>
          <w:lang w:eastAsia="zh-CN"/>
        </w:rPr>
        <w:t>。项</w:t>
      </w:r>
      <w:r>
        <w:rPr>
          <w:rFonts w:hint="eastAsia"/>
          <w:color w:val="auto"/>
          <w:shd w:val="clear" w:color="auto" w:fill="auto"/>
          <w:lang w:eastAsia="zh-CN"/>
        </w:rPr>
        <w:t>目施工粉尘主要为</w:t>
      </w:r>
      <w:r>
        <w:rPr>
          <w:rFonts w:hint="eastAsia" w:ascii="Times New Roman" w:hAnsi="Times New Roman" w:eastAsia="宋体" w:cs="Times New Roman"/>
          <w:color w:val="auto"/>
          <w:sz w:val="24"/>
          <w:szCs w:val="24"/>
          <w:shd w:val="clear" w:color="auto" w:fill="auto"/>
          <w:lang w:val="en-US" w:eastAsia="zh-CN"/>
        </w:rPr>
        <w:t>建</w:t>
      </w:r>
      <w:r>
        <w:rPr>
          <w:rFonts w:hint="default" w:ascii="Times New Roman" w:hAnsi="Times New Roman" w:eastAsia="宋体" w:cs="Times New Roman"/>
          <w:color w:val="auto"/>
          <w:sz w:val="24"/>
          <w:szCs w:val="24"/>
          <w:shd w:val="clear" w:color="auto" w:fill="auto"/>
        </w:rPr>
        <w:t>筑材料运输、卸载中的扬尘，临时物料堆场和裸露场地产生的风蚀扬尘。</w:t>
      </w:r>
    </w:p>
    <w:p>
      <w:pPr>
        <w:pStyle w:val="42"/>
        <w:spacing w:line="360" w:lineRule="auto"/>
        <w:ind w:firstLine="480"/>
        <w:rPr>
          <w:rFonts w:eastAsia="宋体"/>
          <w:color w:val="auto"/>
          <w:sz w:val="24"/>
          <w:shd w:val="clear" w:color="auto" w:fill="auto"/>
        </w:rPr>
      </w:pPr>
      <w:r>
        <w:rPr>
          <w:rFonts w:eastAsia="宋体"/>
          <w:color w:val="auto"/>
          <w:sz w:val="24"/>
          <w:shd w:val="clear" w:color="auto" w:fill="auto"/>
        </w:rPr>
        <w:t>运送弃土和施工材料的车辆行使易产生道路扬尘，行车道两侧扬尘短期内浓度会超过《环境空气质量标准》</w:t>
      </w:r>
      <w:r>
        <w:rPr>
          <w:rFonts w:hint="eastAsia" w:eastAsia="宋体"/>
          <w:color w:val="auto"/>
          <w:sz w:val="24"/>
          <w:shd w:val="clear" w:color="auto" w:fill="auto"/>
          <w:lang w:eastAsia="zh-CN"/>
        </w:rPr>
        <w:t>（</w:t>
      </w:r>
      <w:r>
        <w:rPr>
          <w:rFonts w:eastAsia="宋体"/>
          <w:color w:val="auto"/>
          <w:sz w:val="24"/>
          <w:shd w:val="clear" w:color="auto" w:fill="auto"/>
        </w:rPr>
        <w:t>GB3095-1996</w:t>
      </w:r>
      <w:r>
        <w:rPr>
          <w:rFonts w:hint="eastAsia" w:eastAsia="宋体"/>
          <w:color w:val="auto"/>
          <w:sz w:val="24"/>
          <w:shd w:val="clear" w:color="auto" w:fill="auto"/>
          <w:lang w:eastAsia="zh-CN"/>
        </w:rPr>
        <w:t>）</w:t>
      </w:r>
      <w:r>
        <w:rPr>
          <w:rFonts w:eastAsia="宋体"/>
          <w:color w:val="auto"/>
          <w:sz w:val="24"/>
          <w:shd w:val="clear" w:color="auto" w:fill="auto"/>
        </w:rPr>
        <w:t>中的二级标准，但运输及卸载过程中产生的扬尘点高度较低，且道路扬尘浓度随离扬尘点距离的增加而迅速下降。因此，道路扬尘对环境空气的影响范围较小，影响范围通常不超过100</w:t>
      </w:r>
      <w:r>
        <w:rPr>
          <w:rFonts w:hint="eastAsia" w:eastAsia="宋体"/>
          <w:color w:val="auto"/>
          <w:sz w:val="24"/>
          <w:shd w:val="clear" w:color="auto" w:fill="auto"/>
          <w:lang w:eastAsia="zh-CN"/>
        </w:rPr>
        <w:t>m</w:t>
      </w:r>
      <w:r>
        <w:rPr>
          <w:rFonts w:eastAsia="宋体"/>
          <w:color w:val="auto"/>
          <w:sz w:val="24"/>
          <w:shd w:val="clear" w:color="auto" w:fill="auto"/>
        </w:rPr>
        <w:t>。</w:t>
      </w:r>
    </w:p>
    <w:p>
      <w:pPr>
        <w:pStyle w:val="42"/>
        <w:spacing w:line="360" w:lineRule="auto"/>
        <w:ind w:firstLine="480"/>
        <w:rPr>
          <w:rFonts w:eastAsia="宋体"/>
          <w:color w:val="auto"/>
          <w:sz w:val="24"/>
          <w:shd w:val="clear" w:color="auto" w:fill="auto"/>
        </w:rPr>
      </w:pPr>
      <w:r>
        <w:rPr>
          <w:rFonts w:eastAsia="宋体"/>
          <w:color w:val="auto"/>
          <w:sz w:val="24"/>
          <w:shd w:val="clear" w:color="auto" w:fill="auto"/>
        </w:rPr>
        <w:t>挖方挖出的泥土及其它物料临时堆场，由于施工活动使港区原较为稳定的地表土层翻动，在干燥无雨及大风气象条件下，施工地面和堆置的土石方易产生风蚀扬尘。</w:t>
      </w:r>
    </w:p>
    <w:p>
      <w:pPr>
        <w:ind w:firstLine="480"/>
        <w:rPr>
          <w:color w:val="auto"/>
          <w:shd w:val="clear" w:color="auto" w:fill="auto"/>
        </w:rPr>
      </w:pPr>
      <w:r>
        <w:rPr>
          <w:rFonts w:hint="eastAsia"/>
          <w:color w:val="auto"/>
          <w:shd w:val="clear" w:color="auto" w:fill="auto"/>
        </w:rPr>
        <w:t>（2）</w:t>
      </w:r>
      <w:r>
        <w:rPr>
          <w:color w:val="auto"/>
          <w:shd w:val="clear" w:color="auto" w:fill="auto"/>
        </w:rPr>
        <w:t>施工</w:t>
      </w:r>
      <w:r>
        <w:rPr>
          <w:rFonts w:hint="eastAsia"/>
          <w:color w:val="auto"/>
          <w:shd w:val="clear" w:color="auto" w:fill="auto"/>
        </w:rPr>
        <w:t>车辆</w:t>
      </w:r>
      <w:r>
        <w:rPr>
          <w:color w:val="auto"/>
          <w:shd w:val="clear" w:color="auto" w:fill="auto"/>
        </w:rPr>
        <w:t>废气</w:t>
      </w:r>
    </w:p>
    <w:p>
      <w:pPr>
        <w:ind w:firstLine="480"/>
        <w:rPr>
          <w:rFonts w:hint="eastAsia"/>
          <w:color w:val="auto"/>
          <w:shd w:val="clear" w:color="auto" w:fill="auto"/>
        </w:rPr>
      </w:pPr>
      <w:r>
        <w:rPr>
          <w:color w:val="auto"/>
          <w:shd w:val="clear" w:color="auto" w:fill="auto"/>
        </w:rPr>
        <w:t>施工运输车辆会带来汽车尾气污染。汽车的汽柴油发动机排放的尾气也是重要的废气污染源，主要污染物为SO</w:t>
      </w:r>
      <w:r>
        <w:rPr>
          <w:color w:val="auto"/>
          <w:shd w:val="clear" w:color="auto" w:fill="auto"/>
          <w:vertAlign w:val="subscript"/>
        </w:rPr>
        <w:t>2</w:t>
      </w:r>
      <w:r>
        <w:rPr>
          <w:color w:val="auto"/>
          <w:shd w:val="clear" w:color="auto" w:fill="auto"/>
        </w:rPr>
        <w:t>、CO、NOx和烃类。一般施工采用柴油汽车</w:t>
      </w:r>
      <w:r>
        <w:rPr>
          <w:rFonts w:hint="eastAsia"/>
          <w:color w:val="auto"/>
          <w:shd w:val="clear" w:color="auto" w:fill="auto"/>
        </w:rPr>
        <w:t>，</w:t>
      </w:r>
      <w:r>
        <w:rPr>
          <w:color w:val="auto"/>
          <w:shd w:val="clear" w:color="auto" w:fill="auto"/>
        </w:rPr>
        <w:t>按8t载重车型为例，</w:t>
      </w:r>
      <w:r>
        <w:rPr>
          <w:rFonts w:hint="eastAsia"/>
          <w:color w:val="auto"/>
          <w:shd w:val="clear" w:color="auto" w:fill="auto"/>
        </w:rPr>
        <w:t>其污染物</w:t>
      </w:r>
      <w:r>
        <w:rPr>
          <w:rFonts w:hint="eastAsia"/>
          <w:color w:val="auto"/>
          <w:spacing w:val="-2"/>
          <w:shd w:val="clear" w:color="auto" w:fill="auto"/>
        </w:rPr>
        <w:t>排放情况具体见</w:t>
      </w:r>
      <w:r>
        <w:rPr>
          <w:rFonts w:hint="eastAsia"/>
          <w:color w:val="auto"/>
          <w:shd w:val="clear" w:color="auto" w:fill="auto"/>
        </w:rPr>
        <w:t>下表。</w:t>
      </w:r>
    </w:p>
    <w:p>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eastAsia" w:ascii="Times New Roman" w:hAnsi="Times New Roman" w:eastAsia="黑体" w:cs="Times New Roman"/>
          <w:color w:val="auto"/>
          <w:sz w:val="21"/>
          <w:szCs w:val="21"/>
          <w:shd w:val="clear" w:color="auto" w:fill="auto"/>
          <w:lang w:val="en-US" w:eastAsia="zh-CN"/>
        </w:rPr>
      </w:pPr>
      <w:r>
        <w:rPr>
          <w:rFonts w:hint="eastAsia" w:ascii="Times New Roman" w:hAnsi="Times New Roman" w:eastAsia="黑体" w:cs="Times New Roman"/>
          <w:color w:val="auto"/>
          <w:sz w:val="21"/>
          <w:szCs w:val="21"/>
          <w:shd w:val="clear" w:color="auto" w:fill="auto"/>
          <w:lang w:val="en-US" w:eastAsia="zh-CN"/>
        </w:rPr>
        <w:t>表2.2-2  机动车污染物排放情况</w:t>
      </w:r>
    </w:p>
    <w:tbl>
      <w:tblPr>
        <w:tblStyle w:val="2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6"/>
        <w:gridCol w:w="2463"/>
        <w:gridCol w:w="2329"/>
        <w:gridCol w:w="22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6" w:type="dxa"/>
            <w:vAlign w:val="center"/>
          </w:tcPr>
          <w:p>
            <w:pPr>
              <w:pStyle w:val="44"/>
              <w:rPr>
                <w:color w:val="auto"/>
                <w:shd w:val="clear" w:color="auto" w:fill="auto"/>
              </w:rPr>
            </w:pPr>
            <w:r>
              <w:rPr>
                <w:rFonts w:hint="eastAsia"/>
                <w:color w:val="auto"/>
                <w:shd w:val="clear" w:color="auto" w:fill="auto"/>
              </w:rPr>
              <w:t>污染物类别</w:t>
            </w:r>
          </w:p>
        </w:tc>
        <w:tc>
          <w:tcPr>
            <w:tcW w:w="2463" w:type="dxa"/>
            <w:vAlign w:val="center"/>
          </w:tcPr>
          <w:p>
            <w:pPr>
              <w:pStyle w:val="44"/>
              <w:rPr>
                <w:color w:val="auto"/>
                <w:shd w:val="clear" w:color="auto" w:fill="auto"/>
              </w:rPr>
            </w:pPr>
            <w:r>
              <w:rPr>
                <w:rFonts w:hint="eastAsia"/>
                <w:color w:val="auto"/>
                <w:shd w:val="clear" w:color="auto" w:fill="auto"/>
              </w:rPr>
              <w:t>污染物排放量（g/L汽油）</w:t>
            </w:r>
          </w:p>
        </w:tc>
        <w:tc>
          <w:tcPr>
            <w:tcW w:w="2329" w:type="dxa"/>
            <w:vAlign w:val="center"/>
          </w:tcPr>
          <w:p>
            <w:pPr>
              <w:pStyle w:val="44"/>
              <w:rPr>
                <w:color w:val="auto"/>
                <w:shd w:val="clear" w:color="auto" w:fill="auto"/>
              </w:rPr>
            </w:pPr>
            <w:r>
              <w:rPr>
                <w:rFonts w:hint="eastAsia"/>
                <w:color w:val="auto"/>
                <w:shd w:val="clear" w:color="auto" w:fill="auto"/>
              </w:rPr>
              <w:t>污染物排放量（g/L柴油）</w:t>
            </w:r>
          </w:p>
        </w:tc>
        <w:tc>
          <w:tcPr>
            <w:tcW w:w="2244" w:type="dxa"/>
            <w:vAlign w:val="center"/>
          </w:tcPr>
          <w:p>
            <w:pPr>
              <w:pStyle w:val="44"/>
              <w:rPr>
                <w:color w:val="auto"/>
                <w:shd w:val="clear" w:color="auto" w:fill="auto"/>
              </w:rPr>
            </w:pPr>
            <w:r>
              <w:rPr>
                <w:rFonts w:hint="eastAsia"/>
                <w:color w:val="auto"/>
                <w:shd w:val="clear" w:color="auto" w:fill="auto"/>
              </w:rPr>
              <w:t>8吨柴油载重车排放量（g/100</w:t>
            </w:r>
            <w:r>
              <w:rPr>
                <w:rFonts w:hint="eastAsia"/>
                <w:color w:val="auto"/>
                <w:shd w:val="clear" w:color="auto" w:fill="auto"/>
                <w:lang w:eastAsia="zh-CN"/>
              </w:rPr>
              <w:t>km</w:t>
            </w:r>
            <w:r>
              <w:rPr>
                <w:rFonts w:hint="eastAsia"/>
                <w:color w:val="auto"/>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6" w:type="dxa"/>
            <w:vAlign w:val="center"/>
          </w:tcPr>
          <w:p>
            <w:pPr>
              <w:pStyle w:val="44"/>
              <w:rPr>
                <w:color w:val="auto"/>
                <w:shd w:val="clear" w:color="auto" w:fill="auto"/>
              </w:rPr>
            </w:pPr>
            <w:r>
              <w:rPr>
                <w:rFonts w:hint="eastAsia"/>
                <w:color w:val="auto"/>
                <w:shd w:val="clear" w:color="auto" w:fill="auto"/>
              </w:rPr>
              <w:t>SO</w:t>
            </w:r>
            <w:r>
              <w:rPr>
                <w:rFonts w:hint="eastAsia"/>
                <w:color w:val="auto"/>
                <w:shd w:val="clear" w:color="auto" w:fill="auto"/>
                <w:vertAlign w:val="subscript"/>
              </w:rPr>
              <w:t>2</w:t>
            </w:r>
          </w:p>
        </w:tc>
        <w:tc>
          <w:tcPr>
            <w:tcW w:w="2463" w:type="dxa"/>
            <w:vAlign w:val="center"/>
          </w:tcPr>
          <w:p>
            <w:pPr>
              <w:pStyle w:val="44"/>
              <w:rPr>
                <w:color w:val="auto"/>
                <w:shd w:val="clear" w:color="auto" w:fill="auto"/>
              </w:rPr>
            </w:pPr>
            <w:r>
              <w:rPr>
                <w:rFonts w:hint="eastAsia"/>
                <w:color w:val="auto"/>
                <w:shd w:val="clear" w:color="auto" w:fill="auto"/>
              </w:rPr>
              <w:t>0.295</w:t>
            </w:r>
          </w:p>
        </w:tc>
        <w:tc>
          <w:tcPr>
            <w:tcW w:w="2329" w:type="dxa"/>
            <w:vAlign w:val="center"/>
          </w:tcPr>
          <w:p>
            <w:pPr>
              <w:pStyle w:val="44"/>
              <w:rPr>
                <w:color w:val="auto"/>
                <w:shd w:val="clear" w:color="auto" w:fill="auto"/>
              </w:rPr>
            </w:pPr>
            <w:r>
              <w:rPr>
                <w:rFonts w:hint="eastAsia"/>
                <w:color w:val="auto"/>
                <w:shd w:val="clear" w:color="auto" w:fill="auto"/>
              </w:rPr>
              <w:t>3.24</w:t>
            </w:r>
          </w:p>
        </w:tc>
        <w:tc>
          <w:tcPr>
            <w:tcW w:w="2244" w:type="dxa"/>
            <w:vAlign w:val="center"/>
          </w:tcPr>
          <w:p>
            <w:pPr>
              <w:pStyle w:val="44"/>
              <w:rPr>
                <w:color w:val="auto"/>
                <w:shd w:val="clear" w:color="auto" w:fill="auto"/>
              </w:rPr>
            </w:pPr>
            <w:r>
              <w:rPr>
                <w:rFonts w:hint="eastAsia"/>
                <w:color w:val="auto"/>
                <w:shd w:val="clear" w:color="auto" w:fill="auto"/>
              </w:rPr>
              <w:t>97.82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6" w:type="dxa"/>
            <w:vAlign w:val="center"/>
          </w:tcPr>
          <w:p>
            <w:pPr>
              <w:pStyle w:val="44"/>
              <w:rPr>
                <w:color w:val="auto"/>
                <w:shd w:val="clear" w:color="auto" w:fill="auto"/>
              </w:rPr>
            </w:pPr>
            <w:r>
              <w:rPr>
                <w:rFonts w:hint="eastAsia"/>
                <w:color w:val="auto"/>
                <w:shd w:val="clear" w:color="auto" w:fill="auto"/>
              </w:rPr>
              <w:t>NO</w:t>
            </w:r>
            <w:r>
              <w:rPr>
                <w:rFonts w:hint="eastAsia"/>
                <w:color w:val="auto"/>
                <w:shd w:val="clear" w:color="auto" w:fill="auto"/>
                <w:vertAlign w:val="subscript"/>
              </w:rPr>
              <w:t>X</w:t>
            </w:r>
          </w:p>
        </w:tc>
        <w:tc>
          <w:tcPr>
            <w:tcW w:w="2463" w:type="dxa"/>
            <w:vAlign w:val="center"/>
          </w:tcPr>
          <w:p>
            <w:pPr>
              <w:pStyle w:val="44"/>
              <w:rPr>
                <w:color w:val="auto"/>
                <w:shd w:val="clear" w:color="auto" w:fill="auto"/>
              </w:rPr>
            </w:pPr>
            <w:r>
              <w:rPr>
                <w:rFonts w:hint="eastAsia"/>
                <w:color w:val="auto"/>
                <w:shd w:val="clear" w:color="auto" w:fill="auto"/>
              </w:rPr>
              <w:t>21.1</w:t>
            </w:r>
          </w:p>
        </w:tc>
        <w:tc>
          <w:tcPr>
            <w:tcW w:w="2329" w:type="dxa"/>
            <w:vAlign w:val="center"/>
          </w:tcPr>
          <w:p>
            <w:pPr>
              <w:pStyle w:val="44"/>
              <w:rPr>
                <w:color w:val="auto"/>
                <w:shd w:val="clear" w:color="auto" w:fill="auto"/>
              </w:rPr>
            </w:pPr>
            <w:r>
              <w:rPr>
                <w:rFonts w:hint="eastAsia"/>
                <w:color w:val="auto"/>
                <w:shd w:val="clear" w:color="auto" w:fill="auto"/>
              </w:rPr>
              <w:t>44.4</w:t>
            </w:r>
          </w:p>
        </w:tc>
        <w:tc>
          <w:tcPr>
            <w:tcW w:w="2244" w:type="dxa"/>
            <w:vAlign w:val="center"/>
          </w:tcPr>
          <w:p>
            <w:pPr>
              <w:pStyle w:val="44"/>
              <w:rPr>
                <w:color w:val="auto"/>
                <w:shd w:val="clear" w:color="auto" w:fill="auto"/>
              </w:rPr>
            </w:pPr>
            <w:r>
              <w:rPr>
                <w:rFonts w:hint="eastAsia"/>
                <w:color w:val="auto"/>
                <w:shd w:val="clear" w:color="auto" w:fill="auto"/>
              </w:rPr>
              <w:t>1340.44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6" w:type="dxa"/>
            <w:vAlign w:val="center"/>
          </w:tcPr>
          <w:p>
            <w:pPr>
              <w:pStyle w:val="44"/>
              <w:rPr>
                <w:color w:val="auto"/>
                <w:shd w:val="clear" w:color="auto" w:fill="auto"/>
              </w:rPr>
            </w:pPr>
            <w:r>
              <w:rPr>
                <w:rFonts w:hint="eastAsia"/>
                <w:color w:val="auto"/>
                <w:shd w:val="clear" w:color="auto" w:fill="auto"/>
              </w:rPr>
              <w:t>CO</w:t>
            </w:r>
          </w:p>
        </w:tc>
        <w:tc>
          <w:tcPr>
            <w:tcW w:w="2463" w:type="dxa"/>
            <w:vAlign w:val="center"/>
          </w:tcPr>
          <w:p>
            <w:pPr>
              <w:pStyle w:val="44"/>
              <w:rPr>
                <w:color w:val="auto"/>
                <w:shd w:val="clear" w:color="auto" w:fill="auto"/>
              </w:rPr>
            </w:pPr>
            <w:r>
              <w:rPr>
                <w:rFonts w:hint="eastAsia"/>
                <w:color w:val="auto"/>
                <w:shd w:val="clear" w:color="auto" w:fill="auto"/>
              </w:rPr>
              <w:t>169.0</w:t>
            </w:r>
          </w:p>
        </w:tc>
        <w:tc>
          <w:tcPr>
            <w:tcW w:w="2329" w:type="dxa"/>
            <w:vAlign w:val="center"/>
          </w:tcPr>
          <w:p>
            <w:pPr>
              <w:pStyle w:val="44"/>
              <w:rPr>
                <w:color w:val="auto"/>
                <w:shd w:val="clear" w:color="auto" w:fill="auto"/>
              </w:rPr>
            </w:pPr>
            <w:r>
              <w:rPr>
                <w:rFonts w:hint="eastAsia"/>
                <w:color w:val="auto"/>
                <w:shd w:val="clear" w:color="auto" w:fill="auto"/>
              </w:rPr>
              <w:t>27.0</w:t>
            </w:r>
          </w:p>
        </w:tc>
        <w:tc>
          <w:tcPr>
            <w:tcW w:w="2244" w:type="dxa"/>
            <w:vAlign w:val="center"/>
          </w:tcPr>
          <w:p>
            <w:pPr>
              <w:pStyle w:val="44"/>
              <w:rPr>
                <w:color w:val="auto"/>
                <w:shd w:val="clear" w:color="auto" w:fill="auto"/>
              </w:rPr>
            </w:pPr>
            <w:r>
              <w:rPr>
                <w:rFonts w:hint="eastAsia"/>
                <w:color w:val="auto"/>
                <w:shd w:val="clear" w:color="auto" w:fill="auto"/>
              </w:rPr>
              <w:t>815.13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6" w:type="dxa"/>
            <w:vAlign w:val="center"/>
          </w:tcPr>
          <w:p>
            <w:pPr>
              <w:pStyle w:val="44"/>
              <w:rPr>
                <w:color w:val="auto"/>
                <w:shd w:val="clear" w:color="auto" w:fill="auto"/>
              </w:rPr>
            </w:pPr>
            <w:r>
              <w:rPr>
                <w:rFonts w:hint="eastAsia"/>
                <w:color w:val="auto"/>
                <w:shd w:val="clear" w:color="auto" w:fill="auto"/>
              </w:rPr>
              <w:t>烃类</w:t>
            </w:r>
          </w:p>
        </w:tc>
        <w:tc>
          <w:tcPr>
            <w:tcW w:w="2463" w:type="dxa"/>
            <w:vAlign w:val="center"/>
          </w:tcPr>
          <w:p>
            <w:pPr>
              <w:pStyle w:val="44"/>
              <w:rPr>
                <w:color w:val="auto"/>
                <w:shd w:val="clear" w:color="auto" w:fill="auto"/>
              </w:rPr>
            </w:pPr>
            <w:r>
              <w:rPr>
                <w:rFonts w:hint="eastAsia"/>
                <w:color w:val="auto"/>
                <w:shd w:val="clear" w:color="auto" w:fill="auto"/>
              </w:rPr>
              <w:t>33.3</w:t>
            </w:r>
          </w:p>
        </w:tc>
        <w:tc>
          <w:tcPr>
            <w:tcW w:w="2329" w:type="dxa"/>
            <w:vAlign w:val="center"/>
          </w:tcPr>
          <w:p>
            <w:pPr>
              <w:pStyle w:val="44"/>
              <w:rPr>
                <w:color w:val="auto"/>
                <w:shd w:val="clear" w:color="auto" w:fill="auto"/>
              </w:rPr>
            </w:pPr>
            <w:r>
              <w:rPr>
                <w:rFonts w:hint="eastAsia"/>
                <w:color w:val="auto"/>
                <w:shd w:val="clear" w:color="auto" w:fill="auto"/>
              </w:rPr>
              <w:t>4.44</w:t>
            </w:r>
          </w:p>
        </w:tc>
        <w:tc>
          <w:tcPr>
            <w:tcW w:w="2244" w:type="dxa"/>
            <w:vAlign w:val="center"/>
          </w:tcPr>
          <w:p>
            <w:pPr>
              <w:pStyle w:val="44"/>
              <w:rPr>
                <w:color w:val="auto"/>
                <w:shd w:val="clear" w:color="auto" w:fill="auto"/>
              </w:rPr>
            </w:pPr>
            <w:r>
              <w:rPr>
                <w:rFonts w:hint="eastAsia"/>
                <w:color w:val="auto"/>
                <w:shd w:val="clear" w:color="auto" w:fill="auto"/>
              </w:rPr>
              <w:t>134.04</w:t>
            </w:r>
          </w:p>
        </w:tc>
      </w:tr>
    </w:tbl>
    <w:p>
      <w:pPr>
        <w:ind w:firstLine="480"/>
        <w:rPr>
          <w:color w:val="auto"/>
          <w:shd w:val="clear" w:color="auto" w:fill="auto"/>
        </w:rPr>
      </w:pPr>
      <w:r>
        <w:rPr>
          <w:color w:val="auto"/>
          <w:shd w:val="clear" w:color="auto" w:fill="auto"/>
        </w:rPr>
        <w:t>（</w:t>
      </w:r>
      <w:r>
        <w:rPr>
          <w:rFonts w:hint="eastAsia"/>
          <w:color w:val="auto"/>
          <w:shd w:val="clear" w:color="auto" w:fill="auto"/>
        </w:rPr>
        <w:t>3</w:t>
      </w:r>
      <w:r>
        <w:rPr>
          <w:color w:val="auto"/>
          <w:shd w:val="clear" w:color="auto" w:fill="auto"/>
        </w:rPr>
        <w:t>）施工船舶废气</w:t>
      </w:r>
    </w:p>
    <w:p>
      <w:pPr>
        <w:pStyle w:val="42"/>
        <w:spacing w:line="360" w:lineRule="auto"/>
        <w:ind w:firstLine="480"/>
        <w:rPr>
          <w:rFonts w:eastAsia="宋体"/>
          <w:color w:val="auto"/>
          <w:sz w:val="24"/>
          <w:shd w:val="clear" w:color="auto" w:fill="auto"/>
        </w:rPr>
      </w:pPr>
      <w:r>
        <w:rPr>
          <w:rFonts w:eastAsia="宋体"/>
          <w:color w:val="auto"/>
          <w:sz w:val="24"/>
          <w:shd w:val="clear" w:color="auto" w:fill="auto"/>
        </w:rPr>
        <w:t>据调查，施工船舶的单船耗油量约300kg/h，根据《大气废气估算手册》，柴油中污染物排放情况具体见表</w:t>
      </w:r>
      <w:r>
        <w:rPr>
          <w:rFonts w:hint="eastAsia" w:eastAsia="宋体"/>
          <w:color w:val="auto"/>
          <w:sz w:val="24"/>
          <w:shd w:val="clear" w:color="auto" w:fill="auto"/>
          <w:lang w:val="en-US" w:eastAsia="zh-CN"/>
        </w:rPr>
        <w:t>2.2</w:t>
      </w:r>
      <w:r>
        <w:rPr>
          <w:rFonts w:hint="eastAsia" w:eastAsia="宋体"/>
          <w:color w:val="auto"/>
          <w:sz w:val="24"/>
          <w:shd w:val="clear" w:color="auto" w:fill="auto"/>
        </w:rPr>
        <w:t>-3</w:t>
      </w:r>
      <w:r>
        <w:rPr>
          <w:rFonts w:eastAsia="宋体"/>
          <w:color w:val="auto"/>
          <w:sz w:val="24"/>
          <w:shd w:val="clear" w:color="auto" w:fill="auto"/>
        </w:rPr>
        <w:t>。</w:t>
      </w:r>
    </w:p>
    <w:p>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eastAsia" w:ascii="Times New Roman" w:hAnsi="Times New Roman" w:eastAsia="黑体" w:cs="Times New Roman"/>
          <w:color w:val="auto"/>
          <w:sz w:val="21"/>
          <w:szCs w:val="21"/>
          <w:shd w:val="clear" w:color="auto" w:fill="auto"/>
          <w:lang w:val="en-US" w:eastAsia="zh-CN"/>
        </w:rPr>
      </w:pPr>
      <w:r>
        <w:rPr>
          <w:rFonts w:hint="eastAsia" w:ascii="Times New Roman" w:hAnsi="Times New Roman" w:eastAsia="黑体" w:cs="Times New Roman"/>
          <w:color w:val="auto"/>
          <w:sz w:val="21"/>
          <w:szCs w:val="21"/>
          <w:shd w:val="clear" w:color="auto" w:fill="auto"/>
          <w:lang w:val="en-US" w:eastAsia="zh-CN"/>
        </w:rPr>
        <w:t>表2.2-3  施工船舶废气排放情况</w:t>
      </w:r>
    </w:p>
    <w:tbl>
      <w:tblPr>
        <w:tblStyle w:val="26"/>
        <w:tblW w:w="84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822"/>
        <w:gridCol w:w="1846"/>
        <w:gridCol w:w="1877"/>
        <w:gridCol w:w="18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22" w:type="dxa"/>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污染物</w:t>
            </w:r>
          </w:p>
        </w:tc>
        <w:tc>
          <w:tcPr>
            <w:tcW w:w="1846" w:type="dxa"/>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SO</w:t>
            </w:r>
            <w:r>
              <w:rPr>
                <w:rFonts w:cs="Times New Roman"/>
                <w:color w:val="auto"/>
                <w:sz w:val="21"/>
                <w:szCs w:val="21"/>
                <w:shd w:val="clear" w:color="auto" w:fill="auto"/>
                <w:vertAlign w:val="subscript"/>
              </w:rPr>
              <w:t>2</w:t>
            </w:r>
          </w:p>
        </w:tc>
        <w:tc>
          <w:tcPr>
            <w:tcW w:w="1877" w:type="dxa"/>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NO</w:t>
            </w:r>
            <w:r>
              <w:rPr>
                <w:rFonts w:cs="Times New Roman"/>
                <w:color w:val="auto"/>
                <w:sz w:val="21"/>
                <w:szCs w:val="21"/>
                <w:shd w:val="clear" w:color="auto" w:fill="auto"/>
                <w:vertAlign w:val="subscript"/>
              </w:rPr>
              <w:t>2</w:t>
            </w:r>
          </w:p>
        </w:tc>
        <w:tc>
          <w:tcPr>
            <w:tcW w:w="1888" w:type="dxa"/>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22" w:type="dxa"/>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排放量(g/kg油)</w:t>
            </w:r>
          </w:p>
        </w:tc>
        <w:tc>
          <w:tcPr>
            <w:tcW w:w="1846" w:type="dxa"/>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7.5</w:t>
            </w:r>
          </w:p>
        </w:tc>
        <w:tc>
          <w:tcPr>
            <w:tcW w:w="1877" w:type="dxa"/>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16.5</w:t>
            </w:r>
          </w:p>
        </w:tc>
        <w:tc>
          <w:tcPr>
            <w:tcW w:w="1888" w:type="dxa"/>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22" w:type="dxa"/>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排放源强(kg/h)</w:t>
            </w:r>
          </w:p>
        </w:tc>
        <w:tc>
          <w:tcPr>
            <w:tcW w:w="1846" w:type="dxa"/>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2.25</w:t>
            </w:r>
          </w:p>
        </w:tc>
        <w:tc>
          <w:tcPr>
            <w:tcW w:w="1877" w:type="dxa"/>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4.95</w:t>
            </w:r>
          </w:p>
        </w:tc>
        <w:tc>
          <w:tcPr>
            <w:tcW w:w="1888" w:type="dxa"/>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9.00</w:t>
            </w:r>
          </w:p>
        </w:tc>
      </w:tr>
    </w:tbl>
    <w:p>
      <w:pPr>
        <w:ind w:firstLine="480"/>
        <w:rPr>
          <w:color w:val="auto"/>
          <w:shd w:val="clear" w:color="auto" w:fill="auto"/>
        </w:rPr>
      </w:pPr>
      <w:r>
        <w:rPr>
          <w:rFonts w:hint="eastAsia"/>
          <w:color w:val="auto"/>
          <w:shd w:val="clear" w:color="auto" w:fill="auto"/>
        </w:rPr>
        <w:t>（4）疏浚底泥产生的恶臭</w:t>
      </w:r>
    </w:p>
    <w:p>
      <w:pPr>
        <w:widowControl/>
        <w:ind w:firstLine="480"/>
        <w:jc w:val="left"/>
        <w:rPr>
          <w:rFonts w:cs="Times New Roman"/>
          <w:color w:val="auto"/>
          <w:shd w:val="clear" w:color="auto" w:fill="auto"/>
        </w:rPr>
      </w:pPr>
      <w:r>
        <w:rPr>
          <w:rFonts w:hint="eastAsia" w:cs="Times New Roman"/>
          <w:color w:val="auto"/>
          <w:shd w:val="clear" w:color="auto" w:fill="auto"/>
        </w:rPr>
        <w:t>施工期大气污染物增加疏浚底泥产生的恶臭，来自于无组织排放的面源污染。底泥在挖泥船的运输及</w:t>
      </w:r>
      <w:r>
        <w:rPr>
          <w:rFonts w:hint="eastAsia" w:cs="Times New Roman"/>
          <w:color w:val="auto"/>
          <w:shd w:val="clear" w:color="auto" w:fill="auto"/>
          <w:lang w:val="en-US" w:eastAsia="zh-CN"/>
        </w:rPr>
        <w:t>抛泥</w:t>
      </w:r>
      <w:r>
        <w:rPr>
          <w:rFonts w:hint="eastAsia" w:cs="Times New Roman"/>
          <w:color w:val="auto"/>
          <w:shd w:val="clear" w:color="auto" w:fill="auto"/>
        </w:rPr>
        <w:t>区的堆放过程中会产生NH</w:t>
      </w:r>
      <w:r>
        <w:rPr>
          <w:rFonts w:hint="eastAsia" w:cs="Times New Roman"/>
          <w:color w:val="auto"/>
          <w:shd w:val="clear" w:color="auto" w:fill="auto"/>
          <w:vertAlign w:val="subscript"/>
        </w:rPr>
        <w:t>3</w:t>
      </w:r>
      <w:r>
        <w:rPr>
          <w:rFonts w:hint="eastAsia" w:cs="Times New Roman"/>
          <w:color w:val="auto"/>
          <w:shd w:val="clear" w:color="auto" w:fill="auto"/>
        </w:rPr>
        <w:t>、H</w:t>
      </w:r>
      <w:r>
        <w:rPr>
          <w:rFonts w:hint="eastAsia" w:cs="Times New Roman"/>
          <w:color w:val="auto"/>
          <w:shd w:val="clear" w:color="auto" w:fill="auto"/>
          <w:vertAlign w:val="subscript"/>
        </w:rPr>
        <w:t>2</w:t>
      </w:r>
      <w:r>
        <w:rPr>
          <w:rFonts w:hint="eastAsia" w:cs="Times New Roman"/>
          <w:color w:val="auto"/>
          <w:shd w:val="clear" w:color="auto" w:fill="auto"/>
        </w:rPr>
        <w:t>S等恶臭性气体，使人在嗅觉感官上产生不适，并对人体健康有一定影响。类比同类项目，由疏浚底泥产生的恶臭污染物源强见下表。</w:t>
      </w:r>
    </w:p>
    <w:p>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eastAsia" w:ascii="Times New Roman" w:hAnsi="Times New Roman" w:eastAsia="黑体" w:cs="Times New Roman"/>
          <w:color w:val="auto"/>
          <w:sz w:val="21"/>
          <w:szCs w:val="21"/>
          <w:shd w:val="clear" w:color="auto" w:fill="auto"/>
          <w:lang w:val="en-US" w:eastAsia="zh-CN"/>
        </w:rPr>
      </w:pPr>
      <w:r>
        <w:rPr>
          <w:rFonts w:hint="eastAsia" w:ascii="Times New Roman" w:hAnsi="Times New Roman" w:eastAsia="黑体" w:cs="Times New Roman"/>
          <w:color w:val="auto"/>
          <w:sz w:val="21"/>
          <w:szCs w:val="21"/>
          <w:shd w:val="clear" w:color="auto" w:fill="auto"/>
          <w:lang w:val="en-US" w:eastAsia="zh-CN"/>
        </w:rPr>
        <w:t>表2.2-4  恶臭污染物源强</w:t>
      </w:r>
    </w:p>
    <w:tbl>
      <w:tblPr>
        <w:tblStyle w:val="2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23"/>
        <w:gridCol w:w="3392"/>
        <w:gridCol w:w="3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3" w:type="dxa"/>
            <w:vMerge w:val="restart"/>
            <w:vAlign w:val="center"/>
          </w:tcPr>
          <w:p>
            <w:pPr>
              <w:pStyle w:val="44"/>
              <w:rPr>
                <w:color w:val="auto"/>
                <w:shd w:val="clear" w:color="auto" w:fill="auto"/>
              </w:rPr>
            </w:pPr>
            <w:r>
              <w:rPr>
                <w:rFonts w:hint="eastAsia"/>
                <w:color w:val="auto"/>
                <w:shd w:val="clear" w:color="auto" w:fill="auto"/>
              </w:rPr>
              <w:t>恶臭污染物因子</w:t>
            </w:r>
          </w:p>
        </w:tc>
        <w:tc>
          <w:tcPr>
            <w:tcW w:w="6599" w:type="dxa"/>
            <w:gridSpan w:val="2"/>
            <w:vAlign w:val="center"/>
          </w:tcPr>
          <w:p>
            <w:pPr>
              <w:pStyle w:val="44"/>
              <w:rPr>
                <w:color w:val="auto"/>
                <w:shd w:val="clear" w:color="auto" w:fill="auto"/>
              </w:rPr>
            </w:pPr>
            <w:r>
              <w:rPr>
                <w:rFonts w:hint="eastAsia"/>
                <w:color w:val="auto"/>
                <w:shd w:val="clear" w:color="auto" w:fill="auto"/>
              </w:rPr>
              <w:t>恶臭污染物源强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3" w:type="dxa"/>
            <w:vMerge w:val="continue"/>
            <w:vAlign w:val="center"/>
          </w:tcPr>
          <w:p>
            <w:pPr>
              <w:pStyle w:val="44"/>
              <w:rPr>
                <w:color w:val="auto"/>
                <w:shd w:val="clear" w:color="auto" w:fill="auto"/>
              </w:rPr>
            </w:pPr>
          </w:p>
        </w:tc>
        <w:tc>
          <w:tcPr>
            <w:tcW w:w="3392" w:type="dxa"/>
            <w:vAlign w:val="center"/>
          </w:tcPr>
          <w:p>
            <w:pPr>
              <w:pStyle w:val="44"/>
              <w:rPr>
                <w:color w:val="auto"/>
                <w:shd w:val="clear" w:color="auto" w:fill="auto"/>
              </w:rPr>
            </w:pPr>
            <w:r>
              <w:rPr>
                <w:rFonts w:hint="eastAsia"/>
                <w:color w:val="auto"/>
                <w:shd w:val="clear" w:color="auto" w:fill="auto"/>
              </w:rPr>
              <w:t>单位</w:t>
            </w:r>
          </w:p>
        </w:tc>
        <w:tc>
          <w:tcPr>
            <w:tcW w:w="3207" w:type="dxa"/>
            <w:vAlign w:val="center"/>
          </w:tcPr>
          <w:p>
            <w:pPr>
              <w:pStyle w:val="44"/>
              <w:rPr>
                <w:color w:val="auto"/>
                <w:shd w:val="clear" w:color="auto" w:fill="auto"/>
              </w:rPr>
            </w:pPr>
            <w:r>
              <w:rPr>
                <w:rFonts w:hint="eastAsia"/>
                <w:color w:val="auto"/>
                <w:shd w:val="clear" w:color="auto" w:fill="auto"/>
              </w:rPr>
              <w:t>数值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3" w:type="dxa"/>
            <w:vAlign w:val="center"/>
          </w:tcPr>
          <w:p>
            <w:pPr>
              <w:pStyle w:val="44"/>
              <w:rPr>
                <w:color w:val="auto"/>
                <w:shd w:val="clear" w:color="auto" w:fill="auto"/>
              </w:rPr>
            </w:pPr>
            <w:r>
              <w:rPr>
                <w:rFonts w:hint="eastAsia" w:cs="Times New Roman"/>
                <w:color w:val="auto"/>
                <w:shd w:val="clear" w:color="auto" w:fill="auto"/>
              </w:rPr>
              <w:t>NH</w:t>
            </w:r>
            <w:r>
              <w:rPr>
                <w:rFonts w:hint="eastAsia" w:cs="Times New Roman"/>
                <w:color w:val="auto"/>
                <w:shd w:val="clear" w:color="auto" w:fill="auto"/>
                <w:vertAlign w:val="subscript"/>
              </w:rPr>
              <w:t>3</w:t>
            </w:r>
          </w:p>
        </w:tc>
        <w:tc>
          <w:tcPr>
            <w:tcW w:w="3392" w:type="dxa"/>
            <w:vAlign w:val="center"/>
          </w:tcPr>
          <w:p>
            <w:pPr>
              <w:pStyle w:val="44"/>
              <w:rPr>
                <w:color w:val="auto"/>
                <w:shd w:val="clear" w:color="auto" w:fill="auto"/>
              </w:rPr>
            </w:pPr>
            <w:r>
              <w:rPr>
                <w:rFonts w:hint="eastAsia"/>
                <w:color w:val="auto"/>
                <w:shd w:val="clear" w:color="auto" w:fill="auto"/>
                <w:lang w:eastAsia="zh-CN"/>
              </w:rPr>
              <w:t>m</w:t>
            </w:r>
            <w:r>
              <w:rPr>
                <w:rFonts w:hint="eastAsia"/>
                <w:color w:val="auto"/>
                <w:shd w:val="clear" w:color="auto" w:fill="auto"/>
              </w:rPr>
              <w:t>g/s</w:t>
            </w:r>
          </w:p>
        </w:tc>
        <w:tc>
          <w:tcPr>
            <w:tcW w:w="3207" w:type="dxa"/>
            <w:vAlign w:val="center"/>
          </w:tcPr>
          <w:p>
            <w:pPr>
              <w:pStyle w:val="44"/>
              <w:rPr>
                <w:color w:val="auto"/>
                <w:shd w:val="clear" w:color="auto" w:fill="auto"/>
              </w:rPr>
            </w:pPr>
            <w:r>
              <w:rPr>
                <w:rFonts w:hint="eastAsia"/>
                <w:color w:val="auto"/>
                <w:shd w:val="clear" w:color="auto" w:fill="auto"/>
              </w:rPr>
              <w:t>359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3" w:type="dxa"/>
            <w:vAlign w:val="center"/>
          </w:tcPr>
          <w:p>
            <w:pPr>
              <w:pStyle w:val="44"/>
              <w:rPr>
                <w:color w:val="auto"/>
                <w:shd w:val="clear" w:color="auto" w:fill="auto"/>
              </w:rPr>
            </w:pPr>
            <w:r>
              <w:rPr>
                <w:rFonts w:hint="eastAsia" w:cs="Times New Roman"/>
                <w:color w:val="auto"/>
                <w:shd w:val="clear" w:color="auto" w:fill="auto"/>
              </w:rPr>
              <w:t>H</w:t>
            </w:r>
            <w:r>
              <w:rPr>
                <w:rFonts w:hint="eastAsia" w:cs="Times New Roman"/>
                <w:color w:val="auto"/>
                <w:shd w:val="clear" w:color="auto" w:fill="auto"/>
                <w:vertAlign w:val="subscript"/>
              </w:rPr>
              <w:t>2</w:t>
            </w:r>
            <w:r>
              <w:rPr>
                <w:rFonts w:hint="eastAsia" w:cs="Times New Roman"/>
                <w:color w:val="auto"/>
                <w:shd w:val="clear" w:color="auto" w:fill="auto"/>
              </w:rPr>
              <w:t>S</w:t>
            </w:r>
          </w:p>
        </w:tc>
        <w:tc>
          <w:tcPr>
            <w:tcW w:w="3392" w:type="dxa"/>
            <w:vAlign w:val="center"/>
          </w:tcPr>
          <w:p>
            <w:pPr>
              <w:pStyle w:val="44"/>
              <w:rPr>
                <w:color w:val="auto"/>
                <w:shd w:val="clear" w:color="auto" w:fill="auto"/>
              </w:rPr>
            </w:pPr>
            <w:r>
              <w:rPr>
                <w:rFonts w:hint="eastAsia"/>
                <w:color w:val="auto"/>
                <w:shd w:val="clear" w:color="auto" w:fill="auto"/>
                <w:lang w:eastAsia="zh-CN"/>
              </w:rPr>
              <w:t>m</w:t>
            </w:r>
            <w:r>
              <w:rPr>
                <w:rFonts w:hint="eastAsia"/>
                <w:color w:val="auto"/>
                <w:shd w:val="clear" w:color="auto" w:fill="auto"/>
              </w:rPr>
              <w:t>g/s</w:t>
            </w:r>
          </w:p>
        </w:tc>
        <w:tc>
          <w:tcPr>
            <w:tcW w:w="3207" w:type="dxa"/>
            <w:vAlign w:val="center"/>
          </w:tcPr>
          <w:p>
            <w:pPr>
              <w:pStyle w:val="44"/>
              <w:rPr>
                <w:color w:val="auto"/>
                <w:shd w:val="clear" w:color="auto" w:fill="auto"/>
              </w:rPr>
            </w:pPr>
            <w:r>
              <w:rPr>
                <w:rFonts w:hint="eastAsia"/>
                <w:color w:val="auto"/>
                <w:shd w:val="clear" w:color="auto" w:fill="auto"/>
              </w:rPr>
              <w:t>1.4</w:t>
            </w:r>
          </w:p>
        </w:tc>
      </w:tr>
    </w:tbl>
    <w:p>
      <w:pPr>
        <w:pStyle w:val="6"/>
        <w:bidi w:val="0"/>
        <w:rPr>
          <w:color w:val="auto"/>
          <w:shd w:val="clear" w:color="auto" w:fill="auto"/>
        </w:rPr>
      </w:pPr>
      <w:r>
        <w:rPr>
          <w:rFonts w:hint="eastAsia"/>
          <w:color w:val="auto"/>
          <w:shd w:val="clear" w:color="auto" w:fill="auto"/>
          <w:lang w:val="en-US" w:eastAsia="zh-CN"/>
        </w:rPr>
        <w:t>2.2.2.2</w:t>
      </w:r>
      <w:r>
        <w:rPr>
          <w:rFonts w:hint="eastAsia"/>
          <w:color w:val="auto"/>
          <w:shd w:val="clear" w:color="auto" w:fill="auto"/>
        </w:rPr>
        <w:t>废水</w:t>
      </w:r>
    </w:p>
    <w:p>
      <w:pPr>
        <w:pStyle w:val="2"/>
        <w:numPr>
          <w:ilvl w:val="0"/>
          <w:numId w:val="6"/>
        </w:numPr>
        <w:ind w:firstLine="480"/>
        <w:rPr>
          <w:color w:val="auto"/>
          <w:shd w:val="clear" w:color="auto" w:fill="auto"/>
        </w:rPr>
      </w:pPr>
      <w:r>
        <w:rPr>
          <w:rFonts w:hint="eastAsia"/>
          <w:color w:val="auto"/>
          <w:shd w:val="clear" w:color="auto" w:fill="auto"/>
        </w:rPr>
        <w:t>疏浚作业产生的悬浮泥沙</w:t>
      </w:r>
    </w:p>
    <w:p>
      <w:pPr>
        <w:ind w:firstLine="480"/>
        <w:rPr>
          <w:color w:val="auto"/>
          <w:shd w:val="clear" w:color="auto" w:fill="auto"/>
        </w:rPr>
      </w:pPr>
      <w:r>
        <w:rPr>
          <w:rFonts w:hint="eastAsia"/>
          <w:color w:val="auto"/>
          <w:shd w:val="clear" w:color="auto" w:fill="auto"/>
        </w:rPr>
        <w:t>本项目施工需对码头前沿水域进行疏浚，疏浚作业的主要设备是</w:t>
      </w:r>
      <w:r>
        <w:rPr>
          <w:rFonts w:hint="eastAsia"/>
          <w:color w:val="auto"/>
          <w:shd w:val="clear" w:color="auto" w:fill="auto"/>
          <w:lang w:eastAsia="zh-CN"/>
        </w:rPr>
        <w:t>抓斗</w:t>
      </w:r>
      <w:r>
        <w:rPr>
          <w:rFonts w:hint="eastAsia"/>
          <w:color w:val="auto"/>
          <w:shd w:val="clear" w:color="auto" w:fill="auto"/>
        </w:rPr>
        <w:t>挖泥船。挖泥船进行水工作业时造成水流扰动，产生大量悬浮物，对拟建码头</w:t>
      </w:r>
      <w:r>
        <w:rPr>
          <w:rFonts w:hint="eastAsia"/>
          <w:color w:val="auto"/>
          <w:shd w:val="clear" w:color="auto" w:fill="auto"/>
          <w:lang w:eastAsia="zh-CN"/>
        </w:rPr>
        <w:t>沙颍河</w:t>
      </w:r>
      <w:r>
        <w:rPr>
          <w:rFonts w:hint="eastAsia"/>
          <w:color w:val="auto"/>
          <w:shd w:val="clear" w:color="auto" w:fill="auto"/>
        </w:rPr>
        <w:t>河段水质造成影响。悬浮物的发生量按照《港口建设项目环境影响评价规范》（JTS105-1-2011）推荐的经验公式进行计算：</w:t>
      </w:r>
    </w:p>
    <w:p>
      <w:pPr>
        <w:pStyle w:val="2"/>
        <w:ind w:firstLine="0" w:firstLineChars="0"/>
        <w:rPr>
          <w:color w:val="auto"/>
          <w:shd w:val="clear" w:color="auto" w:fill="auto"/>
        </w:rPr>
      </w:pPr>
      <w:r>
        <w:rPr>
          <w:color w:val="auto"/>
          <w:shd w:val="clear" w:color="auto" w:fill="auto"/>
        </w:rPr>
        <w:pict>
          <v:shape id="Picture 64" o:spid="_x0000_s1026" o:spt="75" type="#_x0000_t75" style="position:absolute;left:0pt;margin-left:135.55pt;margin-top:2.95pt;height:35.35pt;width:72.05pt;mso-wrap-distance-bottom:0pt;mso-wrap-distance-top:0pt;z-index:252781568;mso-width-relative:page;mso-height-relative:page;" o:ole="t" filled="f" o:preferrelative="t" stroked="f" coordsize="21600,21600">
            <v:path/>
            <v:fill on="f" focussize="0,0"/>
            <v:stroke on="f" joinstyle="miter"/>
            <v:imagedata r:id="rId24" o:title=""/>
            <o:lock v:ext="edit" aspectratio="t"/>
            <w10:wrap type="topAndBottom"/>
          </v:shape>
          <o:OLEObject Type="Embed" ProgID="Equation.3" ShapeID="Picture 64" DrawAspect="Content" ObjectID="_1468075725" r:id="rId23">
            <o:LockedField>false</o:LockedField>
          </o:OLEObject>
        </w:pict>
      </w:r>
      <w:r>
        <w:rPr>
          <w:rFonts w:hint="eastAsia"/>
          <w:color w:val="auto"/>
          <w:shd w:val="clear" w:color="auto" w:fill="auto"/>
        </w:rPr>
        <w:t xml:space="preserve">   </w:t>
      </w:r>
      <w:r>
        <w:rPr>
          <w:color w:val="auto"/>
          <w:shd w:val="clear" w:color="auto" w:fill="auto"/>
        </w:rPr>
        <w:t>式中：</w:t>
      </w:r>
      <w:r>
        <w:rPr>
          <w:rFonts w:hint="eastAsia"/>
          <w:color w:val="auto"/>
          <w:shd w:val="clear" w:color="auto" w:fill="auto"/>
        </w:rPr>
        <w:t>Q</w:t>
      </w:r>
      <w:r>
        <w:rPr>
          <w:color w:val="auto"/>
          <w:shd w:val="clear" w:color="auto" w:fill="auto"/>
        </w:rPr>
        <w:t>：</w:t>
      </w:r>
      <w:r>
        <w:rPr>
          <w:rFonts w:hint="eastAsia"/>
          <w:color w:val="auto"/>
          <w:shd w:val="clear" w:color="auto" w:fill="auto"/>
        </w:rPr>
        <w:t>疏浚</w:t>
      </w:r>
      <w:r>
        <w:rPr>
          <w:color w:val="auto"/>
          <w:shd w:val="clear" w:color="auto" w:fill="auto"/>
        </w:rPr>
        <w:t>作业悬浮物</w:t>
      </w:r>
      <w:r>
        <w:rPr>
          <w:rFonts w:hint="eastAsia"/>
          <w:color w:val="auto"/>
          <w:shd w:val="clear" w:color="auto" w:fill="auto"/>
        </w:rPr>
        <w:t>发生量</w:t>
      </w:r>
      <w:r>
        <w:rPr>
          <w:color w:val="auto"/>
          <w:shd w:val="clear" w:color="auto" w:fill="auto"/>
        </w:rPr>
        <w:t>，t/h；</w:t>
      </w:r>
    </w:p>
    <w:p>
      <w:pPr>
        <w:spacing w:line="440" w:lineRule="exact"/>
        <w:ind w:firstLine="480"/>
        <w:rPr>
          <w:color w:val="auto"/>
          <w:shd w:val="clear" w:color="auto" w:fill="auto"/>
        </w:rPr>
      </w:pPr>
      <w:r>
        <w:rPr>
          <w:color w:val="auto"/>
          <w:shd w:val="clear" w:color="auto" w:fill="auto"/>
        </w:rPr>
        <w:t xml:space="preserve">      R：发生系数W</w:t>
      </w:r>
      <w:r>
        <w:rPr>
          <w:color w:val="auto"/>
          <w:shd w:val="clear" w:color="auto" w:fill="auto"/>
          <w:vertAlign w:val="subscript"/>
        </w:rPr>
        <w:t>0</w:t>
      </w:r>
      <w:r>
        <w:rPr>
          <w:color w:val="auto"/>
          <w:shd w:val="clear" w:color="auto" w:fill="auto"/>
        </w:rPr>
        <w:t>时悬浮物粒径累计百分比，%；取</w:t>
      </w:r>
      <w:r>
        <w:rPr>
          <w:rFonts w:hint="eastAsia"/>
          <w:color w:val="auto"/>
          <w:shd w:val="clear" w:color="auto" w:fill="auto"/>
        </w:rPr>
        <w:t>80.2</w:t>
      </w:r>
      <w:r>
        <w:rPr>
          <w:color w:val="auto"/>
          <w:shd w:val="clear" w:color="auto" w:fill="auto"/>
        </w:rPr>
        <w:t>%；</w:t>
      </w:r>
    </w:p>
    <w:p>
      <w:pPr>
        <w:pStyle w:val="2"/>
        <w:ind w:firstLine="1200" w:firstLineChars="500"/>
        <w:rPr>
          <w:color w:val="auto"/>
          <w:shd w:val="clear" w:color="auto" w:fill="auto"/>
        </w:rPr>
      </w:pPr>
      <w:r>
        <w:rPr>
          <w:color w:val="auto"/>
          <w:shd w:val="clear" w:color="auto" w:fill="auto"/>
        </w:rPr>
        <w:t>R</w:t>
      </w:r>
      <w:r>
        <w:rPr>
          <w:rFonts w:hint="eastAsia"/>
          <w:color w:val="auto"/>
          <w:shd w:val="clear" w:color="auto" w:fill="auto"/>
          <w:vertAlign w:val="subscript"/>
        </w:rPr>
        <w:t>0</w:t>
      </w:r>
      <w:r>
        <w:rPr>
          <w:color w:val="auto"/>
          <w:shd w:val="clear" w:color="auto" w:fill="auto"/>
        </w:rPr>
        <w:t>：现场流速中</w:t>
      </w:r>
      <w:r>
        <w:rPr>
          <w:rFonts w:hint="eastAsia"/>
          <w:color w:val="auto"/>
          <w:shd w:val="clear" w:color="auto" w:fill="auto"/>
        </w:rPr>
        <w:t>悬浮物</w:t>
      </w:r>
      <w:r>
        <w:rPr>
          <w:color w:val="auto"/>
          <w:shd w:val="clear" w:color="auto" w:fill="auto"/>
        </w:rPr>
        <w:t>临界粒子累计百分比，%；取</w:t>
      </w:r>
      <w:r>
        <w:rPr>
          <w:rFonts w:hint="eastAsia"/>
          <w:color w:val="auto"/>
          <w:shd w:val="clear" w:color="auto" w:fill="auto"/>
        </w:rPr>
        <w:t>89.2</w:t>
      </w:r>
      <w:r>
        <w:rPr>
          <w:color w:val="auto"/>
          <w:shd w:val="clear" w:color="auto" w:fill="auto"/>
        </w:rPr>
        <w:t>%；</w:t>
      </w:r>
    </w:p>
    <w:p>
      <w:pPr>
        <w:ind w:firstLine="480"/>
        <w:rPr>
          <w:color w:val="auto"/>
          <w:shd w:val="clear" w:color="auto" w:fill="auto"/>
        </w:rPr>
      </w:pPr>
      <w:r>
        <w:rPr>
          <w:rFonts w:hint="eastAsia"/>
          <w:color w:val="auto"/>
          <w:shd w:val="clear" w:color="auto" w:fill="auto"/>
        </w:rPr>
        <w:t xml:space="preserve">      T：</w:t>
      </w:r>
      <w:r>
        <w:rPr>
          <w:color w:val="auto"/>
          <w:shd w:val="clear" w:color="auto" w:fill="auto"/>
        </w:rPr>
        <w:t>挖泥船疏浚效率，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/h。</w:t>
      </w:r>
    </w:p>
    <w:p>
      <w:pPr>
        <w:ind w:firstLine="1200" w:firstLineChars="500"/>
        <w:rPr>
          <w:color w:val="auto"/>
          <w:shd w:val="clear" w:color="auto" w:fill="auto"/>
        </w:rPr>
      </w:pPr>
      <w:r>
        <w:rPr>
          <w:color w:val="auto"/>
          <w:shd w:val="clear" w:color="auto" w:fill="auto"/>
        </w:rPr>
        <w:t>W</w:t>
      </w:r>
      <w:r>
        <w:rPr>
          <w:color w:val="auto"/>
          <w:shd w:val="clear" w:color="auto" w:fill="auto"/>
          <w:vertAlign w:val="subscript"/>
        </w:rPr>
        <w:t>0</w:t>
      </w:r>
      <w:r>
        <w:rPr>
          <w:rFonts w:hint="eastAsia"/>
          <w:color w:val="auto"/>
          <w:shd w:val="clear" w:color="auto" w:fill="auto"/>
        </w:rPr>
        <w:t>：</w:t>
      </w:r>
      <w:r>
        <w:rPr>
          <w:color w:val="auto"/>
          <w:shd w:val="clear" w:color="auto" w:fill="auto"/>
        </w:rPr>
        <w:t>悬浮物发生系数，t/</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；取</w:t>
      </w:r>
      <w:r>
        <w:rPr>
          <w:rFonts w:hint="eastAsia"/>
          <w:color w:val="auto"/>
          <w:shd w:val="clear" w:color="auto" w:fill="auto"/>
        </w:rPr>
        <w:t>3</w:t>
      </w:r>
      <w:r>
        <w:rPr>
          <w:color w:val="auto"/>
          <w:shd w:val="clear" w:color="auto" w:fill="auto"/>
        </w:rPr>
        <w:t>.</w:t>
      </w:r>
      <w:r>
        <w:rPr>
          <w:rFonts w:hint="eastAsia"/>
          <w:color w:val="auto"/>
          <w:shd w:val="clear" w:color="auto" w:fill="auto"/>
        </w:rPr>
        <w:t>8</w:t>
      </w:r>
      <w:r>
        <w:rPr>
          <w:color w:val="auto"/>
          <w:shd w:val="clear" w:color="auto" w:fill="auto"/>
        </w:rPr>
        <w:t>×10</w:t>
      </w:r>
      <w:r>
        <w:rPr>
          <w:color w:val="auto"/>
          <w:shd w:val="clear" w:color="auto" w:fill="auto"/>
          <w:vertAlign w:val="superscript"/>
        </w:rPr>
        <w:t>-2</w:t>
      </w:r>
      <w:r>
        <w:rPr>
          <w:color w:val="auto"/>
          <w:shd w:val="clear" w:color="auto" w:fill="auto"/>
        </w:rPr>
        <w:t>t/</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w:t>
      </w:r>
    </w:p>
    <w:p>
      <w:pPr>
        <w:pStyle w:val="2"/>
        <w:ind w:firstLine="480"/>
        <w:rPr>
          <w:color w:val="auto"/>
          <w:shd w:val="clear" w:color="auto" w:fill="auto"/>
        </w:rPr>
      </w:pPr>
      <w:r>
        <w:rPr>
          <w:rFonts w:hint="eastAsia"/>
          <w:color w:val="auto"/>
          <w:shd w:val="clear" w:color="auto" w:fill="auto"/>
        </w:rPr>
        <w:t>本工程</w:t>
      </w:r>
      <w:r>
        <w:rPr>
          <w:color w:val="auto"/>
          <w:shd w:val="clear" w:color="auto" w:fill="auto"/>
        </w:rPr>
        <w:t>港池疏浚量为</w:t>
      </w:r>
      <w:r>
        <w:rPr>
          <w:rFonts w:hint="eastAsia"/>
          <w:color w:val="auto"/>
          <w:shd w:val="clear" w:color="auto" w:fill="auto"/>
          <w:lang w:val="en-US" w:eastAsia="zh-CN"/>
        </w:rPr>
        <w:t>4.63</w:t>
      </w:r>
      <w:r>
        <w:rPr>
          <w:rFonts w:hint="eastAsia"/>
          <w:color w:val="auto"/>
          <w:shd w:val="clear" w:color="auto" w:fill="auto"/>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，经计算，水下方施工产生的悬浮物总量约为</w:t>
      </w:r>
      <w:r>
        <w:rPr>
          <w:rFonts w:hint="eastAsia"/>
          <w:color w:val="auto"/>
          <w:shd w:val="clear" w:color="auto" w:fill="auto"/>
          <w:lang w:val="en-US" w:eastAsia="zh-CN"/>
        </w:rPr>
        <w:t>1581.88</w:t>
      </w:r>
      <w:r>
        <w:rPr>
          <w:rFonts w:hint="eastAsia"/>
          <w:color w:val="auto"/>
          <w:shd w:val="clear" w:color="auto" w:fill="auto"/>
        </w:rPr>
        <w:t>t/a，大部分在短距离的沉降后入河道，少部分随水流水平迁移。</w:t>
      </w:r>
    </w:p>
    <w:p>
      <w:pPr>
        <w:pStyle w:val="2"/>
        <w:numPr>
          <w:ilvl w:val="0"/>
          <w:numId w:val="6"/>
        </w:numPr>
        <w:ind w:firstLine="480"/>
        <w:rPr>
          <w:color w:val="auto"/>
          <w:shd w:val="clear" w:color="auto" w:fill="auto"/>
        </w:rPr>
      </w:pPr>
      <w:r>
        <w:rPr>
          <w:rFonts w:hint="eastAsia"/>
          <w:color w:val="auto"/>
          <w:shd w:val="clear" w:color="auto" w:fill="auto"/>
        </w:rPr>
        <w:t>抛泥</w:t>
      </w:r>
      <w:r>
        <w:rPr>
          <w:rFonts w:hint="eastAsia"/>
          <w:color w:val="auto"/>
          <w:shd w:val="clear" w:color="auto" w:fill="auto"/>
          <w:lang w:eastAsia="zh-CN"/>
        </w:rPr>
        <w:t>区</w:t>
      </w:r>
      <w:r>
        <w:rPr>
          <w:rFonts w:hint="eastAsia"/>
          <w:color w:val="auto"/>
          <w:shd w:val="clear" w:color="auto" w:fill="auto"/>
        </w:rPr>
        <w:t>底泥余水</w:t>
      </w:r>
    </w:p>
    <w:p>
      <w:pPr>
        <w:pStyle w:val="42"/>
        <w:spacing w:line="360" w:lineRule="auto"/>
        <w:ind w:firstLine="480"/>
        <w:rPr>
          <w:color w:val="FF0000"/>
          <w:shd w:val="clear" w:color="auto" w:fill="auto"/>
        </w:rPr>
      </w:pPr>
      <w:r>
        <w:rPr>
          <w:rFonts w:eastAsia="宋体" w:cs="Times New Roman"/>
          <w:color w:val="auto"/>
          <w:sz w:val="24"/>
          <w:shd w:val="clear" w:color="auto" w:fill="auto"/>
        </w:rPr>
        <w:t>本项目港池开挖产生的水下方送至</w:t>
      </w:r>
      <w:r>
        <w:rPr>
          <w:rFonts w:hint="eastAsia" w:eastAsia="宋体" w:cs="Times New Roman"/>
          <w:color w:val="auto"/>
          <w:sz w:val="24"/>
          <w:shd w:val="clear" w:color="auto" w:fill="auto"/>
          <w:lang w:val="en-US" w:eastAsia="zh-CN"/>
        </w:rPr>
        <w:t>弃土区（</w:t>
      </w:r>
      <w:r>
        <w:rPr>
          <w:rFonts w:eastAsia="宋体" w:cs="Times New Roman"/>
          <w:color w:val="auto"/>
          <w:sz w:val="24"/>
          <w:shd w:val="clear" w:color="auto" w:fill="auto"/>
        </w:rPr>
        <w:t>抛泥区</w:t>
      </w:r>
      <w:r>
        <w:rPr>
          <w:rFonts w:hint="eastAsia" w:eastAsia="宋体" w:cs="Times New Roman"/>
          <w:color w:val="auto"/>
          <w:sz w:val="24"/>
          <w:shd w:val="clear" w:color="auto" w:fill="auto"/>
          <w:lang w:val="en-US" w:eastAsia="zh-CN"/>
        </w:rPr>
        <w:t>）</w:t>
      </w:r>
      <w:r>
        <w:rPr>
          <w:rFonts w:eastAsia="宋体" w:cs="Times New Roman"/>
          <w:color w:val="auto"/>
          <w:sz w:val="24"/>
          <w:shd w:val="clear" w:color="auto" w:fill="auto"/>
        </w:rPr>
        <w:t>。底泥堆存过程中产生余水，主要污染物为悬浮物。本项目港池疏浚量</w:t>
      </w:r>
      <w:r>
        <w:rPr>
          <w:rFonts w:hint="eastAsia" w:eastAsia="宋体" w:cs="Times New Roman"/>
          <w:color w:val="auto"/>
          <w:sz w:val="24"/>
          <w:shd w:val="clear" w:color="auto" w:fill="auto"/>
          <w:lang w:val="en-US" w:eastAsia="zh-CN"/>
        </w:rPr>
        <w:t>4.63</w:t>
      </w:r>
      <w:r>
        <w:rPr>
          <w:rFonts w:eastAsia="宋体" w:cs="Times New Roman"/>
          <w:color w:val="auto"/>
          <w:sz w:val="24"/>
          <w:shd w:val="clear" w:color="auto" w:fill="auto"/>
        </w:rPr>
        <w:t>万</w:t>
      </w:r>
      <w:r>
        <w:rPr>
          <w:rFonts w:hint="eastAsia" w:eastAsia="宋体" w:cs="Times New Roman"/>
          <w:color w:val="auto"/>
          <w:sz w:val="24"/>
          <w:shd w:val="clear" w:color="auto" w:fill="auto"/>
          <w:vertAlign w:val="baseline"/>
          <w:lang w:eastAsia="zh-CN"/>
        </w:rPr>
        <w:t>m</w:t>
      </w:r>
      <w:r>
        <w:rPr>
          <w:rFonts w:hint="eastAsia" w:eastAsia="宋体" w:cs="Times New Roman"/>
          <w:color w:val="auto"/>
          <w:sz w:val="24"/>
          <w:shd w:val="clear" w:color="auto" w:fill="auto"/>
          <w:vertAlign w:val="superscript"/>
          <w:lang w:eastAsia="zh-CN"/>
        </w:rPr>
        <w:t>3</w:t>
      </w:r>
      <w:r>
        <w:rPr>
          <w:rFonts w:eastAsia="宋体" w:cs="Times New Roman"/>
          <w:color w:val="auto"/>
          <w:sz w:val="24"/>
          <w:shd w:val="clear" w:color="auto" w:fill="auto"/>
        </w:rPr>
        <w:t>，含水率按30%估算，经围堰内初期沉淀后，溢流出的余水按其含水量的50%计，则余水约</w:t>
      </w:r>
      <w:r>
        <w:rPr>
          <w:rFonts w:hint="eastAsia" w:eastAsia="宋体" w:cs="Times New Roman"/>
          <w:color w:val="auto"/>
          <w:sz w:val="24"/>
          <w:shd w:val="clear" w:color="auto" w:fill="auto"/>
          <w:lang w:val="en-US" w:eastAsia="zh-CN"/>
        </w:rPr>
        <w:t>0.69</w:t>
      </w:r>
      <w:r>
        <w:rPr>
          <w:rFonts w:eastAsia="宋体" w:cs="Times New Roman"/>
          <w:color w:val="auto"/>
          <w:sz w:val="24"/>
          <w:shd w:val="clear" w:color="auto" w:fill="auto"/>
        </w:rPr>
        <w:t>万</w:t>
      </w:r>
      <w:r>
        <w:rPr>
          <w:rFonts w:hint="eastAsia" w:eastAsia="宋体" w:cs="Times New Roman"/>
          <w:color w:val="auto"/>
          <w:sz w:val="24"/>
          <w:shd w:val="clear" w:color="auto" w:fill="auto"/>
          <w:vertAlign w:val="baseline"/>
          <w:lang w:eastAsia="zh-CN"/>
        </w:rPr>
        <w:t>m</w:t>
      </w:r>
      <w:r>
        <w:rPr>
          <w:rFonts w:hint="eastAsia" w:eastAsia="宋体" w:cs="Times New Roman"/>
          <w:color w:val="auto"/>
          <w:sz w:val="24"/>
          <w:shd w:val="clear" w:color="auto" w:fill="auto"/>
          <w:vertAlign w:val="superscript"/>
          <w:lang w:eastAsia="zh-CN"/>
        </w:rPr>
        <w:t>3</w:t>
      </w:r>
      <w:r>
        <w:rPr>
          <w:rFonts w:eastAsia="宋体" w:cs="Times New Roman"/>
          <w:color w:val="auto"/>
          <w:sz w:val="24"/>
          <w:shd w:val="clear" w:color="auto" w:fill="auto"/>
        </w:rPr>
        <w:t>，其主要污染物SS浓度约800</w:t>
      </w:r>
      <w:r>
        <w:rPr>
          <w:rFonts w:hint="eastAsia" w:eastAsia="宋体" w:cs="Times New Roman"/>
          <w:color w:val="auto"/>
          <w:sz w:val="24"/>
          <w:shd w:val="clear" w:color="auto" w:fill="auto"/>
          <w:lang w:eastAsia="zh-CN"/>
        </w:rPr>
        <w:t>m</w:t>
      </w:r>
      <w:r>
        <w:rPr>
          <w:rFonts w:eastAsia="宋体" w:cs="Times New Roman"/>
          <w:color w:val="auto"/>
          <w:sz w:val="24"/>
          <w:shd w:val="clear" w:color="auto" w:fill="auto"/>
        </w:rPr>
        <w:t>g/L，产生量约</w:t>
      </w:r>
      <w:r>
        <w:rPr>
          <w:rFonts w:hint="eastAsia" w:eastAsia="宋体" w:cs="Times New Roman"/>
          <w:color w:val="auto"/>
          <w:sz w:val="24"/>
          <w:shd w:val="clear" w:color="auto" w:fill="auto"/>
          <w:lang w:val="en-US" w:eastAsia="zh-CN"/>
        </w:rPr>
        <w:t>5.52</w:t>
      </w:r>
      <w:r>
        <w:rPr>
          <w:rFonts w:eastAsia="宋体" w:cs="Times New Roman"/>
          <w:color w:val="auto"/>
          <w:sz w:val="24"/>
          <w:shd w:val="clear" w:color="auto" w:fill="auto"/>
        </w:rPr>
        <w:t>t。</w:t>
      </w:r>
    </w:p>
    <w:p>
      <w:pPr>
        <w:pStyle w:val="42"/>
        <w:spacing w:line="360" w:lineRule="auto"/>
        <w:ind w:firstLine="480"/>
        <w:rPr>
          <w:rFonts w:eastAsia="宋体"/>
          <w:color w:val="auto"/>
          <w:sz w:val="24"/>
          <w:shd w:val="clear" w:color="auto" w:fill="auto"/>
        </w:rPr>
      </w:pPr>
      <w:r>
        <w:rPr>
          <w:rFonts w:eastAsia="宋体"/>
          <w:color w:val="auto"/>
          <w:sz w:val="24"/>
          <w:shd w:val="clear" w:color="auto" w:fill="auto"/>
        </w:rPr>
        <w:t>（</w:t>
      </w:r>
      <w:r>
        <w:rPr>
          <w:rFonts w:hint="eastAsia" w:eastAsia="宋体"/>
          <w:color w:val="auto"/>
          <w:sz w:val="24"/>
          <w:shd w:val="clear" w:color="auto" w:fill="auto"/>
        </w:rPr>
        <w:t>3</w:t>
      </w:r>
      <w:r>
        <w:rPr>
          <w:rFonts w:eastAsia="宋体"/>
          <w:color w:val="auto"/>
          <w:sz w:val="24"/>
          <w:shd w:val="clear" w:color="auto" w:fill="auto"/>
        </w:rPr>
        <w:t>）施工机械</w:t>
      </w:r>
      <w:r>
        <w:rPr>
          <w:rFonts w:hint="eastAsia" w:eastAsia="宋体"/>
          <w:color w:val="auto"/>
          <w:sz w:val="24"/>
          <w:shd w:val="clear" w:color="auto" w:fill="auto"/>
        </w:rPr>
        <w:t>冲洗</w:t>
      </w:r>
      <w:r>
        <w:rPr>
          <w:rFonts w:eastAsia="宋体"/>
          <w:color w:val="auto"/>
          <w:sz w:val="24"/>
          <w:shd w:val="clear" w:color="auto" w:fill="auto"/>
        </w:rPr>
        <w:t>废水</w:t>
      </w:r>
    </w:p>
    <w:p>
      <w:pPr>
        <w:pStyle w:val="12"/>
        <w:ind w:firstLine="480"/>
        <w:jc w:val="left"/>
        <w:rPr>
          <w:color w:val="auto"/>
          <w:shd w:val="clear" w:color="auto" w:fill="auto"/>
        </w:rPr>
      </w:pPr>
      <w:r>
        <w:rPr>
          <w:color w:val="auto"/>
          <w:shd w:val="clear" w:color="auto" w:fill="auto"/>
        </w:rPr>
        <w:t>工程需定期清洗的主要施工机械设备，以</w:t>
      </w:r>
      <w:r>
        <w:rPr>
          <w:rFonts w:hint="eastAsia"/>
          <w:color w:val="auto"/>
          <w:shd w:val="clear" w:color="auto" w:fill="auto"/>
          <w:lang w:val="en-US" w:eastAsia="zh-CN"/>
        </w:rPr>
        <w:t>1</w:t>
      </w:r>
      <w:r>
        <w:rPr>
          <w:color w:val="auto"/>
          <w:shd w:val="clear" w:color="auto" w:fill="auto"/>
        </w:rPr>
        <w:t>0台（辆）计，将会产生机械车辆维修、冲洗污水，每台机械设备冲洗水以0.6</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/d计算，则污水产生量为</w:t>
      </w:r>
      <w:r>
        <w:rPr>
          <w:rFonts w:hint="eastAsia"/>
          <w:color w:val="auto"/>
          <w:shd w:val="clear" w:color="auto" w:fill="auto"/>
          <w:lang w:val="en-US" w:eastAsia="zh-CN"/>
        </w:rPr>
        <w:t>6</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/d，</w:t>
      </w:r>
      <w:r>
        <w:rPr>
          <w:rFonts w:hint="eastAsia"/>
          <w:color w:val="auto"/>
          <w:spacing w:val="-2"/>
          <w:shd w:val="clear" w:color="auto" w:fill="auto"/>
        </w:rPr>
        <w:t>施</w:t>
      </w:r>
      <w:r>
        <w:rPr>
          <w:rFonts w:hint="eastAsia"/>
          <w:color w:val="auto"/>
          <w:spacing w:val="-1"/>
          <w:shd w:val="clear" w:color="auto" w:fill="auto"/>
        </w:rPr>
        <w:t>工期约</w:t>
      </w:r>
      <w:r>
        <w:rPr>
          <w:rFonts w:hint="eastAsia"/>
          <w:color w:val="auto"/>
          <w:spacing w:val="-1"/>
          <w:shd w:val="clear" w:color="auto" w:fill="auto"/>
          <w:lang w:val="en-US" w:eastAsia="zh-CN"/>
        </w:rPr>
        <w:t>1</w:t>
      </w:r>
      <w:r>
        <w:rPr>
          <w:rFonts w:hint="eastAsia"/>
          <w:color w:val="auto"/>
          <w:spacing w:val="-1"/>
          <w:shd w:val="clear" w:color="auto" w:fill="auto"/>
        </w:rPr>
        <w:t>年，</w:t>
      </w:r>
      <w:r>
        <w:rPr>
          <w:rFonts w:hint="eastAsia"/>
          <w:color w:val="auto"/>
          <w:shd w:val="clear" w:color="auto" w:fill="auto"/>
        </w:rPr>
        <w:t>整个施工期发生总量为</w:t>
      </w:r>
      <w:r>
        <w:rPr>
          <w:rFonts w:hint="eastAsia"/>
          <w:color w:val="auto"/>
          <w:shd w:val="clear" w:color="auto" w:fill="auto"/>
          <w:lang w:val="en-US" w:eastAsia="zh-CN"/>
        </w:rPr>
        <w:t>2160</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pacing w:val="-2"/>
          <w:shd w:val="clear" w:color="auto" w:fill="auto"/>
        </w:rPr>
        <w:t>。</w:t>
      </w:r>
      <w:r>
        <w:rPr>
          <w:color w:val="auto"/>
          <w:shd w:val="clear" w:color="auto" w:fill="auto"/>
        </w:rPr>
        <w:t>污水中主要污染物</w:t>
      </w:r>
      <w:r>
        <w:rPr>
          <w:rFonts w:hint="eastAsia"/>
          <w:color w:val="auto"/>
          <w:shd w:val="clear" w:color="auto" w:fill="auto"/>
        </w:rPr>
        <w:t>浓度为：</w:t>
      </w:r>
      <w:r>
        <w:rPr>
          <w:color w:val="auto"/>
          <w:shd w:val="clear" w:color="auto" w:fill="auto"/>
        </w:rPr>
        <w:t>石油类50</w:t>
      </w:r>
      <w:r>
        <w:rPr>
          <w:rFonts w:hint="eastAsia"/>
          <w:color w:val="auto"/>
          <w:shd w:val="clear" w:color="auto" w:fill="auto"/>
          <w:lang w:eastAsia="zh-CN"/>
        </w:rPr>
        <w:t>m</w:t>
      </w:r>
      <w:r>
        <w:rPr>
          <w:color w:val="auto"/>
          <w:shd w:val="clear" w:color="auto" w:fill="auto"/>
        </w:rPr>
        <w:t>g/L</w:t>
      </w:r>
      <w:r>
        <w:rPr>
          <w:rFonts w:hint="eastAsia"/>
          <w:color w:val="auto"/>
          <w:shd w:val="clear" w:color="auto" w:fill="auto"/>
        </w:rPr>
        <w:t>、</w:t>
      </w:r>
      <w:r>
        <w:rPr>
          <w:color w:val="auto"/>
          <w:shd w:val="clear" w:color="auto" w:fill="auto"/>
        </w:rPr>
        <w:t>SS</w:t>
      </w:r>
      <w:r>
        <w:rPr>
          <w:rFonts w:hint="eastAsia"/>
          <w:color w:val="auto"/>
          <w:shd w:val="clear" w:color="auto" w:fill="auto"/>
        </w:rPr>
        <w:t xml:space="preserve"> </w:t>
      </w:r>
      <w:r>
        <w:rPr>
          <w:color w:val="auto"/>
          <w:shd w:val="clear" w:color="auto" w:fill="auto"/>
        </w:rPr>
        <w:t>2000</w:t>
      </w:r>
      <w:r>
        <w:rPr>
          <w:rFonts w:hint="eastAsia"/>
          <w:color w:val="auto"/>
          <w:shd w:val="clear" w:color="auto" w:fill="auto"/>
          <w:lang w:eastAsia="zh-CN"/>
        </w:rPr>
        <w:t>m</w:t>
      </w:r>
      <w:r>
        <w:rPr>
          <w:color w:val="auto"/>
          <w:shd w:val="clear" w:color="auto" w:fill="auto"/>
        </w:rPr>
        <w:t>g/L。</w:t>
      </w:r>
      <w:r>
        <w:rPr>
          <w:rFonts w:hint="eastAsia"/>
          <w:color w:val="auto"/>
          <w:shd w:val="clear" w:color="auto" w:fill="auto"/>
        </w:rPr>
        <w:t>则施工机械废水的污染物发生总量为石油类</w:t>
      </w:r>
      <w:r>
        <w:rPr>
          <w:rFonts w:hint="eastAsia"/>
          <w:color w:val="auto"/>
          <w:spacing w:val="-63"/>
          <w:shd w:val="clear" w:color="auto" w:fill="auto"/>
        </w:rPr>
        <w:t xml:space="preserve"> </w:t>
      </w:r>
      <w:r>
        <w:rPr>
          <w:rFonts w:eastAsia="Times New Roman"/>
          <w:color w:val="auto"/>
          <w:shd w:val="clear" w:color="auto" w:fill="auto"/>
        </w:rPr>
        <w:t>0.</w:t>
      </w:r>
      <w:r>
        <w:rPr>
          <w:rFonts w:hint="eastAsia" w:eastAsia="宋体"/>
          <w:color w:val="auto"/>
          <w:shd w:val="clear" w:color="auto" w:fill="auto"/>
          <w:lang w:val="en-US" w:eastAsia="zh-CN"/>
        </w:rPr>
        <w:t>108</w:t>
      </w:r>
      <w:r>
        <w:rPr>
          <w:rFonts w:eastAsia="Times New Roman"/>
          <w:color w:val="auto"/>
          <w:shd w:val="clear" w:color="auto" w:fill="auto"/>
        </w:rPr>
        <w:t>t</w:t>
      </w:r>
      <w:r>
        <w:rPr>
          <w:rFonts w:hint="eastAsia"/>
          <w:color w:val="auto"/>
          <w:spacing w:val="-64"/>
          <w:shd w:val="clear" w:color="auto" w:fill="auto"/>
        </w:rPr>
        <w:t xml:space="preserve"> </w:t>
      </w:r>
      <w:r>
        <w:rPr>
          <w:rFonts w:hint="eastAsia"/>
          <w:color w:val="auto"/>
          <w:shd w:val="clear" w:color="auto" w:fill="auto"/>
        </w:rPr>
        <w:t>、</w:t>
      </w:r>
      <w:r>
        <w:rPr>
          <w:rFonts w:eastAsia="Times New Roman"/>
          <w:color w:val="auto"/>
          <w:spacing w:val="-1"/>
          <w:shd w:val="clear" w:color="auto" w:fill="auto"/>
        </w:rPr>
        <w:t>S</w:t>
      </w:r>
      <w:r>
        <w:rPr>
          <w:rFonts w:eastAsia="Times New Roman"/>
          <w:color w:val="auto"/>
          <w:shd w:val="clear" w:color="auto" w:fill="auto"/>
        </w:rPr>
        <w:t>S</w:t>
      </w:r>
      <w:r>
        <w:rPr>
          <w:rFonts w:hint="eastAsia" w:eastAsia="宋体"/>
          <w:color w:val="auto"/>
          <w:spacing w:val="-5"/>
          <w:shd w:val="clear" w:color="auto" w:fill="auto"/>
          <w:lang w:val="en-US" w:eastAsia="zh-CN"/>
        </w:rPr>
        <w:t>4.32</w:t>
      </w:r>
      <w:r>
        <w:rPr>
          <w:rFonts w:eastAsia="Times New Roman"/>
          <w:color w:val="auto"/>
          <w:shd w:val="clear" w:color="auto" w:fill="auto"/>
        </w:rPr>
        <w:t>t</w:t>
      </w:r>
      <w:r>
        <w:rPr>
          <w:color w:val="auto"/>
          <w:shd w:val="clear" w:color="auto" w:fill="auto"/>
        </w:rPr>
        <w:t>。</w:t>
      </w:r>
    </w:p>
    <w:p>
      <w:pPr>
        <w:pStyle w:val="42"/>
        <w:spacing w:line="360" w:lineRule="auto"/>
        <w:ind w:firstLine="480"/>
        <w:rPr>
          <w:rFonts w:eastAsia="宋体"/>
          <w:color w:val="auto"/>
          <w:sz w:val="24"/>
          <w:shd w:val="clear" w:color="auto" w:fill="auto"/>
        </w:rPr>
      </w:pPr>
      <w:r>
        <w:rPr>
          <w:rFonts w:eastAsia="宋体"/>
          <w:color w:val="auto"/>
          <w:sz w:val="24"/>
          <w:shd w:val="clear" w:color="auto" w:fill="auto"/>
        </w:rPr>
        <w:t>（</w:t>
      </w:r>
      <w:r>
        <w:rPr>
          <w:rFonts w:hint="eastAsia" w:eastAsia="宋体"/>
          <w:color w:val="auto"/>
          <w:sz w:val="24"/>
          <w:shd w:val="clear" w:color="auto" w:fill="auto"/>
        </w:rPr>
        <w:t>4</w:t>
      </w:r>
      <w:r>
        <w:rPr>
          <w:rFonts w:eastAsia="宋体"/>
          <w:color w:val="auto"/>
          <w:sz w:val="24"/>
          <w:shd w:val="clear" w:color="auto" w:fill="auto"/>
        </w:rPr>
        <w:t>）</w:t>
      </w:r>
      <w:r>
        <w:rPr>
          <w:rFonts w:hint="eastAsia" w:eastAsia="宋体"/>
          <w:color w:val="auto"/>
          <w:sz w:val="24"/>
          <w:shd w:val="clear" w:color="auto" w:fill="auto"/>
        </w:rPr>
        <w:t>陆域</w:t>
      </w:r>
      <w:r>
        <w:rPr>
          <w:rFonts w:eastAsia="宋体"/>
          <w:color w:val="auto"/>
          <w:sz w:val="24"/>
          <w:shd w:val="clear" w:color="auto" w:fill="auto"/>
        </w:rPr>
        <w:t>生活污水</w:t>
      </w:r>
    </w:p>
    <w:p>
      <w:pPr>
        <w:ind w:firstLine="480"/>
        <w:rPr>
          <w:color w:val="auto"/>
          <w:shd w:val="clear" w:color="auto" w:fill="auto"/>
        </w:rPr>
      </w:pPr>
      <w:r>
        <w:rPr>
          <w:rFonts w:hint="eastAsia"/>
          <w:color w:val="auto"/>
          <w:shd w:val="clear" w:color="auto" w:fill="auto"/>
        </w:rPr>
        <w:t>陆域</w:t>
      </w:r>
      <w:r>
        <w:rPr>
          <w:color w:val="auto"/>
          <w:shd w:val="clear" w:color="auto" w:fill="auto"/>
        </w:rPr>
        <w:t>施工人员</w:t>
      </w:r>
      <w:r>
        <w:rPr>
          <w:rFonts w:hint="eastAsia"/>
          <w:color w:val="auto"/>
          <w:shd w:val="clear" w:color="auto" w:fill="auto"/>
        </w:rPr>
        <w:t>约为</w:t>
      </w:r>
      <w:r>
        <w:rPr>
          <w:rFonts w:hint="eastAsia"/>
          <w:color w:val="auto"/>
          <w:shd w:val="clear" w:color="auto" w:fill="auto"/>
          <w:lang w:val="en-US" w:eastAsia="zh-CN"/>
        </w:rPr>
        <w:t>4</w:t>
      </w:r>
      <w:r>
        <w:rPr>
          <w:rFonts w:hint="eastAsia"/>
          <w:color w:val="auto"/>
          <w:shd w:val="clear" w:color="auto" w:fill="auto"/>
        </w:rPr>
        <w:t>0</w:t>
      </w:r>
      <w:r>
        <w:rPr>
          <w:color w:val="auto"/>
          <w:shd w:val="clear" w:color="auto" w:fill="auto"/>
        </w:rPr>
        <w:t>人，</w:t>
      </w:r>
      <w:r>
        <w:rPr>
          <w:rFonts w:hint="eastAsia"/>
          <w:color w:val="auto"/>
          <w:shd w:val="clear" w:color="auto" w:fill="auto"/>
        </w:rPr>
        <w:t>用水量按120L/d</w:t>
      </w:r>
      <w:r>
        <w:rPr>
          <w:color w:val="auto"/>
          <w:shd w:val="clear" w:color="auto" w:fill="auto"/>
        </w:rPr>
        <w:t>•</w:t>
      </w:r>
      <w:r>
        <w:rPr>
          <w:rFonts w:hint="eastAsia"/>
          <w:color w:val="auto"/>
          <w:shd w:val="clear" w:color="auto" w:fill="auto"/>
        </w:rPr>
        <w:t>人，产污系数0.8，则陆域</w:t>
      </w:r>
      <w:r>
        <w:rPr>
          <w:color w:val="auto"/>
          <w:shd w:val="clear" w:color="auto" w:fill="auto"/>
        </w:rPr>
        <w:t>施工人员</w:t>
      </w:r>
      <w:r>
        <w:rPr>
          <w:rFonts w:hint="eastAsia"/>
          <w:color w:val="auto"/>
          <w:shd w:val="clear" w:color="auto" w:fill="auto"/>
        </w:rPr>
        <w:t>生活</w:t>
      </w:r>
      <w:r>
        <w:rPr>
          <w:color w:val="auto"/>
          <w:shd w:val="clear" w:color="auto" w:fill="auto"/>
        </w:rPr>
        <w:t>污水</w:t>
      </w:r>
      <w:r>
        <w:rPr>
          <w:rFonts w:hint="eastAsia"/>
          <w:color w:val="auto"/>
          <w:shd w:val="clear" w:color="auto" w:fill="auto"/>
        </w:rPr>
        <w:t>排放量</w:t>
      </w:r>
      <w:r>
        <w:rPr>
          <w:rFonts w:hint="eastAsia"/>
          <w:color w:val="auto"/>
          <w:shd w:val="clear" w:color="auto" w:fill="auto"/>
          <w:lang w:val="en-US" w:eastAsia="zh-CN"/>
        </w:rPr>
        <w:t>3.84</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/d，</w:t>
      </w:r>
      <w:r>
        <w:rPr>
          <w:rFonts w:hint="eastAsia"/>
          <w:color w:val="auto"/>
          <w:shd w:val="clear" w:color="auto" w:fill="auto"/>
          <w:lang w:val="en-US" w:eastAsia="zh-CN"/>
        </w:rPr>
        <w:t>施工期一年，</w:t>
      </w:r>
      <w:r>
        <w:rPr>
          <w:rFonts w:hint="eastAsia"/>
          <w:color w:val="auto"/>
          <w:shd w:val="clear" w:color="auto" w:fill="auto"/>
        </w:rPr>
        <w:t>则整个施工期陆域生活污水产生量为</w:t>
      </w:r>
      <w:r>
        <w:rPr>
          <w:rFonts w:hint="eastAsia"/>
          <w:color w:val="auto"/>
          <w:shd w:val="clear" w:color="auto" w:fill="auto"/>
          <w:lang w:val="en-US" w:eastAsia="zh-CN"/>
        </w:rPr>
        <w:t>1382.4</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。根据《港口建设项目环境保护设计规范》及同类港口有关资料类比分析，主要污染物COD浓度约300</w:t>
      </w:r>
      <w:r>
        <w:rPr>
          <w:rFonts w:hint="eastAsia"/>
          <w:color w:val="auto"/>
          <w:shd w:val="clear" w:color="auto" w:fill="auto"/>
          <w:lang w:eastAsia="zh-CN"/>
        </w:rPr>
        <w:t>m</w:t>
      </w:r>
      <w:r>
        <w:rPr>
          <w:color w:val="auto"/>
          <w:shd w:val="clear" w:color="auto" w:fill="auto"/>
        </w:rPr>
        <w:t>g/L、BOD</w:t>
      </w:r>
      <w:r>
        <w:rPr>
          <w:color w:val="auto"/>
          <w:shd w:val="clear" w:color="auto" w:fill="auto"/>
          <w:vertAlign w:val="subscript"/>
        </w:rPr>
        <w:t>5</w:t>
      </w:r>
      <w:r>
        <w:rPr>
          <w:color w:val="auto"/>
          <w:shd w:val="clear" w:color="auto" w:fill="auto"/>
        </w:rPr>
        <w:t>约1</w:t>
      </w:r>
      <w:r>
        <w:rPr>
          <w:rFonts w:hint="eastAsia"/>
          <w:color w:val="auto"/>
          <w:shd w:val="clear" w:color="auto" w:fill="auto"/>
        </w:rPr>
        <w:t>8</w:t>
      </w:r>
      <w:r>
        <w:rPr>
          <w:color w:val="auto"/>
          <w:shd w:val="clear" w:color="auto" w:fill="auto"/>
        </w:rPr>
        <w:t>0</w:t>
      </w:r>
      <w:r>
        <w:rPr>
          <w:rFonts w:hint="eastAsia"/>
          <w:color w:val="auto"/>
          <w:shd w:val="clear" w:color="auto" w:fill="auto"/>
          <w:lang w:eastAsia="zh-CN"/>
        </w:rPr>
        <w:t>m</w:t>
      </w:r>
      <w:r>
        <w:rPr>
          <w:color w:val="auto"/>
          <w:shd w:val="clear" w:color="auto" w:fill="auto"/>
        </w:rPr>
        <w:t>g/L、NH</w:t>
      </w:r>
      <w:r>
        <w:rPr>
          <w:color w:val="auto"/>
          <w:shd w:val="clear" w:color="auto" w:fill="auto"/>
          <w:vertAlign w:val="subscript"/>
        </w:rPr>
        <w:t>3</w:t>
      </w:r>
      <w:r>
        <w:rPr>
          <w:color w:val="auto"/>
          <w:shd w:val="clear" w:color="auto" w:fill="auto"/>
        </w:rPr>
        <w:t>-N约</w:t>
      </w:r>
      <w:r>
        <w:rPr>
          <w:rFonts w:hint="eastAsia"/>
          <w:color w:val="auto"/>
          <w:shd w:val="clear" w:color="auto" w:fill="auto"/>
        </w:rPr>
        <w:t>3</w:t>
      </w:r>
      <w:r>
        <w:rPr>
          <w:color w:val="auto"/>
          <w:shd w:val="clear" w:color="auto" w:fill="auto"/>
        </w:rPr>
        <w:t>5</w:t>
      </w:r>
      <w:r>
        <w:rPr>
          <w:rFonts w:hint="eastAsia"/>
          <w:color w:val="auto"/>
          <w:shd w:val="clear" w:color="auto" w:fill="auto"/>
          <w:lang w:eastAsia="zh-CN"/>
        </w:rPr>
        <w:t>m</w:t>
      </w:r>
      <w:r>
        <w:rPr>
          <w:color w:val="auto"/>
          <w:shd w:val="clear" w:color="auto" w:fill="auto"/>
        </w:rPr>
        <w:t>g/L、SS约</w:t>
      </w:r>
      <w:r>
        <w:rPr>
          <w:rFonts w:hint="eastAsia"/>
          <w:color w:val="auto"/>
          <w:shd w:val="clear" w:color="auto" w:fill="auto"/>
        </w:rPr>
        <w:t>20</w:t>
      </w:r>
      <w:r>
        <w:rPr>
          <w:color w:val="auto"/>
          <w:shd w:val="clear" w:color="auto" w:fill="auto"/>
        </w:rPr>
        <w:t>0</w:t>
      </w:r>
      <w:r>
        <w:rPr>
          <w:rFonts w:hint="eastAsia"/>
          <w:color w:val="auto"/>
          <w:shd w:val="clear" w:color="auto" w:fill="auto"/>
          <w:lang w:eastAsia="zh-CN"/>
        </w:rPr>
        <w:t>m</w:t>
      </w:r>
      <w:r>
        <w:rPr>
          <w:color w:val="auto"/>
          <w:shd w:val="clear" w:color="auto" w:fill="auto"/>
        </w:rPr>
        <w:t>g/L。</w:t>
      </w:r>
    </w:p>
    <w:p>
      <w:pPr>
        <w:pStyle w:val="42"/>
        <w:spacing w:line="360" w:lineRule="auto"/>
        <w:ind w:firstLine="480"/>
        <w:rPr>
          <w:rFonts w:eastAsia="宋体"/>
          <w:color w:val="auto"/>
          <w:sz w:val="24"/>
          <w:shd w:val="clear" w:color="auto" w:fill="auto"/>
        </w:rPr>
      </w:pPr>
      <w:r>
        <w:rPr>
          <w:rFonts w:eastAsia="宋体"/>
          <w:color w:val="auto"/>
          <w:sz w:val="24"/>
          <w:shd w:val="clear" w:color="auto" w:fill="auto"/>
        </w:rPr>
        <w:t>（</w:t>
      </w:r>
      <w:r>
        <w:rPr>
          <w:rFonts w:hint="eastAsia" w:eastAsia="宋体"/>
          <w:color w:val="auto"/>
          <w:sz w:val="24"/>
          <w:shd w:val="clear" w:color="auto" w:fill="auto"/>
        </w:rPr>
        <w:t>5</w:t>
      </w:r>
      <w:r>
        <w:rPr>
          <w:rFonts w:eastAsia="宋体"/>
          <w:color w:val="auto"/>
          <w:sz w:val="24"/>
          <w:shd w:val="clear" w:color="auto" w:fill="auto"/>
        </w:rPr>
        <w:t>）施工船舶</w:t>
      </w:r>
      <w:r>
        <w:rPr>
          <w:rFonts w:hint="eastAsia" w:eastAsia="宋体"/>
          <w:color w:val="auto"/>
          <w:sz w:val="24"/>
          <w:shd w:val="clear" w:color="auto" w:fill="auto"/>
        </w:rPr>
        <w:t>油</w:t>
      </w:r>
      <w:r>
        <w:rPr>
          <w:rFonts w:eastAsia="宋体"/>
          <w:color w:val="auto"/>
          <w:sz w:val="24"/>
          <w:shd w:val="clear" w:color="auto" w:fill="auto"/>
        </w:rPr>
        <w:t>污水</w:t>
      </w:r>
      <w:r>
        <w:rPr>
          <w:rFonts w:hint="eastAsia" w:eastAsia="宋体"/>
          <w:color w:val="auto"/>
          <w:sz w:val="24"/>
          <w:shd w:val="clear" w:color="auto" w:fill="auto"/>
        </w:rPr>
        <w:t>、</w:t>
      </w:r>
      <w:r>
        <w:rPr>
          <w:rFonts w:eastAsia="宋体"/>
          <w:color w:val="auto"/>
          <w:sz w:val="24"/>
          <w:shd w:val="clear" w:color="auto" w:fill="auto"/>
        </w:rPr>
        <w:t>船舶生活污水</w:t>
      </w:r>
    </w:p>
    <w:p>
      <w:pPr>
        <w:pStyle w:val="42"/>
        <w:spacing w:line="360" w:lineRule="auto"/>
        <w:ind w:firstLine="480"/>
        <w:rPr>
          <w:rFonts w:eastAsia="宋体"/>
          <w:color w:val="auto"/>
          <w:sz w:val="24"/>
          <w:shd w:val="clear" w:color="auto" w:fill="auto"/>
        </w:rPr>
      </w:pPr>
      <w:r>
        <w:rPr>
          <w:rFonts w:hint="eastAsia" w:ascii="宋体" w:hAnsi="宋体" w:eastAsia="宋体" w:cs="宋体"/>
          <w:color w:val="auto"/>
          <w:kern w:val="0"/>
          <w:sz w:val="24"/>
          <w:shd w:val="clear" w:color="auto" w:fill="auto"/>
        </w:rPr>
        <w:t>本项目</w:t>
      </w:r>
      <w:r>
        <w:rPr>
          <w:rFonts w:hint="eastAsia" w:ascii="宋体" w:hAnsi="宋体" w:eastAsia="宋体" w:cs="宋体"/>
          <w:color w:val="auto"/>
          <w:sz w:val="24"/>
          <w:shd w:val="clear" w:color="auto" w:fill="auto"/>
        </w:rPr>
        <w:t>港区往来船舶仅限</w:t>
      </w:r>
      <w:r>
        <w:rPr>
          <w:rFonts w:hint="eastAsia" w:ascii="宋体" w:hAnsi="宋体" w:eastAsia="宋体" w:cs="宋体"/>
          <w:color w:val="auto"/>
          <w:sz w:val="24"/>
          <w:shd w:val="clear" w:color="auto" w:fill="auto"/>
          <w:lang w:val="en-US" w:eastAsia="zh-CN"/>
        </w:rPr>
        <w:t>沙颍河及附近水域</w:t>
      </w:r>
      <w:r>
        <w:rPr>
          <w:rFonts w:hint="eastAsia" w:ascii="宋体" w:hAnsi="宋体" w:eastAsia="宋体" w:cs="宋体"/>
          <w:color w:val="auto"/>
          <w:sz w:val="24"/>
          <w:shd w:val="clear" w:color="auto" w:fill="auto"/>
        </w:rPr>
        <w:t>，因此不存在船舶压舱水问题。</w:t>
      </w:r>
      <w:r>
        <w:rPr>
          <w:rFonts w:eastAsia="宋体"/>
          <w:color w:val="auto"/>
          <w:sz w:val="24"/>
          <w:shd w:val="clear" w:color="auto" w:fill="auto"/>
        </w:rPr>
        <w:t>施工船舶污水包括船舶油污水和船舶生活污水。船舶水上施工</w:t>
      </w:r>
      <w:r>
        <w:rPr>
          <w:rFonts w:hint="eastAsia" w:eastAsia="宋体"/>
          <w:color w:val="auto"/>
          <w:sz w:val="24"/>
          <w:shd w:val="clear" w:color="auto" w:fill="auto"/>
        </w:rPr>
        <w:t>120</w:t>
      </w:r>
      <w:r>
        <w:rPr>
          <w:rFonts w:eastAsia="宋体"/>
          <w:color w:val="auto"/>
          <w:sz w:val="24"/>
          <w:shd w:val="clear" w:color="auto" w:fill="auto"/>
        </w:rPr>
        <w:t>天计算，根据《港口工程环境保护设计规范》（JTS149-1-2007），</w:t>
      </w:r>
      <w:r>
        <w:rPr>
          <w:rFonts w:hint="eastAsia" w:eastAsia="宋体"/>
          <w:color w:val="auto"/>
          <w:sz w:val="24"/>
          <w:shd w:val="clear" w:color="auto" w:fill="auto"/>
        </w:rPr>
        <w:t>5</w:t>
      </w:r>
      <w:r>
        <w:rPr>
          <w:rFonts w:eastAsia="宋体"/>
          <w:color w:val="auto"/>
          <w:sz w:val="24"/>
          <w:shd w:val="clear" w:color="auto" w:fill="auto"/>
        </w:rPr>
        <w:t>00～</w:t>
      </w:r>
      <w:r>
        <w:rPr>
          <w:rFonts w:hint="eastAsia" w:eastAsia="宋体"/>
          <w:color w:val="auto"/>
          <w:sz w:val="24"/>
          <w:shd w:val="clear" w:color="auto" w:fill="auto"/>
        </w:rPr>
        <w:t>1</w:t>
      </w:r>
      <w:r>
        <w:rPr>
          <w:rFonts w:eastAsia="宋体"/>
          <w:color w:val="auto"/>
          <w:sz w:val="24"/>
          <w:shd w:val="clear" w:color="auto" w:fill="auto"/>
        </w:rPr>
        <w:t>000吨级船舶舱底油污水水量为0.</w:t>
      </w:r>
      <w:r>
        <w:rPr>
          <w:rFonts w:hint="eastAsia" w:eastAsia="宋体"/>
          <w:color w:val="auto"/>
          <w:sz w:val="24"/>
          <w:shd w:val="clear" w:color="auto" w:fill="auto"/>
        </w:rPr>
        <w:t>14</w:t>
      </w:r>
      <w:r>
        <w:rPr>
          <w:rFonts w:eastAsia="宋体"/>
          <w:color w:val="auto"/>
          <w:sz w:val="24"/>
          <w:shd w:val="clear" w:color="auto" w:fill="auto"/>
        </w:rPr>
        <w:t>-</w:t>
      </w:r>
      <w:r>
        <w:rPr>
          <w:rFonts w:hint="eastAsia" w:eastAsia="宋体"/>
          <w:color w:val="auto"/>
          <w:sz w:val="24"/>
          <w:shd w:val="clear" w:color="auto" w:fill="auto"/>
        </w:rPr>
        <w:t>0.27</w:t>
      </w:r>
      <w:r>
        <w:rPr>
          <w:rFonts w:eastAsia="宋体"/>
          <w:color w:val="auto"/>
          <w:sz w:val="24"/>
          <w:shd w:val="clear" w:color="auto" w:fill="auto"/>
        </w:rPr>
        <w:t>t/d</w:t>
      </w:r>
      <w:r>
        <w:rPr>
          <w:color w:val="auto"/>
          <w:kern w:val="0"/>
          <w:sz w:val="24"/>
          <w:shd w:val="clear" w:color="auto" w:fill="auto"/>
        </w:rPr>
        <w:t>•</w:t>
      </w:r>
      <w:r>
        <w:rPr>
          <w:rFonts w:eastAsia="宋体"/>
          <w:color w:val="auto"/>
          <w:sz w:val="24"/>
          <w:shd w:val="clear" w:color="auto" w:fill="auto"/>
        </w:rPr>
        <w:t>艘，按3艘施工船舶同时工作估算，施工船舶舱底油污水产生量约为</w:t>
      </w:r>
      <w:r>
        <w:rPr>
          <w:rFonts w:hint="eastAsia" w:eastAsia="宋体"/>
          <w:color w:val="auto"/>
          <w:sz w:val="24"/>
          <w:shd w:val="clear" w:color="auto" w:fill="auto"/>
        </w:rPr>
        <w:t>0.81</w:t>
      </w:r>
      <w:r>
        <w:rPr>
          <w:rFonts w:eastAsia="宋体"/>
          <w:color w:val="auto"/>
          <w:sz w:val="24"/>
          <w:shd w:val="clear" w:color="auto" w:fill="auto"/>
        </w:rPr>
        <w:t>t/d</w:t>
      </w:r>
      <w:r>
        <w:rPr>
          <w:rFonts w:hint="eastAsia" w:eastAsia="宋体"/>
          <w:color w:val="auto"/>
          <w:sz w:val="24"/>
          <w:shd w:val="clear" w:color="auto" w:fill="auto"/>
        </w:rPr>
        <w:t>，施工期仓底油污水的发生总量为97.2</w:t>
      </w:r>
      <w:r>
        <w:rPr>
          <w:rFonts w:eastAsia="宋体"/>
          <w:color w:val="auto"/>
          <w:sz w:val="24"/>
          <w:shd w:val="clear" w:color="auto" w:fill="auto"/>
        </w:rPr>
        <w:t>t</w:t>
      </w:r>
      <w:r>
        <w:rPr>
          <w:rFonts w:hint="eastAsia" w:eastAsia="宋体"/>
          <w:color w:val="auto"/>
          <w:sz w:val="24"/>
          <w:shd w:val="clear" w:color="auto" w:fill="auto"/>
        </w:rPr>
        <w:t>，</w:t>
      </w:r>
      <w:r>
        <w:rPr>
          <w:rFonts w:eastAsia="宋体"/>
          <w:color w:val="auto"/>
          <w:sz w:val="24"/>
          <w:shd w:val="clear" w:color="auto" w:fill="auto"/>
        </w:rPr>
        <w:t>污水中石油类浓度为</w:t>
      </w:r>
      <w:r>
        <w:rPr>
          <w:rFonts w:hint="eastAsia" w:eastAsia="宋体"/>
          <w:color w:val="auto"/>
          <w:sz w:val="24"/>
          <w:shd w:val="clear" w:color="auto" w:fill="auto"/>
        </w:rPr>
        <w:t>5</w:t>
      </w:r>
      <w:r>
        <w:rPr>
          <w:rFonts w:eastAsia="宋体"/>
          <w:color w:val="auto"/>
          <w:sz w:val="24"/>
          <w:shd w:val="clear" w:color="auto" w:fill="auto"/>
        </w:rPr>
        <w:t>000</w:t>
      </w:r>
      <w:r>
        <w:rPr>
          <w:rFonts w:hint="eastAsia" w:eastAsia="宋体"/>
          <w:color w:val="auto"/>
          <w:sz w:val="24"/>
          <w:shd w:val="clear" w:color="auto" w:fill="auto"/>
          <w:lang w:eastAsia="zh-CN"/>
        </w:rPr>
        <w:t>m</w:t>
      </w:r>
      <w:r>
        <w:rPr>
          <w:rFonts w:eastAsia="宋体"/>
          <w:color w:val="auto"/>
          <w:sz w:val="24"/>
          <w:shd w:val="clear" w:color="auto" w:fill="auto"/>
        </w:rPr>
        <w:t>g/l</w:t>
      </w:r>
      <w:r>
        <w:rPr>
          <w:rFonts w:hint="eastAsia" w:eastAsia="宋体"/>
          <w:color w:val="auto"/>
          <w:sz w:val="24"/>
          <w:shd w:val="clear" w:color="auto" w:fill="auto"/>
        </w:rPr>
        <w:t>左右</w:t>
      </w:r>
      <w:r>
        <w:rPr>
          <w:rFonts w:eastAsia="宋体"/>
          <w:color w:val="auto"/>
          <w:sz w:val="24"/>
          <w:shd w:val="clear" w:color="auto" w:fill="auto"/>
        </w:rPr>
        <w:t>，</w:t>
      </w:r>
      <w:r>
        <w:rPr>
          <w:rFonts w:hint="eastAsia" w:eastAsia="宋体"/>
          <w:color w:val="auto"/>
          <w:sz w:val="24"/>
          <w:shd w:val="clear" w:color="auto" w:fill="auto"/>
        </w:rPr>
        <w:t>则</w:t>
      </w:r>
      <w:r>
        <w:rPr>
          <w:rFonts w:eastAsia="宋体"/>
          <w:color w:val="auto"/>
          <w:sz w:val="24"/>
          <w:shd w:val="clear" w:color="auto" w:fill="auto"/>
        </w:rPr>
        <w:t>石油类产生</w:t>
      </w:r>
      <w:r>
        <w:rPr>
          <w:rFonts w:hint="eastAsia" w:eastAsia="宋体"/>
          <w:color w:val="auto"/>
          <w:sz w:val="24"/>
          <w:shd w:val="clear" w:color="auto" w:fill="auto"/>
        </w:rPr>
        <w:t>总</w:t>
      </w:r>
      <w:r>
        <w:rPr>
          <w:rFonts w:eastAsia="宋体"/>
          <w:color w:val="auto"/>
          <w:sz w:val="24"/>
          <w:shd w:val="clear" w:color="auto" w:fill="auto"/>
        </w:rPr>
        <w:t>量为</w:t>
      </w:r>
      <w:r>
        <w:rPr>
          <w:rFonts w:hint="eastAsia" w:eastAsia="宋体"/>
          <w:color w:val="auto"/>
          <w:sz w:val="24"/>
          <w:shd w:val="clear" w:color="auto" w:fill="auto"/>
        </w:rPr>
        <w:t>0.486t</w:t>
      </w:r>
      <w:r>
        <w:rPr>
          <w:rFonts w:eastAsia="宋体"/>
          <w:color w:val="auto"/>
          <w:sz w:val="24"/>
          <w:shd w:val="clear" w:color="auto" w:fill="auto"/>
        </w:rPr>
        <w:t>。</w:t>
      </w:r>
    </w:p>
    <w:p>
      <w:pPr>
        <w:pStyle w:val="42"/>
        <w:spacing w:line="360" w:lineRule="auto"/>
        <w:ind w:firstLine="480"/>
        <w:rPr>
          <w:rFonts w:hint="eastAsia" w:ascii="Times New Roman" w:hAnsi="Times New Roman" w:eastAsia="宋体"/>
          <w:color w:val="auto"/>
          <w:sz w:val="24"/>
          <w:shd w:val="clear" w:color="auto" w:fill="auto"/>
        </w:rPr>
      </w:pPr>
      <w:r>
        <w:rPr>
          <w:rFonts w:hint="eastAsia" w:ascii="Times New Roman" w:hAnsi="Times New Roman" w:eastAsia="宋体"/>
          <w:color w:val="auto"/>
          <w:sz w:val="24"/>
          <w:shd w:val="clear" w:color="auto" w:fill="auto"/>
        </w:rPr>
        <w:t>船舶施工人员生活用水量按120L/d•人，产污系数0.8，施工船舶工作人员按30人计，则船舶上工作人员产生的船舶生活污水量为2.88</w:t>
      </w:r>
      <w:r>
        <w:rPr>
          <w:rFonts w:hint="eastAsia" w:eastAsia="宋体"/>
          <w:color w:val="auto"/>
          <w:sz w:val="24"/>
          <w:shd w:val="clear" w:color="auto" w:fill="auto"/>
          <w:vertAlign w:val="baseline"/>
          <w:lang w:eastAsia="zh-CN"/>
        </w:rPr>
        <w:t>m</w:t>
      </w:r>
      <w:r>
        <w:rPr>
          <w:rFonts w:hint="eastAsia" w:eastAsia="宋体"/>
          <w:color w:val="auto"/>
          <w:sz w:val="24"/>
          <w:shd w:val="clear" w:color="auto" w:fill="auto"/>
          <w:vertAlign w:val="superscript"/>
          <w:lang w:eastAsia="zh-CN"/>
        </w:rPr>
        <w:t>3</w:t>
      </w:r>
      <w:r>
        <w:rPr>
          <w:rFonts w:hint="eastAsia" w:ascii="Times New Roman" w:hAnsi="Times New Roman" w:eastAsia="宋体"/>
          <w:color w:val="auto"/>
          <w:sz w:val="24"/>
          <w:shd w:val="clear" w:color="auto" w:fill="auto"/>
        </w:rPr>
        <w:t>/d，施工期船舶生活污水发生量为345.6</w:t>
      </w:r>
      <w:r>
        <w:rPr>
          <w:rFonts w:hint="eastAsia" w:eastAsia="宋体"/>
          <w:color w:val="auto"/>
          <w:sz w:val="24"/>
          <w:shd w:val="clear" w:color="auto" w:fill="auto"/>
          <w:vertAlign w:val="baseline"/>
          <w:lang w:eastAsia="zh-CN"/>
        </w:rPr>
        <w:t>m</w:t>
      </w:r>
      <w:r>
        <w:rPr>
          <w:rFonts w:hint="eastAsia" w:eastAsia="宋体"/>
          <w:color w:val="auto"/>
          <w:sz w:val="24"/>
          <w:shd w:val="clear" w:color="auto" w:fill="auto"/>
          <w:vertAlign w:val="superscript"/>
          <w:lang w:eastAsia="zh-CN"/>
        </w:rPr>
        <w:t>3</w:t>
      </w:r>
      <w:r>
        <w:rPr>
          <w:rFonts w:hint="eastAsia" w:ascii="Times New Roman" w:hAnsi="Times New Roman" w:eastAsia="宋体"/>
          <w:color w:val="auto"/>
          <w:sz w:val="24"/>
          <w:shd w:val="clear" w:color="auto" w:fill="auto"/>
        </w:rPr>
        <w:t>。主要污染物浓度为COD 300</w:t>
      </w:r>
      <w:r>
        <w:rPr>
          <w:rFonts w:hint="eastAsia" w:eastAsia="宋体"/>
          <w:color w:val="auto"/>
          <w:sz w:val="24"/>
          <w:shd w:val="clear" w:color="auto" w:fill="auto"/>
          <w:lang w:eastAsia="zh-CN"/>
        </w:rPr>
        <w:t>m</w:t>
      </w:r>
      <w:r>
        <w:rPr>
          <w:rFonts w:hint="eastAsia" w:ascii="Times New Roman" w:hAnsi="Times New Roman" w:eastAsia="宋体"/>
          <w:color w:val="auto"/>
          <w:sz w:val="24"/>
          <w:shd w:val="clear" w:color="auto" w:fill="auto"/>
        </w:rPr>
        <w:t>g/L、BOD</w:t>
      </w:r>
      <w:r>
        <w:rPr>
          <w:rFonts w:hint="eastAsia" w:ascii="Times New Roman" w:hAnsi="Times New Roman" w:eastAsia="宋体"/>
          <w:color w:val="auto"/>
          <w:sz w:val="24"/>
          <w:shd w:val="clear" w:color="auto" w:fill="auto"/>
          <w:vertAlign w:val="subscript"/>
        </w:rPr>
        <w:t>5</w:t>
      </w:r>
      <w:r>
        <w:rPr>
          <w:rFonts w:hint="eastAsia" w:ascii="Times New Roman" w:hAnsi="Times New Roman" w:eastAsia="宋体"/>
          <w:color w:val="auto"/>
          <w:sz w:val="24"/>
          <w:shd w:val="clear" w:color="auto" w:fill="auto"/>
        </w:rPr>
        <w:t xml:space="preserve"> 180</w:t>
      </w:r>
      <w:r>
        <w:rPr>
          <w:rFonts w:hint="eastAsia" w:eastAsia="宋体"/>
          <w:color w:val="auto"/>
          <w:sz w:val="24"/>
          <w:shd w:val="clear" w:color="auto" w:fill="auto"/>
          <w:lang w:eastAsia="zh-CN"/>
        </w:rPr>
        <w:t>m</w:t>
      </w:r>
      <w:r>
        <w:rPr>
          <w:rFonts w:hint="eastAsia" w:ascii="Times New Roman" w:hAnsi="Times New Roman" w:eastAsia="宋体"/>
          <w:color w:val="auto"/>
          <w:sz w:val="24"/>
          <w:shd w:val="clear" w:color="auto" w:fill="auto"/>
        </w:rPr>
        <w:t>g/L、NH</w:t>
      </w:r>
      <w:r>
        <w:rPr>
          <w:rFonts w:hint="eastAsia" w:ascii="Times New Roman" w:hAnsi="Times New Roman" w:eastAsia="宋体"/>
          <w:color w:val="auto"/>
          <w:sz w:val="24"/>
          <w:shd w:val="clear" w:color="auto" w:fill="auto"/>
          <w:vertAlign w:val="subscript"/>
        </w:rPr>
        <w:t>3</w:t>
      </w:r>
      <w:r>
        <w:rPr>
          <w:rFonts w:hint="eastAsia" w:ascii="Times New Roman" w:hAnsi="Times New Roman" w:eastAsia="宋体"/>
          <w:color w:val="auto"/>
          <w:sz w:val="24"/>
          <w:shd w:val="clear" w:color="auto" w:fill="auto"/>
        </w:rPr>
        <w:t>-N 35</w:t>
      </w:r>
      <w:r>
        <w:rPr>
          <w:rFonts w:hint="eastAsia" w:eastAsia="宋体"/>
          <w:color w:val="auto"/>
          <w:sz w:val="24"/>
          <w:shd w:val="clear" w:color="auto" w:fill="auto"/>
          <w:lang w:eastAsia="zh-CN"/>
        </w:rPr>
        <w:t>m</w:t>
      </w:r>
      <w:r>
        <w:rPr>
          <w:rFonts w:hint="eastAsia" w:ascii="Times New Roman" w:hAnsi="Times New Roman" w:eastAsia="宋体"/>
          <w:color w:val="auto"/>
          <w:sz w:val="24"/>
          <w:shd w:val="clear" w:color="auto" w:fill="auto"/>
        </w:rPr>
        <w:t>g/L、SS 200</w:t>
      </w:r>
      <w:r>
        <w:rPr>
          <w:rFonts w:hint="eastAsia" w:eastAsia="宋体"/>
          <w:color w:val="auto"/>
          <w:sz w:val="24"/>
          <w:shd w:val="clear" w:color="auto" w:fill="auto"/>
          <w:lang w:eastAsia="zh-CN"/>
        </w:rPr>
        <w:t>m</w:t>
      </w:r>
      <w:r>
        <w:rPr>
          <w:rFonts w:hint="eastAsia" w:ascii="Times New Roman" w:hAnsi="Times New Roman" w:eastAsia="宋体"/>
          <w:color w:val="auto"/>
          <w:sz w:val="24"/>
          <w:shd w:val="clear" w:color="auto" w:fill="auto"/>
        </w:rPr>
        <w:t>g/L。</w:t>
      </w:r>
      <w:r>
        <w:rPr>
          <w:rFonts w:hint="eastAsia" w:ascii="Times New Roman" w:hAnsi="Times New Roman" w:eastAsia="宋体"/>
          <w:color w:val="auto"/>
          <w:sz w:val="24"/>
          <w:highlight w:val="none"/>
          <w:shd w:val="clear" w:color="auto" w:fill="auto"/>
        </w:rPr>
        <w:t>根据有关规定，船舶应设置与生活污水发生量相当的储存容器。本项目船舶生活污水和舱底油污水由有资质机构的港口专用接纳污水的接收船收集后集中处理，不得随意排放。</w:t>
      </w:r>
    </w:p>
    <w:p>
      <w:pPr>
        <w:pStyle w:val="2"/>
        <w:ind w:firstLine="480"/>
        <w:rPr>
          <w:color w:val="auto"/>
          <w:kern w:val="0"/>
          <w:shd w:val="clear" w:color="auto" w:fill="auto"/>
        </w:rPr>
      </w:pPr>
      <w:r>
        <w:rPr>
          <w:color w:val="auto"/>
          <w:kern w:val="0"/>
          <w:shd w:val="clear" w:color="auto" w:fill="auto"/>
        </w:rPr>
        <w:t>本工程施工期水污染物发生源强见表</w:t>
      </w:r>
      <w:r>
        <w:rPr>
          <w:rFonts w:hint="eastAsia"/>
          <w:color w:val="auto"/>
          <w:kern w:val="0"/>
          <w:shd w:val="clear" w:color="auto" w:fill="auto"/>
          <w:lang w:val="en-US" w:eastAsia="zh-CN"/>
        </w:rPr>
        <w:t>2.2</w:t>
      </w:r>
      <w:r>
        <w:rPr>
          <w:color w:val="auto"/>
          <w:kern w:val="0"/>
          <w:shd w:val="clear" w:color="auto" w:fill="auto"/>
        </w:rPr>
        <w:t>-</w:t>
      </w:r>
      <w:r>
        <w:rPr>
          <w:rFonts w:hint="eastAsia"/>
          <w:color w:val="auto"/>
          <w:kern w:val="0"/>
          <w:shd w:val="clear" w:color="auto" w:fill="auto"/>
        </w:rPr>
        <w:t>5</w:t>
      </w:r>
      <w:r>
        <w:rPr>
          <w:color w:val="auto"/>
          <w:kern w:val="0"/>
          <w:shd w:val="clear" w:color="auto" w:fill="auto"/>
        </w:rPr>
        <w:t>。</w:t>
      </w:r>
    </w:p>
    <w:p>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eastAsia" w:ascii="Times New Roman" w:hAnsi="Times New Roman" w:eastAsia="黑体" w:cs="Times New Roman"/>
          <w:color w:val="auto"/>
          <w:sz w:val="21"/>
          <w:szCs w:val="21"/>
          <w:shd w:val="clear" w:color="auto" w:fill="auto"/>
          <w:lang w:val="en-US" w:eastAsia="zh-CN"/>
        </w:rPr>
      </w:pPr>
      <w:r>
        <w:rPr>
          <w:rFonts w:hint="eastAsia" w:ascii="Times New Roman" w:hAnsi="Times New Roman" w:eastAsia="黑体" w:cs="Times New Roman"/>
          <w:color w:val="auto"/>
          <w:sz w:val="21"/>
          <w:szCs w:val="21"/>
          <w:shd w:val="clear" w:color="auto" w:fill="auto"/>
          <w:lang w:val="en-US" w:eastAsia="zh-CN"/>
        </w:rPr>
        <w:t>表2.2-5  施工期水污染物发生量</w:t>
      </w:r>
    </w:p>
    <w:tbl>
      <w:tblPr>
        <w:tblStyle w:val="26"/>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6"/>
        <w:gridCol w:w="1485"/>
        <w:gridCol w:w="1425"/>
        <w:gridCol w:w="1389"/>
        <w:gridCol w:w="1387"/>
        <w:gridCol w:w="1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2581" w:type="dxa"/>
            <w:gridSpan w:val="2"/>
            <w:vAlign w:val="center"/>
          </w:tcPr>
          <w:p>
            <w:pPr>
              <w:pStyle w:val="44"/>
              <w:rPr>
                <w:rFonts w:cs="Times New Roman"/>
                <w:color w:val="auto"/>
                <w:shd w:val="clear" w:color="auto" w:fill="auto"/>
              </w:rPr>
            </w:pPr>
            <w:r>
              <w:rPr>
                <w:rFonts w:hint="eastAsia" w:cs="Times New Roman"/>
                <w:color w:val="auto"/>
                <w:shd w:val="clear" w:color="auto" w:fill="auto"/>
              </w:rPr>
              <w:t>来 源</w:t>
            </w:r>
          </w:p>
        </w:tc>
        <w:tc>
          <w:tcPr>
            <w:tcW w:w="1425" w:type="dxa"/>
            <w:vAlign w:val="center"/>
          </w:tcPr>
          <w:p>
            <w:pPr>
              <w:pStyle w:val="44"/>
              <w:rPr>
                <w:rFonts w:cs="Times New Roman"/>
                <w:color w:val="auto"/>
                <w:shd w:val="clear" w:color="auto" w:fill="auto"/>
              </w:rPr>
            </w:pPr>
            <w:r>
              <w:rPr>
                <w:rFonts w:hint="eastAsia" w:cs="Times New Roman"/>
                <w:color w:val="auto"/>
                <w:shd w:val="clear" w:color="auto" w:fill="auto"/>
              </w:rPr>
              <w:t>污水发生量（</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s="Times New Roman"/>
                <w:color w:val="auto"/>
                <w:shd w:val="clear" w:color="auto" w:fill="auto"/>
              </w:rPr>
              <w:t>）</w:t>
            </w:r>
          </w:p>
        </w:tc>
        <w:tc>
          <w:tcPr>
            <w:tcW w:w="1389" w:type="dxa"/>
            <w:vAlign w:val="center"/>
          </w:tcPr>
          <w:p>
            <w:pPr>
              <w:pStyle w:val="44"/>
              <w:rPr>
                <w:rFonts w:cs="Times New Roman"/>
                <w:color w:val="auto"/>
                <w:shd w:val="clear" w:color="auto" w:fill="auto"/>
              </w:rPr>
            </w:pPr>
            <w:r>
              <w:rPr>
                <w:rFonts w:hint="eastAsia" w:cs="Times New Roman"/>
                <w:color w:val="auto"/>
                <w:shd w:val="clear" w:color="auto" w:fill="auto"/>
              </w:rPr>
              <w:t>污染物</w:t>
            </w:r>
          </w:p>
        </w:tc>
        <w:tc>
          <w:tcPr>
            <w:tcW w:w="1387" w:type="dxa"/>
            <w:vAlign w:val="center"/>
          </w:tcPr>
          <w:p>
            <w:pPr>
              <w:pStyle w:val="44"/>
              <w:rPr>
                <w:rFonts w:cs="Times New Roman"/>
                <w:color w:val="auto"/>
                <w:shd w:val="clear" w:color="auto" w:fill="auto"/>
              </w:rPr>
            </w:pPr>
            <w:r>
              <w:rPr>
                <w:rFonts w:hint="eastAsia" w:cs="Times New Roman"/>
                <w:color w:val="auto"/>
                <w:shd w:val="clear" w:color="auto" w:fill="auto"/>
              </w:rPr>
              <w:t>污染物发生浓度(</w:t>
            </w:r>
            <w:r>
              <w:rPr>
                <w:rFonts w:hint="eastAsia" w:cs="Times New Roman"/>
                <w:color w:val="auto"/>
                <w:shd w:val="clear" w:color="auto" w:fill="auto"/>
                <w:lang w:eastAsia="zh-CN"/>
              </w:rPr>
              <w:t>m</w:t>
            </w:r>
            <w:r>
              <w:rPr>
                <w:rFonts w:hint="eastAsia" w:cs="Times New Roman"/>
                <w:color w:val="auto"/>
                <w:shd w:val="clear" w:color="auto" w:fill="auto"/>
              </w:rPr>
              <w:t>g/L)</w:t>
            </w:r>
          </w:p>
        </w:tc>
        <w:tc>
          <w:tcPr>
            <w:tcW w:w="1740" w:type="dxa"/>
            <w:vAlign w:val="center"/>
          </w:tcPr>
          <w:p>
            <w:pPr>
              <w:pStyle w:val="44"/>
              <w:rPr>
                <w:rFonts w:cs="Times New Roman"/>
                <w:color w:val="auto"/>
                <w:shd w:val="clear" w:color="auto" w:fill="auto"/>
              </w:rPr>
            </w:pPr>
            <w:r>
              <w:rPr>
                <w:rFonts w:hint="eastAsia" w:cs="Times New Roman"/>
                <w:color w:val="auto"/>
                <w:shd w:val="clear" w:color="auto" w:fill="auto"/>
              </w:rPr>
              <w:t>污染物发生量（</w:t>
            </w:r>
            <w:r>
              <w:rPr>
                <w:rFonts w:hint="eastAsia"/>
                <w:color w:val="auto"/>
                <w:sz w:val="24"/>
                <w:shd w:val="clear" w:color="auto" w:fill="auto"/>
              </w:rPr>
              <w:t>t</w:t>
            </w:r>
            <w:r>
              <w:rPr>
                <w:rFonts w:hint="eastAsia" w:cs="Times New Roman"/>
                <w:color w:val="auto"/>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1" w:type="dxa"/>
            <w:gridSpan w:val="2"/>
            <w:vAlign w:val="center"/>
          </w:tcPr>
          <w:p>
            <w:pPr>
              <w:pStyle w:val="44"/>
              <w:rPr>
                <w:rFonts w:cs="Times New Roman"/>
                <w:color w:val="auto"/>
                <w:shd w:val="clear" w:color="auto" w:fill="auto"/>
              </w:rPr>
            </w:pPr>
            <w:r>
              <w:rPr>
                <w:rFonts w:hint="eastAsia" w:cs="Times New Roman"/>
                <w:color w:val="auto"/>
                <w:shd w:val="clear" w:color="auto" w:fill="auto"/>
              </w:rPr>
              <w:t>疏浚作业悬浮泥沙</w:t>
            </w:r>
          </w:p>
        </w:tc>
        <w:tc>
          <w:tcPr>
            <w:tcW w:w="1425" w:type="dxa"/>
            <w:vAlign w:val="center"/>
          </w:tcPr>
          <w:p>
            <w:pPr>
              <w:pStyle w:val="44"/>
              <w:rPr>
                <w:rFonts w:cs="Times New Roman"/>
                <w:color w:val="auto"/>
                <w:shd w:val="clear" w:color="auto" w:fill="auto"/>
              </w:rPr>
            </w:pPr>
            <w:r>
              <w:rPr>
                <w:rFonts w:hint="eastAsia" w:cs="Times New Roman"/>
                <w:color w:val="auto"/>
                <w:shd w:val="clear" w:color="auto" w:fill="auto"/>
              </w:rPr>
              <w:t>/</w:t>
            </w:r>
          </w:p>
        </w:tc>
        <w:tc>
          <w:tcPr>
            <w:tcW w:w="1389" w:type="dxa"/>
            <w:vAlign w:val="center"/>
          </w:tcPr>
          <w:p>
            <w:pPr>
              <w:pStyle w:val="44"/>
              <w:rPr>
                <w:rFonts w:cs="Times New Roman"/>
                <w:color w:val="auto"/>
                <w:shd w:val="clear" w:color="auto" w:fill="auto"/>
              </w:rPr>
            </w:pPr>
            <w:r>
              <w:rPr>
                <w:rFonts w:hint="eastAsia" w:cs="Times New Roman"/>
                <w:color w:val="auto"/>
                <w:shd w:val="clear" w:color="auto" w:fill="auto"/>
              </w:rPr>
              <w:t>SS</w:t>
            </w:r>
          </w:p>
        </w:tc>
        <w:tc>
          <w:tcPr>
            <w:tcW w:w="1387" w:type="dxa"/>
            <w:vAlign w:val="center"/>
          </w:tcPr>
          <w:p>
            <w:pPr>
              <w:pStyle w:val="44"/>
              <w:rPr>
                <w:rFonts w:cs="Times New Roman"/>
                <w:color w:val="auto"/>
                <w:shd w:val="clear" w:color="auto" w:fill="auto"/>
              </w:rPr>
            </w:pPr>
            <w:r>
              <w:rPr>
                <w:rFonts w:hint="eastAsia" w:cs="Times New Roman"/>
                <w:color w:val="auto"/>
                <w:shd w:val="clear" w:color="auto" w:fill="auto"/>
              </w:rPr>
              <w:t>/</w:t>
            </w:r>
          </w:p>
        </w:tc>
        <w:tc>
          <w:tcPr>
            <w:tcW w:w="1740" w:type="dxa"/>
            <w:vAlign w:val="center"/>
          </w:tcPr>
          <w:p>
            <w:pPr>
              <w:pStyle w:val="44"/>
              <w:rPr>
                <w:rFonts w:hint="default" w:cs="Times New Roman"/>
                <w:color w:val="auto"/>
                <w:shd w:val="clear" w:color="auto" w:fill="auto"/>
                <w:lang w:val="en-US"/>
              </w:rPr>
            </w:pPr>
            <w:r>
              <w:rPr>
                <w:rFonts w:hint="eastAsia"/>
                <w:color w:val="auto"/>
                <w:shd w:val="clear" w:color="auto" w:fill="auto"/>
                <w:lang w:val="en-US" w:eastAsia="zh-CN"/>
              </w:rPr>
              <w:t>1581.88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1" w:type="dxa"/>
            <w:gridSpan w:val="2"/>
            <w:vAlign w:val="center"/>
          </w:tcPr>
          <w:p>
            <w:pPr>
              <w:pStyle w:val="44"/>
              <w:rPr>
                <w:rFonts w:cs="Times New Roman"/>
                <w:color w:val="auto"/>
                <w:shd w:val="clear" w:color="auto" w:fill="auto"/>
              </w:rPr>
            </w:pPr>
            <w:r>
              <w:rPr>
                <w:rFonts w:hint="eastAsia" w:cs="Times New Roman"/>
                <w:color w:val="auto"/>
                <w:shd w:val="clear" w:color="auto" w:fill="auto"/>
              </w:rPr>
              <w:t>抛泥区底泥余水</w:t>
            </w:r>
          </w:p>
        </w:tc>
        <w:tc>
          <w:tcPr>
            <w:tcW w:w="1425" w:type="dxa"/>
            <w:vAlign w:val="center"/>
          </w:tcPr>
          <w:p>
            <w:pPr>
              <w:pStyle w:val="44"/>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6900</w:t>
            </w:r>
          </w:p>
        </w:tc>
        <w:tc>
          <w:tcPr>
            <w:tcW w:w="1389" w:type="dxa"/>
            <w:vAlign w:val="center"/>
          </w:tcPr>
          <w:p>
            <w:pPr>
              <w:pStyle w:val="44"/>
              <w:rPr>
                <w:rFonts w:cs="Times New Roman"/>
                <w:color w:val="auto"/>
                <w:shd w:val="clear" w:color="auto" w:fill="auto"/>
              </w:rPr>
            </w:pPr>
            <w:r>
              <w:rPr>
                <w:rFonts w:hint="eastAsia" w:cs="Times New Roman"/>
                <w:color w:val="auto"/>
                <w:shd w:val="clear" w:color="auto" w:fill="auto"/>
              </w:rPr>
              <w:t>SS</w:t>
            </w:r>
          </w:p>
        </w:tc>
        <w:tc>
          <w:tcPr>
            <w:tcW w:w="1387" w:type="dxa"/>
            <w:vAlign w:val="center"/>
          </w:tcPr>
          <w:p>
            <w:pPr>
              <w:pStyle w:val="44"/>
              <w:rPr>
                <w:rFonts w:cs="Times New Roman"/>
                <w:color w:val="auto"/>
                <w:shd w:val="clear" w:color="auto" w:fill="auto"/>
              </w:rPr>
            </w:pPr>
            <w:r>
              <w:rPr>
                <w:rFonts w:hint="eastAsia" w:cs="Times New Roman"/>
                <w:color w:val="auto"/>
                <w:shd w:val="clear" w:color="auto" w:fill="auto"/>
              </w:rPr>
              <w:t>800</w:t>
            </w:r>
          </w:p>
        </w:tc>
        <w:tc>
          <w:tcPr>
            <w:tcW w:w="1740" w:type="dxa"/>
            <w:vAlign w:val="center"/>
          </w:tcPr>
          <w:p>
            <w:pPr>
              <w:pStyle w:val="44"/>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5.52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1" w:type="dxa"/>
            <w:gridSpan w:val="2"/>
            <w:vMerge w:val="restart"/>
            <w:vAlign w:val="center"/>
          </w:tcPr>
          <w:p>
            <w:pPr>
              <w:pStyle w:val="44"/>
              <w:rPr>
                <w:rFonts w:cs="Times New Roman"/>
                <w:color w:val="auto"/>
                <w:shd w:val="clear" w:color="auto" w:fill="auto"/>
              </w:rPr>
            </w:pPr>
            <w:r>
              <w:rPr>
                <w:rFonts w:hint="eastAsia" w:cs="Times New Roman"/>
                <w:color w:val="auto"/>
                <w:shd w:val="clear" w:color="auto" w:fill="auto"/>
              </w:rPr>
              <w:t>施工机械冲洗废水</w:t>
            </w:r>
          </w:p>
        </w:tc>
        <w:tc>
          <w:tcPr>
            <w:tcW w:w="1425" w:type="dxa"/>
            <w:vMerge w:val="restart"/>
            <w:vAlign w:val="center"/>
          </w:tcPr>
          <w:p>
            <w:pPr>
              <w:pStyle w:val="44"/>
              <w:rPr>
                <w:rFonts w:cs="Times New Roman"/>
                <w:color w:val="auto"/>
                <w:shd w:val="clear" w:color="auto" w:fill="auto"/>
              </w:rPr>
            </w:pPr>
            <w:r>
              <w:rPr>
                <w:rFonts w:hint="eastAsia"/>
                <w:color w:val="auto"/>
                <w:shd w:val="clear" w:color="auto" w:fill="auto"/>
                <w:lang w:val="en-US" w:eastAsia="zh-CN"/>
              </w:rPr>
              <w:t>2160</w:t>
            </w:r>
          </w:p>
        </w:tc>
        <w:tc>
          <w:tcPr>
            <w:tcW w:w="1389" w:type="dxa"/>
            <w:vAlign w:val="center"/>
          </w:tcPr>
          <w:p>
            <w:pPr>
              <w:pStyle w:val="44"/>
              <w:rPr>
                <w:rFonts w:cs="Times New Roman"/>
                <w:color w:val="auto"/>
                <w:shd w:val="clear" w:color="auto" w:fill="auto"/>
              </w:rPr>
            </w:pPr>
            <w:r>
              <w:rPr>
                <w:rFonts w:hint="eastAsia" w:cs="Times New Roman"/>
                <w:color w:val="auto"/>
                <w:shd w:val="clear" w:color="auto" w:fill="auto"/>
              </w:rPr>
              <w:t>石油类</w:t>
            </w:r>
          </w:p>
        </w:tc>
        <w:tc>
          <w:tcPr>
            <w:tcW w:w="1387" w:type="dxa"/>
            <w:vAlign w:val="center"/>
          </w:tcPr>
          <w:p>
            <w:pPr>
              <w:pStyle w:val="44"/>
              <w:rPr>
                <w:rFonts w:cs="Times New Roman"/>
                <w:color w:val="auto"/>
                <w:shd w:val="clear" w:color="auto" w:fill="auto"/>
              </w:rPr>
            </w:pPr>
            <w:r>
              <w:rPr>
                <w:rFonts w:hint="eastAsia" w:cs="Times New Roman"/>
                <w:color w:val="auto"/>
                <w:shd w:val="clear" w:color="auto" w:fill="auto"/>
              </w:rPr>
              <w:t>50</w:t>
            </w:r>
          </w:p>
        </w:tc>
        <w:tc>
          <w:tcPr>
            <w:tcW w:w="1740" w:type="dxa"/>
            <w:vAlign w:val="center"/>
          </w:tcPr>
          <w:p>
            <w:pPr>
              <w:pStyle w:val="44"/>
              <w:rPr>
                <w:rFonts w:hint="eastAsia" w:eastAsia="宋体" w:cs="Times New Roman"/>
                <w:color w:val="auto"/>
                <w:shd w:val="clear" w:color="auto" w:fill="auto"/>
                <w:lang w:val="en-US" w:eastAsia="zh-CN"/>
              </w:rPr>
            </w:pPr>
            <w:r>
              <w:rPr>
                <w:rFonts w:hint="eastAsia" w:cs="Times New Roman"/>
                <w:color w:val="auto"/>
                <w:shd w:val="clear" w:color="auto" w:fill="auto"/>
                <w:lang w:val="en-US" w:eastAsia="zh-CN"/>
              </w:rPr>
              <w:t>0.108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1" w:type="dxa"/>
            <w:gridSpan w:val="2"/>
            <w:vMerge w:val="continue"/>
            <w:vAlign w:val="center"/>
          </w:tcPr>
          <w:p>
            <w:pPr>
              <w:pStyle w:val="44"/>
              <w:rPr>
                <w:rFonts w:cs="Times New Roman"/>
                <w:color w:val="auto"/>
                <w:shd w:val="clear" w:color="auto" w:fill="auto"/>
              </w:rPr>
            </w:pPr>
          </w:p>
        </w:tc>
        <w:tc>
          <w:tcPr>
            <w:tcW w:w="1425" w:type="dxa"/>
            <w:vMerge w:val="continue"/>
            <w:vAlign w:val="center"/>
          </w:tcPr>
          <w:p>
            <w:pPr>
              <w:pStyle w:val="44"/>
              <w:rPr>
                <w:rFonts w:cs="Times New Roman"/>
                <w:color w:val="auto"/>
                <w:shd w:val="clear" w:color="auto" w:fill="auto"/>
              </w:rPr>
            </w:pPr>
          </w:p>
        </w:tc>
        <w:tc>
          <w:tcPr>
            <w:tcW w:w="1389" w:type="dxa"/>
            <w:vAlign w:val="center"/>
          </w:tcPr>
          <w:p>
            <w:pPr>
              <w:pStyle w:val="44"/>
              <w:rPr>
                <w:rFonts w:cs="Times New Roman"/>
                <w:color w:val="auto"/>
                <w:shd w:val="clear" w:color="auto" w:fill="auto"/>
              </w:rPr>
            </w:pPr>
            <w:r>
              <w:rPr>
                <w:rFonts w:hint="eastAsia" w:cs="Times New Roman"/>
                <w:color w:val="auto"/>
                <w:shd w:val="clear" w:color="auto" w:fill="auto"/>
              </w:rPr>
              <w:t>SS</w:t>
            </w:r>
          </w:p>
        </w:tc>
        <w:tc>
          <w:tcPr>
            <w:tcW w:w="1387" w:type="dxa"/>
            <w:vAlign w:val="center"/>
          </w:tcPr>
          <w:p>
            <w:pPr>
              <w:pStyle w:val="44"/>
              <w:rPr>
                <w:rFonts w:cs="Times New Roman"/>
                <w:color w:val="auto"/>
                <w:shd w:val="clear" w:color="auto" w:fill="auto"/>
              </w:rPr>
            </w:pPr>
            <w:r>
              <w:rPr>
                <w:rFonts w:hint="eastAsia" w:cs="Times New Roman"/>
                <w:color w:val="auto"/>
                <w:shd w:val="clear" w:color="auto" w:fill="auto"/>
              </w:rPr>
              <w:t>2000</w:t>
            </w:r>
          </w:p>
        </w:tc>
        <w:tc>
          <w:tcPr>
            <w:tcW w:w="1740" w:type="dxa"/>
            <w:vAlign w:val="center"/>
          </w:tcPr>
          <w:p>
            <w:pPr>
              <w:pStyle w:val="44"/>
              <w:rPr>
                <w:rFonts w:hint="eastAsia" w:eastAsia="宋体" w:cs="Times New Roman"/>
                <w:color w:val="auto"/>
                <w:shd w:val="clear" w:color="auto" w:fill="auto"/>
                <w:lang w:val="en-US" w:eastAsia="zh-CN"/>
              </w:rPr>
            </w:pPr>
            <w:r>
              <w:rPr>
                <w:rFonts w:hint="eastAsia" w:cs="Times New Roman"/>
                <w:color w:val="auto"/>
                <w:shd w:val="clear" w:color="auto" w:fill="auto"/>
                <w:lang w:val="en-US" w:eastAsia="zh-CN"/>
              </w:rPr>
              <w:t>4.32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1" w:type="dxa"/>
            <w:gridSpan w:val="2"/>
            <w:vMerge w:val="restart"/>
            <w:vAlign w:val="center"/>
          </w:tcPr>
          <w:p>
            <w:pPr>
              <w:pStyle w:val="44"/>
              <w:rPr>
                <w:rFonts w:cs="Times New Roman"/>
                <w:color w:val="auto"/>
                <w:shd w:val="clear" w:color="auto" w:fill="auto"/>
              </w:rPr>
            </w:pPr>
            <w:r>
              <w:rPr>
                <w:rFonts w:hint="eastAsia" w:cs="Times New Roman"/>
                <w:color w:val="auto"/>
                <w:shd w:val="clear" w:color="auto" w:fill="auto"/>
              </w:rPr>
              <w:t>陆域生活污水</w:t>
            </w:r>
          </w:p>
        </w:tc>
        <w:tc>
          <w:tcPr>
            <w:tcW w:w="1425" w:type="dxa"/>
            <w:vMerge w:val="restart"/>
            <w:vAlign w:val="center"/>
          </w:tcPr>
          <w:p>
            <w:pPr>
              <w:pStyle w:val="44"/>
              <w:rPr>
                <w:rFonts w:cs="Times New Roman"/>
                <w:color w:val="auto"/>
                <w:sz w:val="21"/>
                <w:szCs w:val="21"/>
                <w:shd w:val="clear" w:color="auto" w:fill="auto"/>
              </w:rPr>
            </w:pPr>
            <w:r>
              <w:rPr>
                <w:rFonts w:hint="eastAsia"/>
                <w:color w:val="auto"/>
                <w:sz w:val="21"/>
                <w:szCs w:val="21"/>
                <w:shd w:val="clear" w:color="auto" w:fill="auto"/>
                <w:lang w:val="en-US" w:eastAsia="zh-CN"/>
              </w:rPr>
              <w:t>1382.4</w:t>
            </w:r>
          </w:p>
        </w:tc>
        <w:tc>
          <w:tcPr>
            <w:tcW w:w="1389"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COD</w:t>
            </w:r>
          </w:p>
        </w:tc>
        <w:tc>
          <w:tcPr>
            <w:tcW w:w="1387"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300</w:t>
            </w:r>
          </w:p>
        </w:tc>
        <w:tc>
          <w:tcPr>
            <w:tcW w:w="1740" w:type="dxa"/>
            <w:vAlign w:val="center"/>
          </w:tcPr>
          <w:p>
            <w:pPr>
              <w:pStyle w:val="44"/>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0.415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1" w:type="dxa"/>
            <w:gridSpan w:val="2"/>
            <w:vMerge w:val="continue"/>
            <w:vAlign w:val="center"/>
          </w:tcPr>
          <w:p>
            <w:pPr>
              <w:pStyle w:val="44"/>
              <w:rPr>
                <w:rFonts w:cs="Times New Roman"/>
                <w:color w:val="auto"/>
                <w:shd w:val="clear" w:color="auto" w:fill="auto"/>
              </w:rPr>
            </w:pPr>
          </w:p>
        </w:tc>
        <w:tc>
          <w:tcPr>
            <w:tcW w:w="1425" w:type="dxa"/>
            <w:vMerge w:val="continue"/>
            <w:vAlign w:val="center"/>
          </w:tcPr>
          <w:p>
            <w:pPr>
              <w:pStyle w:val="44"/>
              <w:rPr>
                <w:rFonts w:cs="Times New Roman"/>
                <w:color w:val="auto"/>
                <w:sz w:val="21"/>
                <w:szCs w:val="21"/>
                <w:shd w:val="clear" w:color="auto" w:fill="auto"/>
              </w:rPr>
            </w:pPr>
          </w:p>
        </w:tc>
        <w:tc>
          <w:tcPr>
            <w:tcW w:w="1389"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BOD</w:t>
            </w:r>
            <w:r>
              <w:rPr>
                <w:rFonts w:hint="eastAsia" w:cs="Times New Roman"/>
                <w:color w:val="auto"/>
                <w:sz w:val="21"/>
                <w:szCs w:val="21"/>
                <w:shd w:val="clear" w:color="auto" w:fill="auto"/>
                <w:vertAlign w:val="subscript"/>
              </w:rPr>
              <w:t>5</w:t>
            </w:r>
          </w:p>
        </w:tc>
        <w:tc>
          <w:tcPr>
            <w:tcW w:w="1387"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180</w:t>
            </w:r>
          </w:p>
        </w:tc>
        <w:tc>
          <w:tcPr>
            <w:tcW w:w="1740" w:type="dxa"/>
            <w:vAlign w:val="center"/>
          </w:tcPr>
          <w:p>
            <w:pPr>
              <w:pStyle w:val="44"/>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rPr>
              <w:t>0.</w:t>
            </w:r>
            <w:r>
              <w:rPr>
                <w:rFonts w:hint="eastAsia" w:cs="Times New Roman"/>
                <w:color w:val="auto"/>
                <w:sz w:val="21"/>
                <w:szCs w:val="21"/>
                <w:shd w:val="clear" w:color="auto" w:fill="auto"/>
                <w:lang w:val="en-US" w:eastAsia="zh-CN"/>
              </w:rPr>
              <w:t>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1" w:type="dxa"/>
            <w:gridSpan w:val="2"/>
            <w:vMerge w:val="continue"/>
            <w:vAlign w:val="center"/>
          </w:tcPr>
          <w:p>
            <w:pPr>
              <w:pStyle w:val="44"/>
              <w:rPr>
                <w:rFonts w:cs="Times New Roman"/>
                <w:color w:val="auto"/>
                <w:shd w:val="clear" w:color="auto" w:fill="auto"/>
              </w:rPr>
            </w:pPr>
          </w:p>
        </w:tc>
        <w:tc>
          <w:tcPr>
            <w:tcW w:w="1425" w:type="dxa"/>
            <w:vMerge w:val="continue"/>
            <w:vAlign w:val="center"/>
          </w:tcPr>
          <w:p>
            <w:pPr>
              <w:pStyle w:val="44"/>
              <w:rPr>
                <w:rFonts w:cs="Times New Roman"/>
                <w:color w:val="auto"/>
                <w:sz w:val="21"/>
                <w:szCs w:val="21"/>
                <w:shd w:val="clear" w:color="auto" w:fill="auto"/>
              </w:rPr>
            </w:pPr>
          </w:p>
        </w:tc>
        <w:tc>
          <w:tcPr>
            <w:tcW w:w="1389"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NH</w:t>
            </w:r>
            <w:r>
              <w:rPr>
                <w:rFonts w:hint="eastAsia" w:cs="Times New Roman"/>
                <w:color w:val="auto"/>
                <w:sz w:val="21"/>
                <w:szCs w:val="21"/>
                <w:shd w:val="clear" w:color="auto" w:fill="auto"/>
                <w:vertAlign w:val="subscript"/>
              </w:rPr>
              <w:t>3</w:t>
            </w:r>
            <w:r>
              <w:rPr>
                <w:rFonts w:hint="eastAsia" w:cs="Times New Roman"/>
                <w:color w:val="auto"/>
                <w:sz w:val="21"/>
                <w:szCs w:val="21"/>
                <w:shd w:val="clear" w:color="auto" w:fill="auto"/>
              </w:rPr>
              <w:t>-N</w:t>
            </w:r>
          </w:p>
        </w:tc>
        <w:tc>
          <w:tcPr>
            <w:tcW w:w="1387"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35</w:t>
            </w:r>
          </w:p>
        </w:tc>
        <w:tc>
          <w:tcPr>
            <w:tcW w:w="1740" w:type="dxa"/>
            <w:vAlign w:val="center"/>
          </w:tcPr>
          <w:p>
            <w:pPr>
              <w:pStyle w:val="44"/>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rPr>
              <w:t>0.</w:t>
            </w:r>
            <w:r>
              <w:rPr>
                <w:rFonts w:hint="eastAsia" w:cs="Times New Roman"/>
                <w:color w:val="auto"/>
                <w:sz w:val="21"/>
                <w:szCs w:val="21"/>
                <w:shd w:val="clear" w:color="auto" w:fill="auto"/>
                <w:lang w:val="en-US" w:eastAsia="zh-CN"/>
              </w:rPr>
              <w:t>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1" w:type="dxa"/>
            <w:gridSpan w:val="2"/>
            <w:vMerge w:val="continue"/>
            <w:vAlign w:val="center"/>
          </w:tcPr>
          <w:p>
            <w:pPr>
              <w:pStyle w:val="44"/>
              <w:rPr>
                <w:rFonts w:cs="Times New Roman"/>
                <w:color w:val="auto"/>
                <w:shd w:val="clear" w:color="auto" w:fill="auto"/>
              </w:rPr>
            </w:pPr>
          </w:p>
        </w:tc>
        <w:tc>
          <w:tcPr>
            <w:tcW w:w="1425" w:type="dxa"/>
            <w:vMerge w:val="continue"/>
            <w:vAlign w:val="center"/>
          </w:tcPr>
          <w:p>
            <w:pPr>
              <w:pStyle w:val="44"/>
              <w:rPr>
                <w:rFonts w:cs="Times New Roman"/>
                <w:color w:val="auto"/>
                <w:sz w:val="21"/>
                <w:szCs w:val="21"/>
                <w:shd w:val="clear" w:color="auto" w:fill="auto"/>
              </w:rPr>
            </w:pPr>
          </w:p>
        </w:tc>
        <w:tc>
          <w:tcPr>
            <w:tcW w:w="1389"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SS</w:t>
            </w:r>
          </w:p>
        </w:tc>
        <w:tc>
          <w:tcPr>
            <w:tcW w:w="1387"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200</w:t>
            </w:r>
          </w:p>
        </w:tc>
        <w:tc>
          <w:tcPr>
            <w:tcW w:w="1740" w:type="dxa"/>
            <w:vAlign w:val="center"/>
          </w:tcPr>
          <w:p>
            <w:pPr>
              <w:pStyle w:val="44"/>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rPr>
              <w:t>0.</w:t>
            </w:r>
            <w:r>
              <w:rPr>
                <w:rFonts w:hint="eastAsia" w:cs="Times New Roman"/>
                <w:color w:val="auto"/>
                <w:sz w:val="21"/>
                <w:szCs w:val="21"/>
                <w:shd w:val="clear" w:color="auto" w:fill="auto"/>
                <w:lang w:val="en-US" w:eastAsia="zh-CN"/>
              </w:rPr>
              <w:t>276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6" w:type="dxa"/>
            <w:vMerge w:val="restart"/>
            <w:vAlign w:val="center"/>
          </w:tcPr>
          <w:p>
            <w:pPr>
              <w:pStyle w:val="44"/>
              <w:rPr>
                <w:rFonts w:cs="Times New Roman"/>
                <w:color w:val="auto"/>
                <w:shd w:val="clear" w:color="auto" w:fill="auto"/>
              </w:rPr>
            </w:pPr>
            <w:r>
              <w:rPr>
                <w:rFonts w:hint="eastAsia" w:cs="Times New Roman"/>
                <w:color w:val="auto"/>
                <w:shd w:val="clear" w:color="auto" w:fill="auto"/>
              </w:rPr>
              <w:t>施工船舶</w:t>
            </w:r>
          </w:p>
        </w:tc>
        <w:tc>
          <w:tcPr>
            <w:tcW w:w="1485" w:type="dxa"/>
            <w:vAlign w:val="center"/>
          </w:tcPr>
          <w:p>
            <w:pPr>
              <w:pStyle w:val="44"/>
              <w:rPr>
                <w:rFonts w:cs="Times New Roman"/>
                <w:color w:val="auto"/>
                <w:shd w:val="clear" w:color="auto" w:fill="auto"/>
              </w:rPr>
            </w:pPr>
            <w:r>
              <w:rPr>
                <w:rFonts w:hint="eastAsia" w:cs="Times New Roman"/>
                <w:color w:val="auto"/>
                <w:shd w:val="clear" w:color="auto" w:fill="auto"/>
              </w:rPr>
              <w:t>船舶油污水</w:t>
            </w:r>
          </w:p>
        </w:tc>
        <w:tc>
          <w:tcPr>
            <w:tcW w:w="1425" w:type="dxa"/>
            <w:vAlign w:val="center"/>
          </w:tcPr>
          <w:p>
            <w:pPr>
              <w:pStyle w:val="44"/>
              <w:rPr>
                <w:rFonts w:hint="default" w:cs="Times New Roman"/>
                <w:color w:val="auto"/>
                <w:sz w:val="21"/>
                <w:szCs w:val="21"/>
                <w:shd w:val="clear" w:color="auto" w:fill="auto"/>
                <w:lang w:val="en-US"/>
              </w:rPr>
            </w:pPr>
            <w:r>
              <w:rPr>
                <w:rFonts w:hint="eastAsia"/>
                <w:color w:val="auto"/>
                <w:sz w:val="21"/>
                <w:szCs w:val="21"/>
                <w:shd w:val="clear" w:color="auto" w:fill="auto"/>
                <w:lang w:val="en-US" w:eastAsia="zh-CN"/>
              </w:rPr>
              <w:t>97.2</w:t>
            </w:r>
          </w:p>
        </w:tc>
        <w:tc>
          <w:tcPr>
            <w:tcW w:w="1389"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石油类</w:t>
            </w:r>
          </w:p>
        </w:tc>
        <w:tc>
          <w:tcPr>
            <w:tcW w:w="1387"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5000</w:t>
            </w:r>
          </w:p>
        </w:tc>
        <w:tc>
          <w:tcPr>
            <w:tcW w:w="1740" w:type="dxa"/>
            <w:vAlign w:val="center"/>
          </w:tcPr>
          <w:p>
            <w:pPr>
              <w:pStyle w:val="44"/>
              <w:rPr>
                <w:rFonts w:hint="default" w:cs="Times New Roman"/>
                <w:color w:val="auto"/>
                <w:sz w:val="21"/>
                <w:szCs w:val="21"/>
                <w:shd w:val="clear" w:color="auto" w:fill="auto"/>
                <w:lang w:val="en-US"/>
              </w:rPr>
            </w:pPr>
            <w:r>
              <w:rPr>
                <w:rFonts w:hint="eastAsia" w:cs="Times New Roman"/>
                <w:color w:val="auto"/>
                <w:sz w:val="21"/>
                <w:szCs w:val="21"/>
                <w:shd w:val="clear" w:color="auto" w:fill="auto"/>
              </w:rPr>
              <w:t>0.</w:t>
            </w:r>
            <w:r>
              <w:rPr>
                <w:rFonts w:hint="eastAsia" w:cs="Times New Roman"/>
                <w:color w:val="auto"/>
                <w:sz w:val="21"/>
                <w:szCs w:val="21"/>
                <w:shd w:val="clear" w:color="auto" w:fill="auto"/>
                <w:lang w:val="en-US" w:eastAsia="zh-CN"/>
              </w:rPr>
              <w:t>486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1096" w:type="dxa"/>
            <w:vMerge w:val="continue"/>
            <w:vAlign w:val="center"/>
          </w:tcPr>
          <w:p>
            <w:pPr>
              <w:pStyle w:val="44"/>
              <w:rPr>
                <w:rFonts w:cs="Times New Roman"/>
                <w:color w:val="auto"/>
                <w:shd w:val="clear" w:color="auto" w:fill="auto"/>
              </w:rPr>
            </w:pPr>
          </w:p>
        </w:tc>
        <w:tc>
          <w:tcPr>
            <w:tcW w:w="1485" w:type="dxa"/>
            <w:vMerge w:val="restart"/>
            <w:vAlign w:val="center"/>
          </w:tcPr>
          <w:p>
            <w:pPr>
              <w:pStyle w:val="44"/>
              <w:rPr>
                <w:rFonts w:cs="Times New Roman"/>
                <w:color w:val="auto"/>
                <w:shd w:val="clear" w:color="auto" w:fill="auto"/>
              </w:rPr>
            </w:pPr>
            <w:r>
              <w:rPr>
                <w:rFonts w:hint="eastAsia" w:cs="Times New Roman"/>
                <w:color w:val="auto"/>
                <w:shd w:val="clear" w:color="auto" w:fill="auto"/>
              </w:rPr>
              <w:t>船舶生活污水</w:t>
            </w:r>
          </w:p>
        </w:tc>
        <w:tc>
          <w:tcPr>
            <w:tcW w:w="1425" w:type="dxa"/>
            <w:vMerge w:val="restart"/>
            <w:vAlign w:val="center"/>
          </w:tcPr>
          <w:p>
            <w:pPr>
              <w:pStyle w:val="44"/>
              <w:rPr>
                <w:rFonts w:hint="default" w:cs="Times New Roman"/>
                <w:color w:val="auto"/>
                <w:sz w:val="21"/>
                <w:szCs w:val="21"/>
                <w:shd w:val="clear" w:color="auto" w:fill="auto"/>
                <w:lang w:val="en-US"/>
              </w:rPr>
            </w:pPr>
            <w:r>
              <w:rPr>
                <w:rFonts w:hint="eastAsia"/>
                <w:color w:val="auto"/>
                <w:sz w:val="21"/>
                <w:szCs w:val="21"/>
                <w:shd w:val="clear" w:color="auto" w:fill="auto"/>
                <w:lang w:val="en-US" w:eastAsia="zh-CN"/>
              </w:rPr>
              <w:t>345.6</w:t>
            </w:r>
          </w:p>
        </w:tc>
        <w:tc>
          <w:tcPr>
            <w:tcW w:w="1389"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COD</w:t>
            </w:r>
          </w:p>
        </w:tc>
        <w:tc>
          <w:tcPr>
            <w:tcW w:w="1387"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300</w:t>
            </w:r>
          </w:p>
        </w:tc>
        <w:tc>
          <w:tcPr>
            <w:tcW w:w="1740" w:type="dxa"/>
            <w:vAlign w:val="center"/>
          </w:tcPr>
          <w:p>
            <w:pPr>
              <w:pStyle w:val="44"/>
              <w:ind w:firstLine="0" w:firstLineChars="0"/>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rPr>
              <w:t>0.104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6" w:type="dxa"/>
            <w:vMerge w:val="continue"/>
            <w:vAlign w:val="center"/>
          </w:tcPr>
          <w:p>
            <w:pPr>
              <w:pStyle w:val="44"/>
              <w:rPr>
                <w:rFonts w:cs="Times New Roman"/>
                <w:color w:val="auto"/>
                <w:shd w:val="clear" w:color="auto" w:fill="auto"/>
              </w:rPr>
            </w:pPr>
          </w:p>
        </w:tc>
        <w:tc>
          <w:tcPr>
            <w:tcW w:w="1485" w:type="dxa"/>
            <w:vMerge w:val="continue"/>
            <w:vAlign w:val="center"/>
          </w:tcPr>
          <w:p>
            <w:pPr>
              <w:pStyle w:val="44"/>
              <w:rPr>
                <w:rFonts w:cs="Times New Roman"/>
                <w:color w:val="auto"/>
                <w:shd w:val="clear" w:color="auto" w:fill="auto"/>
              </w:rPr>
            </w:pPr>
          </w:p>
        </w:tc>
        <w:tc>
          <w:tcPr>
            <w:tcW w:w="1425" w:type="dxa"/>
            <w:vMerge w:val="continue"/>
            <w:vAlign w:val="center"/>
          </w:tcPr>
          <w:p>
            <w:pPr>
              <w:pStyle w:val="44"/>
              <w:rPr>
                <w:rFonts w:cs="Times New Roman"/>
                <w:color w:val="auto"/>
                <w:sz w:val="21"/>
                <w:szCs w:val="21"/>
                <w:shd w:val="clear" w:color="auto" w:fill="auto"/>
              </w:rPr>
            </w:pPr>
          </w:p>
        </w:tc>
        <w:tc>
          <w:tcPr>
            <w:tcW w:w="1389"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BOD</w:t>
            </w:r>
            <w:r>
              <w:rPr>
                <w:rFonts w:hint="eastAsia" w:cs="Times New Roman"/>
                <w:color w:val="auto"/>
                <w:sz w:val="21"/>
                <w:szCs w:val="21"/>
                <w:shd w:val="clear" w:color="auto" w:fill="auto"/>
                <w:vertAlign w:val="subscript"/>
              </w:rPr>
              <w:t>5</w:t>
            </w:r>
          </w:p>
        </w:tc>
        <w:tc>
          <w:tcPr>
            <w:tcW w:w="1387"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180</w:t>
            </w:r>
          </w:p>
        </w:tc>
        <w:tc>
          <w:tcPr>
            <w:tcW w:w="1740" w:type="dxa"/>
            <w:vAlign w:val="center"/>
          </w:tcPr>
          <w:p>
            <w:pPr>
              <w:pStyle w:val="44"/>
              <w:ind w:firstLine="0" w:firstLineChars="0"/>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rPr>
              <w:t>0.062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1096" w:type="dxa"/>
            <w:vMerge w:val="continue"/>
            <w:vAlign w:val="center"/>
          </w:tcPr>
          <w:p>
            <w:pPr>
              <w:pStyle w:val="44"/>
              <w:rPr>
                <w:rFonts w:cs="Times New Roman"/>
                <w:color w:val="auto"/>
                <w:shd w:val="clear" w:color="auto" w:fill="auto"/>
              </w:rPr>
            </w:pPr>
          </w:p>
        </w:tc>
        <w:tc>
          <w:tcPr>
            <w:tcW w:w="1485" w:type="dxa"/>
            <w:vMerge w:val="continue"/>
            <w:vAlign w:val="center"/>
          </w:tcPr>
          <w:p>
            <w:pPr>
              <w:pStyle w:val="44"/>
              <w:rPr>
                <w:rFonts w:cs="Times New Roman"/>
                <w:color w:val="auto"/>
                <w:shd w:val="clear" w:color="auto" w:fill="auto"/>
              </w:rPr>
            </w:pPr>
          </w:p>
        </w:tc>
        <w:tc>
          <w:tcPr>
            <w:tcW w:w="1425" w:type="dxa"/>
            <w:vMerge w:val="continue"/>
            <w:vAlign w:val="center"/>
          </w:tcPr>
          <w:p>
            <w:pPr>
              <w:pStyle w:val="44"/>
              <w:rPr>
                <w:rFonts w:cs="Times New Roman"/>
                <w:color w:val="auto"/>
                <w:sz w:val="21"/>
                <w:szCs w:val="21"/>
                <w:shd w:val="clear" w:color="auto" w:fill="auto"/>
              </w:rPr>
            </w:pPr>
          </w:p>
        </w:tc>
        <w:tc>
          <w:tcPr>
            <w:tcW w:w="1389"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NH</w:t>
            </w:r>
            <w:r>
              <w:rPr>
                <w:rFonts w:hint="eastAsia" w:cs="Times New Roman"/>
                <w:color w:val="auto"/>
                <w:sz w:val="21"/>
                <w:szCs w:val="21"/>
                <w:shd w:val="clear" w:color="auto" w:fill="auto"/>
                <w:vertAlign w:val="subscript"/>
              </w:rPr>
              <w:t>3</w:t>
            </w:r>
            <w:r>
              <w:rPr>
                <w:rFonts w:hint="eastAsia" w:cs="Times New Roman"/>
                <w:color w:val="auto"/>
                <w:sz w:val="21"/>
                <w:szCs w:val="21"/>
                <w:shd w:val="clear" w:color="auto" w:fill="auto"/>
              </w:rPr>
              <w:t>-N</w:t>
            </w:r>
          </w:p>
        </w:tc>
        <w:tc>
          <w:tcPr>
            <w:tcW w:w="1387"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35</w:t>
            </w:r>
          </w:p>
        </w:tc>
        <w:tc>
          <w:tcPr>
            <w:tcW w:w="1740" w:type="dxa"/>
            <w:vAlign w:val="center"/>
          </w:tcPr>
          <w:p>
            <w:pPr>
              <w:pStyle w:val="44"/>
              <w:ind w:firstLine="0" w:firstLineChars="0"/>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1096" w:type="dxa"/>
            <w:vMerge w:val="continue"/>
            <w:vAlign w:val="center"/>
          </w:tcPr>
          <w:p>
            <w:pPr>
              <w:pStyle w:val="44"/>
              <w:rPr>
                <w:rFonts w:cs="Times New Roman"/>
                <w:color w:val="auto"/>
                <w:shd w:val="clear" w:color="auto" w:fill="auto"/>
              </w:rPr>
            </w:pPr>
          </w:p>
        </w:tc>
        <w:tc>
          <w:tcPr>
            <w:tcW w:w="1485" w:type="dxa"/>
            <w:vMerge w:val="continue"/>
            <w:vAlign w:val="center"/>
          </w:tcPr>
          <w:p>
            <w:pPr>
              <w:pStyle w:val="44"/>
              <w:rPr>
                <w:rFonts w:cs="Times New Roman"/>
                <w:color w:val="auto"/>
                <w:shd w:val="clear" w:color="auto" w:fill="auto"/>
              </w:rPr>
            </w:pPr>
          </w:p>
        </w:tc>
        <w:tc>
          <w:tcPr>
            <w:tcW w:w="1425" w:type="dxa"/>
            <w:vMerge w:val="continue"/>
            <w:vAlign w:val="center"/>
          </w:tcPr>
          <w:p>
            <w:pPr>
              <w:pStyle w:val="44"/>
              <w:rPr>
                <w:rFonts w:cs="Times New Roman"/>
                <w:color w:val="auto"/>
                <w:sz w:val="21"/>
                <w:szCs w:val="21"/>
                <w:shd w:val="clear" w:color="auto" w:fill="auto"/>
              </w:rPr>
            </w:pPr>
          </w:p>
        </w:tc>
        <w:tc>
          <w:tcPr>
            <w:tcW w:w="1389"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SS</w:t>
            </w:r>
          </w:p>
        </w:tc>
        <w:tc>
          <w:tcPr>
            <w:tcW w:w="1387" w:type="dxa"/>
            <w:vAlign w:val="center"/>
          </w:tcPr>
          <w:p>
            <w:pPr>
              <w:pStyle w:val="44"/>
              <w:rPr>
                <w:rFonts w:cs="Times New Roman"/>
                <w:color w:val="auto"/>
                <w:sz w:val="21"/>
                <w:szCs w:val="21"/>
                <w:shd w:val="clear" w:color="auto" w:fill="auto"/>
              </w:rPr>
            </w:pPr>
            <w:r>
              <w:rPr>
                <w:rFonts w:hint="eastAsia" w:cs="Times New Roman"/>
                <w:color w:val="auto"/>
                <w:sz w:val="21"/>
                <w:szCs w:val="21"/>
                <w:shd w:val="clear" w:color="auto" w:fill="auto"/>
              </w:rPr>
              <w:t>200</w:t>
            </w:r>
          </w:p>
        </w:tc>
        <w:tc>
          <w:tcPr>
            <w:tcW w:w="1740" w:type="dxa"/>
            <w:vAlign w:val="center"/>
          </w:tcPr>
          <w:p>
            <w:pPr>
              <w:pStyle w:val="44"/>
              <w:ind w:firstLine="0" w:firstLineChars="0"/>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rPr>
              <w:t>0.069</w:t>
            </w:r>
          </w:p>
        </w:tc>
      </w:tr>
    </w:tbl>
    <w:p>
      <w:pPr>
        <w:pStyle w:val="6"/>
        <w:bidi w:val="0"/>
        <w:rPr>
          <w:color w:val="auto"/>
          <w:shd w:val="clear" w:color="auto" w:fill="auto"/>
        </w:rPr>
      </w:pPr>
      <w:bookmarkStart w:id="226" w:name="_Toc316641953"/>
      <w:bookmarkStart w:id="227" w:name="_Toc312204319"/>
      <w:r>
        <w:rPr>
          <w:rFonts w:hint="eastAsia"/>
          <w:color w:val="auto"/>
          <w:shd w:val="clear" w:color="auto" w:fill="auto"/>
          <w:lang w:val="en-US" w:eastAsia="zh-CN"/>
        </w:rPr>
        <w:t>2.2.2.3</w:t>
      </w:r>
      <w:r>
        <w:rPr>
          <w:color w:val="auto"/>
          <w:shd w:val="clear" w:color="auto" w:fill="auto"/>
        </w:rPr>
        <w:t>噪声</w:t>
      </w:r>
      <w:bookmarkEnd w:id="226"/>
    </w:p>
    <w:bookmarkEnd w:id="227"/>
    <w:p>
      <w:pPr>
        <w:spacing w:line="360" w:lineRule="auto"/>
        <w:ind w:firstLine="480"/>
        <w:rPr>
          <w:color w:val="auto"/>
          <w:kern w:val="0"/>
          <w:shd w:val="clear" w:color="auto" w:fill="auto"/>
        </w:rPr>
      </w:pPr>
      <w:r>
        <w:rPr>
          <w:color w:val="auto"/>
          <w:kern w:val="0"/>
          <w:shd w:val="clear" w:color="auto" w:fill="auto"/>
        </w:rPr>
        <w:t>根据类比分析，项目施工过程中主要噪声源由码头水工建筑施工时打桩作业产生，其噪声峰值可达到120dB(A)。其次，在陆域场地平整、基础施工作业过程中，也会产生各类施工噪声。</w:t>
      </w:r>
    </w:p>
    <w:p>
      <w:pPr>
        <w:spacing w:line="360" w:lineRule="auto"/>
        <w:ind w:firstLine="480"/>
        <w:rPr>
          <w:rFonts w:eastAsia="宋体"/>
          <w:color w:val="auto"/>
          <w:sz w:val="24"/>
          <w:shd w:val="clear" w:color="auto" w:fill="auto"/>
        </w:rPr>
      </w:pPr>
      <w:r>
        <w:rPr>
          <w:color w:val="auto"/>
          <w:kern w:val="0"/>
          <w:shd w:val="clear" w:color="auto" w:fill="auto"/>
        </w:rPr>
        <w:t>工程施工的噪声源主要有施工机械固定噪声源和运输车辆流动噪声源，参照《环境噪声与振动控制工程技术导则》（HJ2034-2013）、《内河航运建设项目环境影响评价规范》(JTJ227-2001)，项目施工过程中常用设备的噪声源强。通过对上述机械设备和车辆等噪声值进行类比调查，其声压级如表</w:t>
      </w:r>
      <w:r>
        <w:rPr>
          <w:rFonts w:hint="eastAsia"/>
          <w:color w:val="auto"/>
          <w:kern w:val="0"/>
          <w:shd w:val="clear" w:color="auto" w:fill="auto"/>
          <w:lang w:val="en-US" w:eastAsia="zh-CN"/>
        </w:rPr>
        <w:t>2.2</w:t>
      </w:r>
      <w:r>
        <w:rPr>
          <w:color w:val="auto"/>
          <w:kern w:val="0"/>
          <w:shd w:val="clear" w:color="auto" w:fill="auto"/>
        </w:rPr>
        <w:t>-</w:t>
      </w:r>
      <w:r>
        <w:rPr>
          <w:rFonts w:hint="eastAsia"/>
          <w:color w:val="auto"/>
          <w:kern w:val="0"/>
          <w:shd w:val="clear" w:color="auto" w:fill="auto"/>
        </w:rPr>
        <w:t>6</w:t>
      </w:r>
      <w:r>
        <w:rPr>
          <w:color w:val="auto"/>
          <w:kern w:val="0"/>
          <w:shd w:val="clear" w:color="auto" w:fill="auto"/>
        </w:rPr>
        <w:t>所示。</w:t>
      </w:r>
    </w:p>
    <w:p>
      <w:pPr>
        <w:spacing w:line="440" w:lineRule="exact"/>
        <w:ind w:firstLine="480"/>
        <w:jc w:val="center"/>
        <w:rPr>
          <w:rFonts w:eastAsia="黑体"/>
          <w:color w:val="auto"/>
          <w:sz w:val="21"/>
          <w:szCs w:val="21"/>
          <w:shd w:val="clear" w:color="auto" w:fill="auto"/>
        </w:rPr>
      </w:pPr>
      <w:r>
        <w:rPr>
          <w:rFonts w:eastAsia="黑体"/>
          <w:color w:val="auto"/>
          <w:sz w:val="21"/>
          <w:szCs w:val="21"/>
          <w:shd w:val="clear" w:color="auto" w:fill="auto"/>
        </w:rPr>
        <w:t>表</w:t>
      </w:r>
      <w:r>
        <w:rPr>
          <w:rFonts w:hint="eastAsia" w:eastAsia="黑体"/>
          <w:color w:val="auto"/>
          <w:sz w:val="21"/>
          <w:szCs w:val="21"/>
          <w:shd w:val="clear" w:color="auto" w:fill="auto"/>
          <w:lang w:val="en-US" w:eastAsia="zh-CN"/>
        </w:rPr>
        <w:t>2.2</w:t>
      </w:r>
      <w:r>
        <w:rPr>
          <w:rFonts w:eastAsia="黑体"/>
          <w:color w:val="auto"/>
          <w:sz w:val="21"/>
          <w:szCs w:val="21"/>
          <w:shd w:val="clear" w:color="auto" w:fill="auto"/>
        </w:rPr>
        <w:t>-</w:t>
      </w:r>
      <w:r>
        <w:rPr>
          <w:rFonts w:hint="eastAsia" w:eastAsia="黑体"/>
          <w:color w:val="auto"/>
          <w:sz w:val="21"/>
          <w:szCs w:val="21"/>
          <w:shd w:val="clear" w:color="auto" w:fill="auto"/>
        </w:rPr>
        <w:t>6</w:t>
      </w:r>
      <w:r>
        <w:rPr>
          <w:rFonts w:eastAsia="黑体"/>
          <w:color w:val="auto"/>
          <w:sz w:val="21"/>
          <w:szCs w:val="21"/>
          <w:shd w:val="clear" w:color="auto" w:fill="auto"/>
        </w:rPr>
        <w:t xml:space="preserve"> </w:t>
      </w:r>
      <w:r>
        <w:rPr>
          <w:rFonts w:hint="eastAsia" w:eastAsia="黑体"/>
          <w:color w:val="auto"/>
          <w:sz w:val="21"/>
          <w:szCs w:val="21"/>
          <w:shd w:val="clear" w:color="auto" w:fill="auto"/>
        </w:rPr>
        <w:t xml:space="preserve"> </w:t>
      </w:r>
      <w:r>
        <w:rPr>
          <w:rFonts w:eastAsia="黑体"/>
          <w:color w:val="auto"/>
          <w:sz w:val="21"/>
          <w:szCs w:val="21"/>
          <w:shd w:val="clear" w:color="auto" w:fill="auto"/>
        </w:rPr>
        <w:t>施工机械噪声源强</w:t>
      </w:r>
    </w:p>
    <w:tbl>
      <w:tblPr>
        <w:tblStyle w:val="26"/>
        <w:tblW w:w="831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61"/>
        <w:gridCol w:w="2289"/>
        <w:gridCol w:w="2371"/>
        <w:gridCol w:w="18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施工阶段</w:t>
            </w: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噪声名称</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测点距声源距离（m）</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声压级 dB（A）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jc w:val="center"/>
        </w:trPr>
        <w:tc>
          <w:tcPr>
            <w:tcW w:w="1761" w:type="dxa"/>
            <w:vMerge w:val="restart"/>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土石方开挖</w:t>
            </w: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平地机</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continue"/>
            <w:vAlign w:val="center"/>
          </w:tcPr>
          <w:p>
            <w:pPr>
              <w:spacing w:line="240" w:lineRule="auto"/>
              <w:ind w:firstLine="0" w:firstLineChars="0"/>
              <w:jc w:val="center"/>
              <w:rPr>
                <w:rFonts w:hint="eastAsia"/>
                <w:color w:val="auto"/>
                <w:sz w:val="21"/>
                <w:szCs w:val="21"/>
                <w:shd w:val="clear" w:color="auto" w:fill="auto"/>
                <w:lang w:val="en-US" w:eastAsia="zh-CN"/>
              </w:rPr>
            </w:pP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挖掘机</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continue"/>
            <w:vAlign w:val="center"/>
          </w:tcPr>
          <w:p>
            <w:pPr>
              <w:spacing w:line="240" w:lineRule="auto"/>
              <w:ind w:firstLine="0" w:firstLineChars="0"/>
              <w:jc w:val="center"/>
              <w:rPr>
                <w:rFonts w:hint="eastAsia"/>
                <w:color w:val="auto"/>
                <w:sz w:val="21"/>
                <w:szCs w:val="21"/>
                <w:shd w:val="clear" w:color="auto" w:fill="auto"/>
                <w:lang w:val="en-US" w:eastAsia="zh-CN"/>
              </w:rPr>
            </w:pP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推土机</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continue"/>
            <w:vAlign w:val="center"/>
          </w:tcPr>
          <w:p>
            <w:pPr>
              <w:spacing w:line="240" w:lineRule="auto"/>
              <w:ind w:firstLine="0" w:firstLineChars="0"/>
              <w:jc w:val="center"/>
              <w:rPr>
                <w:rFonts w:hint="eastAsia"/>
                <w:color w:val="auto"/>
                <w:sz w:val="21"/>
                <w:szCs w:val="21"/>
                <w:shd w:val="clear" w:color="auto" w:fill="auto"/>
                <w:lang w:val="en-US" w:eastAsia="zh-CN"/>
              </w:rPr>
            </w:pP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自卸汽车</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10</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restart"/>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桩基工程</w:t>
            </w: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钻井机</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1</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continue"/>
            <w:vAlign w:val="center"/>
          </w:tcPr>
          <w:p>
            <w:pPr>
              <w:spacing w:line="240" w:lineRule="auto"/>
              <w:ind w:firstLine="0" w:firstLineChars="0"/>
              <w:jc w:val="center"/>
              <w:rPr>
                <w:rFonts w:hint="eastAsia"/>
                <w:color w:val="auto"/>
                <w:sz w:val="21"/>
                <w:szCs w:val="21"/>
                <w:shd w:val="clear" w:color="auto" w:fill="auto"/>
                <w:lang w:val="en-US" w:eastAsia="zh-CN"/>
              </w:rPr>
            </w:pP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循环钻机</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restart"/>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木工、钢筋加工</w:t>
            </w: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钢筋剪切机</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jc w:val="center"/>
        </w:trPr>
        <w:tc>
          <w:tcPr>
            <w:tcW w:w="1761" w:type="dxa"/>
            <w:vMerge w:val="continue"/>
            <w:vAlign w:val="center"/>
          </w:tcPr>
          <w:p>
            <w:pPr>
              <w:spacing w:line="240" w:lineRule="auto"/>
              <w:ind w:firstLine="0" w:firstLineChars="0"/>
              <w:jc w:val="center"/>
              <w:rPr>
                <w:rFonts w:hint="eastAsia"/>
                <w:color w:val="auto"/>
                <w:sz w:val="21"/>
                <w:szCs w:val="21"/>
                <w:shd w:val="clear" w:color="auto" w:fill="auto"/>
                <w:lang w:val="en-US" w:eastAsia="zh-CN"/>
              </w:rPr>
            </w:pP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切割锯</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restart"/>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混凝土浇筑</w:t>
            </w: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砼输送泵</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continue"/>
            <w:vAlign w:val="center"/>
          </w:tcPr>
          <w:p>
            <w:pPr>
              <w:spacing w:line="240" w:lineRule="auto"/>
              <w:ind w:firstLine="0" w:firstLineChars="0"/>
              <w:jc w:val="center"/>
              <w:rPr>
                <w:rFonts w:hint="eastAsia"/>
                <w:color w:val="auto"/>
                <w:sz w:val="21"/>
                <w:szCs w:val="21"/>
                <w:shd w:val="clear" w:color="auto" w:fill="auto"/>
                <w:lang w:val="en-US" w:eastAsia="zh-CN"/>
              </w:rPr>
            </w:pP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混凝土搅拌运输车</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10</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港池疏浚</w:t>
            </w: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抓斗式挖泥船</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15</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89</w:t>
            </w:r>
          </w:p>
        </w:tc>
      </w:tr>
    </w:tbl>
    <w:p>
      <w:pPr>
        <w:pStyle w:val="6"/>
        <w:bidi w:val="0"/>
        <w:rPr>
          <w:color w:val="auto"/>
          <w:shd w:val="clear" w:color="auto" w:fill="auto"/>
        </w:rPr>
      </w:pPr>
      <w:bookmarkStart w:id="228" w:name="_Toc316641954"/>
      <w:bookmarkStart w:id="229" w:name="_Toc312204320"/>
      <w:r>
        <w:rPr>
          <w:rFonts w:hint="eastAsia"/>
          <w:color w:val="auto"/>
          <w:shd w:val="clear" w:color="auto" w:fill="auto"/>
          <w:lang w:val="en-US" w:eastAsia="zh-CN"/>
        </w:rPr>
        <w:t>2.2.2.4</w:t>
      </w:r>
      <w:r>
        <w:rPr>
          <w:color w:val="auto"/>
          <w:shd w:val="clear" w:color="auto" w:fill="auto"/>
        </w:rPr>
        <w:t>固体废物</w:t>
      </w:r>
      <w:bookmarkEnd w:id="228"/>
      <w:bookmarkEnd w:id="229"/>
    </w:p>
    <w:p>
      <w:pPr>
        <w:spacing w:line="440" w:lineRule="atLeast"/>
        <w:ind w:firstLine="480"/>
        <w:rPr>
          <w:color w:val="auto"/>
          <w:kern w:val="0"/>
          <w:shd w:val="clear" w:color="auto" w:fill="auto"/>
        </w:rPr>
      </w:pPr>
      <w:r>
        <w:rPr>
          <w:color w:val="auto"/>
          <w:kern w:val="0"/>
          <w:shd w:val="clear" w:color="auto" w:fill="auto"/>
        </w:rPr>
        <w:t>施工期固体废物主要来自施工所产生的</w:t>
      </w:r>
      <w:r>
        <w:rPr>
          <w:rFonts w:hint="eastAsia"/>
          <w:color w:val="auto"/>
          <w:kern w:val="0"/>
          <w:shd w:val="clear" w:color="auto" w:fill="auto"/>
        </w:rPr>
        <w:t>工程弃土、</w:t>
      </w:r>
      <w:r>
        <w:rPr>
          <w:color w:val="auto"/>
          <w:kern w:val="0"/>
          <w:shd w:val="clear" w:color="auto" w:fill="auto"/>
        </w:rPr>
        <w:t>建筑垃圾(如砂石、石灰、混凝土等)、施工船舶垃圾和施工人员生活垃圾。这些均属于一般固体废物。</w:t>
      </w:r>
    </w:p>
    <w:p>
      <w:pPr>
        <w:spacing w:line="440" w:lineRule="atLeast"/>
        <w:ind w:firstLine="480"/>
        <w:rPr>
          <w:color w:val="auto"/>
          <w:kern w:val="0"/>
          <w:shd w:val="clear" w:color="auto" w:fill="auto"/>
        </w:rPr>
      </w:pPr>
      <w:r>
        <w:rPr>
          <w:color w:val="auto"/>
          <w:kern w:val="0"/>
          <w:shd w:val="clear" w:color="auto" w:fill="auto"/>
        </w:rPr>
        <w:t>根据本项目施工特点及有关调研资料，施工固废的种类与来源见表</w:t>
      </w:r>
      <w:r>
        <w:rPr>
          <w:rFonts w:hint="eastAsia"/>
          <w:color w:val="auto"/>
          <w:kern w:val="0"/>
          <w:shd w:val="clear" w:color="auto" w:fill="auto"/>
          <w:lang w:val="en-US" w:eastAsia="zh-CN"/>
        </w:rPr>
        <w:t>2.2</w:t>
      </w:r>
      <w:r>
        <w:rPr>
          <w:color w:val="auto"/>
          <w:kern w:val="0"/>
          <w:shd w:val="clear" w:color="auto" w:fill="auto"/>
        </w:rPr>
        <w:t>-</w:t>
      </w:r>
      <w:r>
        <w:rPr>
          <w:rFonts w:hint="eastAsia"/>
          <w:color w:val="auto"/>
          <w:kern w:val="0"/>
          <w:shd w:val="clear" w:color="auto" w:fill="auto"/>
        </w:rPr>
        <w:t>7</w:t>
      </w:r>
      <w:r>
        <w:rPr>
          <w:color w:val="auto"/>
          <w:kern w:val="0"/>
          <w:shd w:val="clear" w:color="auto" w:fill="auto"/>
        </w:rPr>
        <w:t>。</w:t>
      </w:r>
    </w:p>
    <w:p>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eastAsia" w:ascii="Times New Roman" w:hAnsi="Times New Roman" w:eastAsia="黑体" w:cs="Times New Roman"/>
          <w:color w:val="auto"/>
          <w:sz w:val="21"/>
          <w:szCs w:val="21"/>
          <w:shd w:val="clear" w:color="auto" w:fill="auto"/>
          <w:lang w:val="en-US" w:eastAsia="zh-CN"/>
        </w:rPr>
      </w:pPr>
      <w:r>
        <w:rPr>
          <w:rFonts w:hint="eastAsia" w:ascii="Times New Roman" w:hAnsi="Times New Roman" w:eastAsia="黑体" w:cs="Times New Roman"/>
          <w:color w:val="auto"/>
          <w:sz w:val="21"/>
          <w:szCs w:val="21"/>
          <w:shd w:val="clear" w:color="auto" w:fill="auto"/>
          <w:lang w:val="en-US" w:eastAsia="zh-CN"/>
        </w:rPr>
        <w:t>表2.2-7  固体废物的种类、来源及产生量</w:t>
      </w:r>
    </w:p>
    <w:tbl>
      <w:tblPr>
        <w:tblStyle w:val="26"/>
        <w:tblW w:w="8522" w:type="dxa"/>
        <w:jc w:val="center"/>
        <w:tblLayout w:type="fixed"/>
        <w:tblCellMar>
          <w:top w:w="0" w:type="dxa"/>
          <w:left w:w="108" w:type="dxa"/>
          <w:bottom w:w="0" w:type="dxa"/>
          <w:right w:w="108" w:type="dxa"/>
        </w:tblCellMar>
      </w:tblPr>
      <w:tblGrid>
        <w:gridCol w:w="1186"/>
        <w:gridCol w:w="1950"/>
        <w:gridCol w:w="3864"/>
        <w:gridCol w:w="1522"/>
      </w:tblGrid>
      <w:tr>
        <w:tblPrEx>
          <w:tblCellMar>
            <w:top w:w="0" w:type="dxa"/>
            <w:left w:w="108" w:type="dxa"/>
            <w:bottom w:w="0" w:type="dxa"/>
            <w:right w:w="108" w:type="dxa"/>
          </w:tblCellMar>
        </w:tblPrEx>
        <w:trPr>
          <w:trHeight w:val="340" w:hRule="atLeast"/>
          <w:jc w:val="center"/>
        </w:trPr>
        <w:tc>
          <w:tcPr>
            <w:tcW w:w="1186"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固废类型</w:t>
            </w:r>
          </w:p>
        </w:tc>
        <w:tc>
          <w:tcPr>
            <w:tcW w:w="1950"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固废名称</w:t>
            </w:r>
          </w:p>
        </w:tc>
        <w:tc>
          <w:tcPr>
            <w:tcW w:w="3864"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来 源</w:t>
            </w:r>
          </w:p>
        </w:tc>
        <w:tc>
          <w:tcPr>
            <w:tcW w:w="1522"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产生量(t/d)</w:t>
            </w:r>
          </w:p>
        </w:tc>
      </w:tr>
      <w:tr>
        <w:tblPrEx>
          <w:tblCellMar>
            <w:top w:w="0" w:type="dxa"/>
            <w:left w:w="108" w:type="dxa"/>
            <w:bottom w:w="0" w:type="dxa"/>
            <w:right w:w="108" w:type="dxa"/>
          </w:tblCellMar>
        </w:tblPrEx>
        <w:trPr>
          <w:trHeight w:val="340" w:hRule="atLeast"/>
          <w:jc w:val="center"/>
        </w:trPr>
        <w:tc>
          <w:tcPr>
            <w:tcW w:w="1186" w:type="dxa"/>
            <w:vMerge w:val="restart"/>
            <w:tcBorders>
              <w:top w:val="nil"/>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施工船舶</w:t>
            </w:r>
          </w:p>
        </w:tc>
        <w:tc>
          <w:tcPr>
            <w:tcW w:w="1950"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船舶保养废物</w:t>
            </w:r>
          </w:p>
        </w:tc>
        <w:tc>
          <w:tcPr>
            <w:tcW w:w="3864"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废弃机器零件、脱落的漆皮和铁屑、船舶机械设备旁的沉积物、更新的绳索等</w:t>
            </w:r>
          </w:p>
        </w:tc>
        <w:tc>
          <w:tcPr>
            <w:tcW w:w="1522"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cs="Times New Roman"/>
                <w:color w:val="auto"/>
                <w:sz w:val="21"/>
                <w:szCs w:val="21"/>
                <w:shd w:val="clear" w:color="auto" w:fill="auto"/>
              </w:rPr>
              <w:t>0.0</w:t>
            </w:r>
            <w:r>
              <w:rPr>
                <w:rFonts w:hint="eastAsia" w:cs="Times New Roman"/>
                <w:color w:val="auto"/>
                <w:sz w:val="21"/>
                <w:szCs w:val="21"/>
                <w:shd w:val="clear" w:color="auto" w:fill="auto"/>
                <w:lang w:val="en-US" w:eastAsia="zh-CN"/>
              </w:rPr>
              <w:t>4</w:t>
            </w:r>
          </w:p>
        </w:tc>
      </w:tr>
      <w:tr>
        <w:tblPrEx>
          <w:tblCellMar>
            <w:top w:w="0" w:type="dxa"/>
            <w:left w:w="108" w:type="dxa"/>
            <w:bottom w:w="0" w:type="dxa"/>
            <w:right w:w="108" w:type="dxa"/>
          </w:tblCellMar>
        </w:tblPrEx>
        <w:trPr>
          <w:trHeight w:val="340" w:hRule="atLeast"/>
          <w:jc w:val="center"/>
        </w:trPr>
        <w:tc>
          <w:tcPr>
            <w:tcW w:w="1186" w:type="dxa"/>
            <w:vMerge w:val="continue"/>
            <w:tcBorders>
              <w:top w:val="nil"/>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p>
        </w:tc>
        <w:tc>
          <w:tcPr>
            <w:tcW w:w="1950"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船舶生活垃圾</w:t>
            </w:r>
          </w:p>
        </w:tc>
        <w:tc>
          <w:tcPr>
            <w:tcW w:w="3864"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各种食品、厨房废物及塑料餐具、杯、袋、玻璃、陶瓷、纸布等废弃物</w:t>
            </w:r>
          </w:p>
        </w:tc>
        <w:tc>
          <w:tcPr>
            <w:tcW w:w="1522"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cs="Times New Roman"/>
                <w:color w:val="auto"/>
                <w:sz w:val="21"/>
                <w:szCs w:val="21"/>
                <w:shd w:val="clear" w:color="auto" w:fill="auto"/>
              </w:rPr>
              <w:t>0.0</w:t>
            </w:r>
            <w:r>
              <w:rPr>
                <w:rFonts w:hint="eastAsia" w:cs="Times New Roman"/>
                <w:color w:val="auto"/>
                <w:sz w:val="21"/>
                <w:szCs w:val="21"/>
                <w:shd w:val="clear" w:color="auto" w:fill="auto"/>
              </w:rPr>
              <w:t>45</w:t>
            </w:r>
          </w:p>
        </w:tc>
      </w:tr>
      <w:tr>
        <w:tblPrEx>
          <w:tblCellMar>
            <w:top w:w="0" w:type="dxa"/>
            <w:left w:w="108" w:type="dxa"/>
            <w:bottom w:w="0" w:type="dxa"/>
            <w:right w:w="108" w:type="dxa"/>
          </w:tblCellMar>
        </w:tblPrEx>
        <w:trPr>
          <w:trHeight w:val="340" w:hRule="atLeast"/>
          <w:jc w:val="center"/>
        </w:trPr>
        <w:tc>
          <w:tcPr>
            <w:tcW w:w="1186" w:type="dxa"/>
            <w:vMerge w:val="restart"/>
            <w:tcBorders>
              <w:top w:val="nil"/>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陆域固废</w:t>
            </w:r>
          </w:p>
        </w:tc>
        <w:tc>
          <w:tcPr>
            <w:tcW w:w="1950"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施工建筑垃圾</w:t>
            </w:r>
          </w:p>
        </w:tc>
        <w:tc>
          <w:tcPr>
            <w:tcW w:w="3864"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砂石、混凝土等残余物</w:t>
            </w:r>
          </w:p>
        </w:tc>
        <w:tc>
          <w:tcPr>
            <w:tcW w:w="1522"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0.5</w:t>
            </w:r>
          </w:p>
        </w:tc>
      </w:tr>
      <w:tr>
        <w:tblPrEx>
          <w:tblCellMar>
            <w:top w:w="0" w:type="dxa"/>
            <w:left w:w="108" w:type="dxa"/>
            <w:bottom w:w="0" w:type="dxa"/>
            <w:right w:w="108" w:type="dxa"/>
          </w:tblCellMar>
        </w:tblPrEx>
        <w:trPr>
          <w:trHeight w:val="340" w:hRule="atLeast"/>
          <w:jc w:val="center"/>
        </w:trPr>
        <w:tc>
          <w:tcPr>
            <w:tcW w:w="1186" w:type="dxa"/>
            <w:vMerge w:val="continue"/>
            <w:tcBorders>
              <w:top w:val="nil"/>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p>
        </w:tc>
        <w:tc>
          <w:tcPr>
            <w:tcW w:w="1950"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生活垃圾</w:t>
            </w:r>
          </w:p>
        </w:tc>
        <w:tc>
          <w:tcPr>
            <w:tcW w:w="3864"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各种食品、杯、袋、玻璃、陶瓷、纸布等废弃物</w:t>
            </w:r>
          </w:p>
        </w:tc>
        <w:tc>
          <w:tcPr>
            <w:tcW w:w="1522"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hint="eastAsia" w:eastAsia="宋体" w:cs="Times New Roman"/>
                <w:color w:val="auto"/>
                <w:sz w:val="21"/>
                <w:szCs w:val="21"/>
                <w:shd w:val="clear" w:color="auto" w:fill="auto"/>
                <w:lang w:eastAsia="zh-CN"/>
              </w:rPr>
            </w:pPr>
            <w:r>
              <w:rPr>
                <w:rFonts w:cs="Times New Roman"/>
                <w:color w:val="auto"/>
                <w:sz w:val="21"/>
                <w:szCs w:val="21"/>
                <w:shd w:val="clear" w:color="auto" w:fill="auto"/>
              </w:rPr>
              <w:t>0.</w:t>
            </w:r>
            <w:r>
              <w:rPr>
                <w:rFonts w:hint="eastAsia" w:cs="Times New Roman"/>
                <w:color w:val="auto"/>
                <w:sz w:val="21"/>
                <w:szCs w:val="21"/>
                <w:shd w:val="clear" w:color="auto" w:fill="auto"/>
              </w:rPr>
              <w:t>0</w:t>
            </w:r>
            <w:r>
              <w:rPr>
                <w:rFonts w:hint="eastAsia" w:cs="Times New Roman"/>
                <w:color w:val="auto"/>
                <w:sz w:val="21"/>
                <w:szCs w:val="21"/>
                <w:shd w:val="clear" w:color="auto" w:fill="auto"/>
                <w:lang w:val="en-US" w:eastAsia="zh-CN"/>
              </w:rPr>
              <w:t>4</w:t>
            </w:r>
          </w:p>
        </w:tc>
      </w:tr>
      <w:tr>
        <w:tblPrEx>
          <w:tblCellMar>
            <w:top w:w="0" w:type="dxa"/>
            <w:left w:w="108" w:type="dxa"/>
            <w:bottom w:w="0" w:type="dxa"/>
            <w:right w:w="108" w:type="dxa"/>
          </w:tblCellMar>
        </w:tblPrEx>
        <w:trPr>
          <w:trHeight w:val="340" w:hRule="atLeast"/>
          <w:jc w:val="center"/>
        </w:trPr>
        <w:tc>
          <w:tcPr>
            <w:tcW w:w="1186" w:type="dxa"/>
            <w:tcBorders>
              <w:top w:val="nil"/>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hint="eastAsia" w:cs="Times New Roman"/>
                <w:color w:val="auto"/>
                <w:sz w:val="21"/>
                <w:szCs w:val="21"/>
                <w:shd w:val="clear" w:color="auto" w:fill="auto"/>
              </w:rPr>
              <w:t>工程弃土</w:t>
            </w:r>
          </w:p>
        </w:tc>
        <w:tc>
          <w:tcPr>
            <w:tcW w:w="1950"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hint="eastAsia" w:cs="Times New Roman"/>
                <w:color w:val="auto"/>
                <w:sz w:val="21"/>
                <w:szCs w:val="21"/>
                <w:shd w:val="clear" w:color="auto" w:fill="auto"/>
              </w:rPr>
              <w:t>弃土</w:t>
            </w:r>
          </w:p>
        </w:tc>
        <w:tc>
          <w:tcPr>
            <w:tcW w:w="3864"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hint="eastAsia" w:cs="Times New Roman"/>
                <w:color w:val="auto"/>
                <w:sz w:val="21"/>
                <w:szCs w:val="21"/>
                <w:shd w:val="clear" w:color="auto" w:fill="auto"/>
              </w:rPr>
              <w:t>港池开挖、陆域开挖</w:t>
            </w:r>
          </w:p>
        </w:tc>
        <w:tc>
          <w:tcPr>
            <w:tcW w:w="1522" w:type="dxa"/>
            <w:tcBorders>
              <w:top w:val="single" w:color="000000" w:sz="4" w:space="0"/>
              <w:left w:val="nil"/>
              <w:bottom w:val="single" w:color="000000" w:sz="4" w:space="0"/>
              <w:right w:val="single" w:color="000000" w:sz="4" w:space="0"/>
            </w:tcBorders>
            <w:vAlign w:val="center"/>
          </w:tcPr>
          <w:p>
            <w:pPr>
              <w:spacing w:line="240" w:lineRule="auto"/>
              <w:ind w:firstLine="0" w:firstLineChars="0"/>
              <w:jc w:val="center"/>
              <w:rPr>
                <w:rFonts w:cs="Times New Roman"/>
                <w:color w:val="auto"/>
                <w:sz w:val="21"/>
                <w:szCs w:val="21"/>
                <w:shd w:val="clear" w:color="auto" w:fill="auto"/>
              </w:rPr>
            </w:pPr>
            <w:r>
              <w:rPr>
                <w:rFonts w:hint="eastAsia" w:cs="Times New Roman"/>
                <w:color w:val="auto"/>
                <w:sz w:val="21"/>
                <w:szCs w:val="21"/>
                <w:shd w:val="clear" w:color="auto" w:fill="auto"/>
                <w:lang w:val="en-US" w:eastAsia="zh-CN"/>
              </w:rPr>
              <w:t>8.74</w:t>
            </w:r>
            <w:r>
              <w:rPr>
                <w:rFonts w:hint="eastAsia"/>
                <w:color w:val="auto"/>
                <w:shd w:val="clear" w:color="auto" w:fill="auto"/>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p>
        </w:tc>
      </w:tr>
      <w:tr>
        <w:tblPrEx>
          <w:tblCellMar>
            <w:top w:w="0" w:type="dxa"/>
            <w:left w:w="108" w:type="dxa"/>
            <w:bottom w:w="0" w:type="dxa"/>
            <w:right w:w="108" w:type="dxa"/>
          </w:tblCellMar>
        </w:tblPrEx>
        <w:trPr>
          <w:trHeight w:val="340" w:hRule="atLeast"/>
          <w:jc w:val="center"/>
        </w:trPr>
        <w:tc>
          <w:tcPr>
            <w:tcW w:w="8522" w:type="dxa"/>
            <w:gridSpan w:val="4"/>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left"/>
              <w:rPr>
                <w:color w:val="auto"/>
                <w:sz w:val="21"/>
                <w:szCs w:val="21"/>
                <w:shd w:val="clear" w:color="auto" w:fill="auto"/>
              </w:rPr>
            </w:pPr>
            <w:r>
              <w:rPr>
                <w:color w:val="auto"/>
                <w:sz w:val="21"/>
                <w:szCs w:val="21"/>
                <w:shd w:val="clear" w:color="auto" w:fill="auto"/>
              </w:rPr>
              <w:t>备注：按照《港口工程环境保护设计规范》，每艘船舶每天产生的船舶保养废物20kg，按</w:t>
            </w:r>
            <w:r>
              <w:rPr>
                <w:rFonts w:hint="eastAsia"/>
                <w:color w:val="auto"/>
                <w:sz w:val="21"/>
                <w:szCs w:val="21"/>
                <w:shd w:val="clear" w:color="auto" w:fill="auto"/>
                <w:lang w:val="en-US" w:eastAsia="zh-CN"/>
              </w:rPr>
              <w:t>3</w:t>
            </w:r>
            <w:r>
              <w:rPr>
                <w:color w:val="auto"/>
                <w:sz w:val="21"/>
                <w:szCs w:val="21"/>
                <w:shd w:val="clear" w:color="auto" w:fill="auto"/>
              </w:rPr>
              <w:t>艘估算，每天船舶固废产生量为0.0</w:t>
            </w:r>
            <w:r>
              <w:rPr>
                <w:rFonts w:hint="eastAsia"/>
                <w:color w:val="auto"/>
                <w:sz w:val="21"/>
                <w:szCs w:val="21"/>
                <w:shd w:val="clear" w:color="auto" w:fill="auto"/>
                <w:lang w:val="en-US" w:eastAsia="zh-CN"/>
              </w:rPr>
              <w:t>6</w:t>
            </w:r>
            <w:r>
              <w:rPr>
                <w:color w:val="auto"/>
                <w:sz w:val="21"/>
                <w:szCs w:val="21"/>
                <w:shd w:val="clear" w:color="auto" w:fill="auto"/>
              </w:rPr>
              <w:t>吨；施工船舶生活垃圾（每艘按10人计）：0.</w:t>
            </w:r>
            <w:r>
              <w:rPr>
                <w:rFonts w:hint="eastAsia"/>
                <w:color w:val="auto"/>
                <w:sz w:val="21"/>
                <w:szCs w:val="21"/>
                <w:shd w:val="clear" w:color="auto" w:fill="auto"/>
                <w:lang w:val="en-US" w:eastAsia="zh-CN"/>
              </w:rPr>
              <w:t>045</w:t>
            </w:r>
            <w:r>
              <w:rPr>
                <w:color w:val="auto"/>
                <w:sz w:val="21"/>
                <w:szCs w:val="21"/>
                <w:shd w:val="clear" w:color="auto" w:fill="auto"/>
              </w:rPr>
              <w:t>吨；陆域生活垃圾发生系数按每人每日1.</w:t>
            </w:r>
            <w:r>
              <w:rPr>
                <w:rFonts w:hint="eastAsia"/>
                <w:color w:val="auto"/>
                <w:sz w:val="21"/>
                <w:szCs w:val="21"/>
                <w:shd w:val="clear" w:color="auto" w:fill="auto"/>
              </w:rPr>
              <w:t>0</w:t>
            </w:r>
            <w:r>
              <w:rPr>
                <w:color w:val="auto"/>
                <w:sz w:val="21"/>
                <w:szCs w:val="21"/>
                <w:shd w:val="clear" w:color="auto" w:fill="auto"/>
              </w:rPr>
              <w:t>kg，施工人员按</w:t>
            </w:r>
            <w:r>
              <w:rPr>
                <w:rFonts w:hint="eastAsia"/>
                <w:color w:val="auto"/>
                <w:sz w:val="21"/>
                <w:szCs w:val="21"/>
                <w:shd w:val="clear" w:color="auto" w:fill="auto"/>
                <w:lang w:val="en-US" w:eastAsia="zh-CN"/>
              </w:rPr>
              <w:t>4</w:t>
            </w:r>
            <w:r>
              <w:rPr>
                <w:color w:val="auto"/>
                <w:sz w:val="21"/>
                <w:szCs w:val="21"/>
                <w:shd w:val="clear" w:color="auto" w:fill="auto"/>
              </w:rPr>
              <w:t>0人计，则生活垃圾产生量为</w:t>
            </w:r>
            <w:r>
              <w:rPr>
                <w:rFonts w:hint="eastAsia"/>
                <w:color w:val="auto"/>
                <w:sz w:val="21"/>
                <w:szCs w:val="21"/>
                <w:shd w:val="clear" w:color="auto" w:fill="auto"/>
              </w:rPr>
              <w:t>0.0</w:t>
            </w:r>
            <w:r>
              <w:rPr>
                <w:rFonts w:hint="eastAsia"/>
                <w:color w:val="auto"/>
                <w:sz w:val="21"/>
                <w:szCs w:val="21"/>
                <w:shd w:val="clear" w:color="auto" w:fill="auto"/>
                <w:lang w:val="en-US" w:eastAsia="zh-CN"/>
              </w:rPr>
              <w:t>4</w:t>
            </w:r>
            <w:r>
              <w:rPr>
                <w:color w:val="auto"/>
                <w:sz w:val="21"/>
                <w:szCs w:val="21"/>
                <w:shd w:val="clear" w:color="auto" w:fill="auto"/>
              </w:rPr>
              <w:t>吨；每天产生的建筑垃圾按0.5吨计。</w:t>
            </w:r>
            <w:r>
              <w:rPr>
                <w:rFonts w:hint="eastAsia"/>
                <w:color w:val="auto"/>
                <w:sz w:val="21"/>
                <w:szCs w:val="21"/>
                <w:shd w:val="clear" w:color="auto" w:fill="auto"/>
              </w:rPr>
              <w:t>根据土方平衡，本项目弃土量</w:t>
            </w:r>
            <w:r>
              <w:rPr>
                <w:rFonts w:hint="eastAsia"/>
                <w:color w:val="auto"/>
                <w:sz w:val="21"/>
                <w:szCs w:val="21"/>
                <w:shd w:val="clear" w:color="auto" w:fill="auto"/>
                <w:lang w:val="en-US" w:eastAsia="zh-CN"/>
              </w:rPr>
              <w:t>8.74</w:t>
            </w:r>
            <w:r>
              <w:rPr>
                <w:rFonts w:hint="eastAsia"/>
                <w:color w:val="auto"/>
                <w:shd w:val="clear" w:color="auto" w:fill="auto"/>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w:t>
            </w:r>
          </w:p>
        </w:tc>
      </w:tr>
    </w:tbl>
    <w:p>
      <w:pPr>
        <w:pStyle w:val="6"/>
        <w:bidi w:val="0"/>
        <w:rPr>
          <w:color w:val="auto"/>
          <w:highlight w:val="none"/>
          <w:shd w:val="clear" w:color="auto" w:fill="auto"/>
        </w:rPr>
      </w:pPr>
      <w:bookmarkStart w:id="230" w:name="_Toc328911844"/>
      <w:r>
        <w:rPr>
          <w:rFonts w:hint="eastAsia"/>
          <w:color w:val="auto"/>
          <w:highlight w:val="none"/>
          <w:shd w:val="clear" w:color="auto" w:fill="auto"/>
          <w:lang w:val="en-US" w:eastAsia="zh-CN"/>
        </w:rPr>
        <w:t>2.2.2.5</w:t>
      </w:r>
      <w:r>
        <w:rPr>
          <w:color w:val="auto"/>
          <w:highlight w:val="none"/>
          <w:shd w:val="clear" w:color="auto" w:fill="auto"/>
        </w:rPr>
        <w:t>生态影响</w:t>
      </w:r>
      <w:bookmarkEnd w:id="230"/>
    </w:p>
    <w:p>
      <w:pPr>
        <w:widowControl/>
        <w:ind w:firstLine="480"/>
        <w:jc w:val="left"/>
        <w:rPr>
          <w:rFonts w:eastAsia="SimSun-Identity-H" w:cs="Times New Roman"/>
          <w:color w:val="auto"/>
          <w:shd w:val="clear" w:color="auto" w:fill="auto"/>
        </w:rPr>
      </w:pPr>
      <w:r>
        <w:rPr>
          <w:rFonts w:eastAsia="SimSun-Identity-H" w:cs="Times New Roman"/>
          <w:color w:val="auto"/>
          <w:shd w:val="clear" w:color="auto" w:fill="auto"/>
        </w:rPr>
        <w:t>码头建设对生态环境的影响主要来自由于土地利用格局的变化而引发的生态环境问题，由于码头人工建筑的出现，建设所在地土地利用类型发生改变，其土地生产能力、绿地调节控制能力以及生物种群数量、内部异质化程度等均会相应受到影响。</w:t>
      </w:r>
    </w:p>
    <w:p>
      <w:pPr>
        <w:widowControl/>
        <w:numPr>
          <w:ilvl w:val="0"/>
          <w:numId w:val="7"/>
        </w:numPr>
        <w:ind w:firstLine="480"/>
        <w:jc w:val="left"/>
        <w:rPr>
          <w:rFonts w:eastAsia="SimSun-Identity-H" w:cs="Times New Roman"/>
          <w:color w:val="auto"/>
          <w:shd w:val="clear" w:color="auto" w:fill="auto"/>
        </w:rPr>
      </w:pPr>
      <w:r>
        <w:rPr>
          <w:rFonts w:eastAsia="SimSun-Identity-H" w:cs="Times New Roman"/>
          <w:color w:val="auto"/>
          <w:shd w:val="clear" w:color="auto" w:fill="auto"/>
        </w:rPr>
        <w:t>项目土地利用情况</w:t>
      </w:r>
    </w:p>
    <w:p>
      <w:pPr>
        <w:widowControl/>
        <w:ind w:firstLine="480"/>
        <w:jc w:val="left"/>
        <w:rPr>
          <w:rFonts w:hint="eastAsia" w:eastAsia="SimSun-Identity-H" w:cs="Times New Roman"/>
          <w:color w:val="auto"/>
          <w:shd w:val="clear" w:color="auto" w:fill="auto"/>
        </w:rPr>
      </w:pPr>
      <w:r>
        <w:rPr>
          <w:rFonts w:eastAsia="SimSun-Identity-H" w:cs="Times New Roman"/>
          <w:color w:val="auto"/>
          <w:shd w:val="clear" w:color="auto" w:fill="auto"/>
        </w:rPr>
        <w:t>本工程总占地</w:t>
      </w:r>
      <w:r>
        <w:rPr>
          <w:rFonts w:hint="eastAsia" w:eastAsia="SimSun-Identity-H" w:cs="Times New Roman"/>
          <w:color w:val="auto"/>
          <w:shd w:val="clear" w:color="auto" w:fill="auto"/>
          <w:lang w:eastAsia="zh-CN"/>
        </w:rPr>
        <w:t>8.79</w:t>
      </w:r>
      <w:r>
        <w:rPr>
          <w:rFonts w:eastAsia="SimSun-Identity-H" w:cs="Times New Roman"/>
          <w:color w:val="auto"/>
          <w:shd w:val="clear" w:color="auto" w:fill="auto"/>
        </w:rPr>
        <w:t>h</w:t>
      </w:r>
      <w:r>
        <w:rPr>
          <w:rFonts w:hint="eastAsia" w:eastAsia="SimSun-Identity-H" w:cs="Times New Roman"/>
          <w:color w:val="auto"/>
          <w:shd w:val="clear" w:color="auto" w:fill="auto"/>
          <w:vertAlign w:val="baseline"/>
          <w:lang w:eastAsia="zh-CN"/>
        </w:rPr>
        <w:t>m</w:t>
      </w:r>
      <w:r>
        <w:rPr>
          <w:rFonts w:hint="eastAsia" w:eastAsia="SimSun-Identity-H" w:cs="Times New Roman"/>
          <w:color w:val="auto"/>
          <w:shd w:val="clear" w:color="auto" w:fill="auto"/>
          <w:vertAlign w:val="superscript"/>
          <w:lang w:eastAsia="zh-CN"/>
        </w:rPr>
        <w:t>2</w:t>
      </w:r>
      <w:r>
        <w:rPr>
          <w:rFonts w:eastAsia="SimSun-Identity-H" w:cs="Times New Roman"/>
          <w:color w:val="auto"/>
          <w:shd w:val="clear" w:color="auto" w:fill="auto"/>
        </w:rPr>
        <w:t>，其中永久占地</w:t>
      </w:r>
      <w:r>
        <w:rPr>
          <w:rFonts w:hint="eastAsia" w:eastAsia="SimSun-Identity-H" w:cs="Times New Roman"/>
          <w:color w:val="auto"/>
          <w:shd w:val="clear" w:color="auto" w:fill="auto"/>
          <w:lang w:val="en-US" w:eastAsia="zh-CN"/>
        </w:rPr>
        <w:t>5.91</w:t>
      </w:r>
      <w:r>
        <w:rPr>
          <w:rFonts w:eastAsia="SimSun-Identity-H" w:cs="Times New Roman"/>
          <w:color w:val="auto"/>
          <w:shd w:val="clear" w:color="auto" w:fill="auto"/>
        </w:rPr>
        <w:t>h</w:t>
      </w:r>
      <w:r>
        <w:rPr>
          <w:rFonts w:hint="eastAsia" w:eastAsia="SimSun-Identity-H" w:cs="Times New Roman"/>
          <w:color w:val="auto"/>
          <w:shd w:val="clear" w:color="auto" w:fill="auto"/>
          <w:vertAlign w:val="baseline"/>
          <w:lang w:eastAsia="zh-CN"/>
        </w:rPr>
        <w:t>m</w:t>
      </w:r>
      <w:r>
        <w:rPr>
          <w:rFonts w:hint="eastAsia" w:eastAsia="SimSun-Identity-H" w:cs="Times New Roman"/>
          <w:color w:val="auto"/>
          <w:shd w:val="clear" w:color="auto" w:fill="auto"/>
          <w:vertAlign w:val="superscript"/>
          <w:lang w:eastAsia="zh-CN"/>
        </w:rPr>
        <w:t>2</w:t>
      </w:r>
      <w:r>
        <w:rPr>
          <w:rFonts w:eastAsia="SimSun-Identity-H" w:cs="Times New Roman"/>
          <w:color w:val="auto"/>
          <w:shd w:val="clear" w:color="auto" w:fill="auto"/>
        </w:rPr>
        <w:t>，临时占地为2.</w:t>
      </w:r>
      <w:r>
        <w:rPr>
          <w:rFonts w:hint="eastAsia" w:eastAsia="SimSun-Identity-H" w:cs="Times New Roman"/>
          <w:color w:val="auto"/>
          <w:shd w:val="clear" w:color="auto" w:fill="auto"/>
          <w:lang w:val="en-US" w:eastAsia="zh-CN"/>
        </w:rPr>
        <w:t>78</w:t>
      </w:r>
      <w:r>
        <w:rPr>
          <w:rFonts w:eastAsia="SimSun-Identity-H" w:cs="Times New Roman"/>
          <w:color w:val="auto"/>
          <w:shd w:val="clear" w:color="auto" w:fill="auto"/>
        </w:rPr>
        <w:t>h</w:t>
      </w:r>
      <w:r>
        <w:rPr>
          <w:rFonts w:hint="eastAsia" w:eastAsia="SimSun-Identity-H" w:cs="Times New Roman"/>
          <w:color w:val="auto"/>
          <w:shd w:val="clear" w:color="auto" w:fill="auto"/>
          <w:vertAlign w:val="baseline"/>
          <w:lang w:eastAsia="zh-CN"/>
        </w:rPr>
        <w:t>m</w:t>
      </w:r>
      <w:r>
        <w:rPr>
          <w:rFonts w:hint="eastAsia" w:eastAsia="SimSun-Identity-H" w:cs="Times New Roman"/>
          <w:color w:val="auto"/>
          <w:shd w:val="clear" w:color="auto" w:fill="auto"/>
          <w:vertAlign w:val="superscript"/>
          <w:lang w:eastAsia="zh-CN"/>
        </w:rPr>
        <w:t>2</w:t>
      </w:r>
      <w:r>
        <w:rPr>
          <w:rFonts w:eastAsia="SimSun-Identity-H" w:cs="Times New Roman"/>
          <w:color w:val="auto"/>
          <w:shd w:val="clear" w:color="auto" w:fill="auto"/>
        </w:rPr>
        <w:t>。</w:t>
      </w:r>
      <w:r>
        <w:rPr>
          <w:rFonts w:hint="eastAsia" w:eastAsia="SimSun-Identity-H" w:cs="Times New Roman"/>
          <w:color w:val="auto"/>
          <w:shd w:val="clear" w:color="auto" w:fill="auto"/>
          <w:lang w:eastAsia="zh-CN"/>
        </w:rPr>
        <w:t>根据</w:t>
      </w:r>
      <w:r>
        <w:rPr>
          <w:rFonts w:hint="eastAsia"/>
          <w:b w:val="0"/>
          <w:bCs w:val="0"/>
          <w:color w:val="auto"/>
          <w:lang w:val="en-US" w:eastAsia="zh-CN"/>
        </w:rPr>
        <w:t>太和县自然资源和规划局文件太自然资管【2020】31号文</w:t>
      </w:r>
      <w:r>
        <w:rPr>
          <w:rFonts w:hint="eastAsia"/>
          <w:color w:val="auto"/>
          <w:sz w:val="24"/>
          <w:shd w:val="clear" w:color="auto" w:fill="auto"/>
          <w:lang w:val="en-US" w:eastAsia="zh-CN"/>
        </w:rPr>
        <w:t>（见附件4）</w:t>
      </w:r>
      <w:r>
        <w:rPr>
          <w:rFonts w:hint="eastAsia" w:eastAsia="SimSun-Identity-H" w:cs="Times New Roman"/>
          <w:color w:val="auto"/>
          <w:shd w:val="clear" w:color="auto" w:fill="auto"/>
          <w:lang w:eastAsia="zh-CN"/>
        </w:rPr>
        <w:t>，本项目不占基本农田。</w:t>
      </w:r>
      <w:r>
        <w:rPr>
          <w:rFonts w:eastAsia="SimSun-Identity-H" w:cs="Times New Roman"/>
          <w:color w:val="auto"/>
          <w:shd w:val="clear" w:color="auto" w:fill="auto"/>
        </w:rPr>
        <w:t>现状占地类型主要为内陆滩涂、坑塘水面、</w:t>
      </w:r>
      <w:r>
        <w:rPr>
          <w:rFonts w:hint="eastAsia" w:eastAsia="SimSun-Identity-H" w:cs="Times New Roman"/>
          <w:color w:val="auto"/>
          <w:shd w:val="clear" w:color="auto" w:fill="auto"/>
          <w:lang w:val="en-US" w:eastAsia="zh-CN"/>
        </w:rPr>
        <w:t>耕地、住宅</w:t>
      </w:r>
      <w:r>
        <w:rPr>
          <w:rFonts w:eastAsia="SimSun-Identity-H" w:cs="Times New Roman"/>
          <w:color w:val="auto"/>
          <w:shd w:val="clear" w:color="auto" w:fill="auto"/>
        </w:rPr>
        <w:t>等</w:t>
      </w:r>
      <w:r>
        <w:rPr>
          <w:rFonts w:hint="eastAsia" w:eastAsia="SimSun-Identity-H" w:cs="Times New Roman"/>
          <w:color w:val="auto"/>
          <w:shd w:val="clear" w:color="auto" w:fill="auto"/>
        </w:rPr>
        <w:t>。</w:t>
      </w:r>
      <w:r>
        <w:rPr>
          <w:rFonts w:hint="eastAsia" w:eastAsia="SimSun-Identity-H" w:cs="Times New Roman"/>
          <w:color w:val="auto"/>
          <w:shd w:val="clear" w:color="auto" w:fill="auto"/>
          <w:lang w:eastAsia="zh-CN"/>
        </w:rPr>
        <w:t>陆域施工</w:t>
      </w:r>
      <w:r>
        <w:rPr>
          <w:rFonts w:hint="eastAsia" w:eastAsia="SimSun-Identity-H" w:cs="Times New Roman"/>
          <w:color w:val="auto"/>
          <w:shd w:val="clear" w:color="auto" w:fill="auto"/>
        </w:rPr>
        <w:t>首先对场地进行清表30c</w:t>
      </w:r>
      <w:r>
        <w:rPr>
          <w:rFonts w:hint="eastAsia" w:eastAsia="SimSun-Identity-H" w:cs="Times New Roman"/>
          <w:color w:val="auto"/>
          <w:shd w:val="clear" w:color="auto" w:fill="auto"/>
          <w:lang w:eastAsia="zh-CN"/>
        </w:rPr>
        <w:t>m</w:t>
      </w:r>
      <w:r>
        <w:rPr>
          <w:rFonts w:hint="eastAsia" w:eastAsia="SimSun-Identity-H" w:cs="Times New Roman"/>
          <w:color w:val="auto"/>
          <w:shd w:val="clear" w:color="auto" w:fill="auto"/>
        </w:rPr>
        <w:t>，然后根据现场地形分区域整平场地；若反挖后高程低于铺面结构层底高程，路面结构层以下</w:t>
      </w:r>
      <w:r>
        <w:rPr>
          <w:rFonts w:eastAsia="SimSun-Identity-H" w:cs="Times New Roman"/>
          <w:color w:val="auto"/>
          <w:shd w:val="clear" w:color="auto" w:fill="auto"/>
        </w:rPr>
        <w:t>0</w:t>
      </w:r>
      <w:r>
        <w:rPr>
          <w:rFonts w:hint="eastAsia" w:eastAsia="SimSun-Identity-H" w:cs="Times New Roman"/>
          <w:color w:val="auto"/>
          <w:shd w:val="clear" w:color="auto" w:fill="auto"/>
        </w:rPr>
        <w:t>～</w:t>
      </w:r>
      <w:r>
        <w:rPr>
          <w:rFonts w:eastAsia="SimSun-Identity-H" w:cs="Times New Roman"/>
          <w:color w:val="auto"/>
          <w:shd w:val="clear" w:color="auto" w:fill="auto"/>
        </w:rPr>
        <w:t>60c</w:t>
      </w:r>
      <w:r>
        <w:rPr>
          <w:rFonts w:hint="eastAsia" w:eastAsia="SimSun-Identity-H" w:cs="Times New Roman"/>
          <w:color w:val="auto"/>
          <w:shd w:val="clear" w:color="auto" w:fill="auto"/>
          <w:lang w:eastAsia="zh-CN"/>
        </w:rPr>
        <w:t>m</w:t>
      </w:r>
      <w:r>
        <w:rPr>
          <w:rFonts w:hint="eastAsia" w:eastAsia="SimSun-Identity-H" w:cs="Times New Roman"/>
          <w:color w:val="auto"/>
          <w:shd w:val="clear" w:color="auto" w:fill="auto"/>
        </w:rPr>
        <w:t>路床回填三层</w:t>
      </w:r>
      <w:r>
        <w:rPr>
          <w:rFonts w:eastAsia="SimSun-Identity-H" w:cs="Times New Roman"/>
          <w:color w:val="auto"/>
          <w:shd w:val="clear" w:color="auto" w:fill="auto"/>
        </w:rPr>
        <w:t>20c</w:t>
      </w:r>
      <w:r>
        <w:rPr>
          <w:rFonts w:hint="eastAsia" w:eastAsia="SimSun-Identity-H" w:cs="Times New Roman"/>
          <w:color w:val="auto"/>
          <w:shd w:val="clear" w:color="auto" w:fill="auto"/>
          <w:lang w:eastAsia="zh-CN"/>
        </w:rPr>
        <w:t>m</w:t>
      </w:r>
      <w:r>
        <w:rPr>
          <w:rFonts w:eastAsia="SimSun-Identity-H" w:cs="Times New Roman"/>
          <w:color w:val="auto"/>
          <w:shd w:val="clear" w:color="auto" w:fill="auto"/>
        </w:rPr>
        <w:t>8%</w:t>
      </w:r>
      <w:r>
        <w:rPr>
          <w:rFonts w:hint="eastAsia" w:eastAsia="SimSun-Identity-H" w:cs="Times New Roman"/>
          <w:color w:val="auto"/>
          <w:shd w:val="clear" w:color="auto" w:fill="auto"/>
        </w:rPr>
        <w:t>石灰改善土，6</w:t>
      </w:r>
      <w:r>
        <w:rPr>
          <w:rFonts w:eastAsia="SimSun-Identity-H" w:cs="Times New Roman"/>
          <w:color w:val="auto"/>
          <w:shd w:val="clear" w:color="auto" w:fill="auto"/>
        </w:rPr>
        <w:t>0c</w:t>
      </w:r>
      <w:r>
        <w:rPr>
          <w:rFonts w:hint="eastAsia" w:eastAsia="SimSun-Identity-H" w:cs="Times New Roman"/>
          <w:color w:val="auto"/>
          <w:shd w:val="clear" w:color="auto" w:fill="auto"/>
          <w:lang w:eastAsia="zh-CN"/>
        </w:rPr>
        <w:t>m</w:t>
      </w:r>
      <w:r>
        <w:rPr>
          <w:rFonts w:hint="eastAsia" w:eastAsia="SimSun-Identity-H" w:cs="Times New Roman"/>
          <w:color w:val="auto"/>
          <w:shd w:val="clear" w:color="auto" w:fill="auto"/>
        </w:rPr>
        <w:t>路床以下回填</w:t>
      </w:r>
      <w:r>
        <w:rPr>
          <w:rFonts w:eastAsia="SimSun-Identity-H" w:cs="Times New Roman"/>
          <w:color w:val="auto"/>
          <w:shd w:val="clear" w:color="auto" w:fill="auto"/>
        </w:rPr>
        <w:t>4%</w:t>
      </w:r>
      <w:r>
        <w:rPr>
          <w:rFonts w:hint="eastAsia" w:eastAsia="SimSun-Identity-H" w:cs="Times New Roman"/>
          <w:color w:val="auto"/>
          <w:shd w:val="clear" w:color="auto" w:fill="auto"/>
        </w:rPr>
        <w:t>石灰改善土；若反挖后高程高于铺面结构层底高程，则需继续开挖至结构层底设计高程，换填三层</w:t>
      </w:r>
      <w:r>
        <w:rPr>
          <w:rFonts w:eastAsia="SimSun-Identity-H" w:cs="Times New Roman"/>
          <w:color w:val="auto"/>
          <w:shd w:val="clear" w:color="auto" w:fill="auto"/>
        </w:rPr>
        <w:t>20c</w:t>
      </w:r>
      <w:r>
        <w:rPr>
          <w:rFonts w:hint="eastAsia" w:eastAsia="SimSun-Identity-H" w:cs="Times New Roman"/>
          <w:color w:val="auto"/>
          <w:shd w:val="clear" w:color="auto" w:fill="auto"/>
          <w:lang w:eastAsia="zh-CN"/>
        </w:rPr>
        <w:t>m</w:t>
      </w:r>
      <w:r>
        <w:rPr>
          <w:rFonts w:hint="eastAsia" w:eastAsia="SimSun-Identity-H" w:cs="Times New Roman"/>
          <w:color w:val="auto"/>
          <w:shd w:val="clear" w:color="auto" w:fill="auto"/>
          <w:lang w:val="en-US" w:eastAsia="zh-CN"/>
        </w:rPr>
        <w:t xml:space="preserve"> </w:t>
      </w:r>
      <w:r>
        <w:rPr>
          <w:rFonts w:eastAsia="SimSun-Identity-H" w:cs="Times New Roman"/>
          <w:color w:val="auto"/>
          <w:shd w:val="clear" w:color="auto" w:fill="auto"/>
        </w:rPr>
        <w:t>8%</w:t>
      </w:r>
      <w:r>
        <w:rPr>
          <w:rFonts w:hint="eastAsia" w:eastAsia="SimSun-Identity-H" w:cs="Times New Roman"/>
          <w:color w:val="auto"/>
          <w:shd w:val="clear" w:color="auto" w:fill="auto"/>
        </w:rPr>
        <w:t>石灰改善土。</w:t>
      </w:r>
    </w:p>
    <w:p>
      <w:pPr>
        <w:widowControl/>
        <w:ind w:firstLine="480"/>
        <w:jc w:val="left"/>
        <w:rPr>
          <w:rFonts w:eastAsia="SimSun-Identity-H" w:cs="Times New Roman"/>
          <w:color w:val="auto"/>
          <w:shd w:val="clear" w:color="auto" w:fill="auto"/>
        </w:rPr>
      </w:pPr>
      <w:r>
        <w:rPr>
          <w:rFonts w:eastAsia="SimSun-Identity-H" w:cs="Times New Roman"/>
          <w:color w:val="auto"/>
          <w:shd w:val="clear" w:color="auto" w:fill="auto"/>
        </w:rPr>
        <w:t>取弃土作业将扰动动植物群落的栖息环境，使地表植被破坏；取土后极易造成地势低洼，使原有地排水系统受阻，形成易涝问题；取土后土壤结构被破坏，肥力锐减，土壤生产力下降</w:t>
      </w:r>
      <w:r>
        <w:rPr>
          <w:rFonts w:hint="eastAsia" w:eastAsia="SimSun-Identity-H" w:cs="Times New Roman"/>
          <w:color w:val="auto"/>
          <w:shd w:val="clear" w:color="auto" w:fill="auto"/>
        </w:rPr>
        <w:t>；</w:t>
      </w:r>
      <w:r>
        <w:rPr>
          <w:rFonts w:eastAsia="SimSun-Identity-H" w:cs="Times New Roman"/>
          <w:color w:val="auto"/>
          <w:shd w:val="clear" w:color="auto" w:fill="auto"/>
        </w:rPr>
        <w:t>建设过程平整土地、清除地表植物和破坏地表层会产生一定的水土流失</w:t>
      </w:r>
      <w:r>
        <w:rPr>
          <w:rFonts w:hint="eastAsia" w:eastAsia="SimSun-Identity-H" w:cs="Times New Roman"/>
          <w:color w:val="auto"/>
          <w:shd w:val="clear" w:color="auto" w:fill="auto"/>
        </w:rPr>
        <w:t>；</w:t>
      </w:r>
      <w:r>
        <w:rPr>
          <w:rFonts w:eastAsia="SimSun-Identity-H" w:cs="Times New Roman"/>
          <w:color w:val="auto"/>
          <w:shd w:val="clear" w:color="auto" w:fill="auto"/>
        </w:rPr>
        <w:t>陆域填高形成的边坡也会产生一定的水土流失。</w:t>
      </w:r>
    </w:p>
    <w:p>
      <w:pPr>
        <w:widowControl/>
        <w:ind w:firstLine="480"/>
        <w:jc w:val="left"/>
        <w:rPr>
          <w:rFonts w:eastAsia="SimSun-Identity-H" w:cs="Times New Roman"/>
          <w:color w:val="auto"/>
          <w:shd w:val="clear" w:color="auto" w:fill="auto"/>
        </w:rPr>
      </w:pPr>
      <w:r>
        <w:rPr>
          <w:rFonts w:hint="eastAsia" w:eastAsia="SimSun-Identity-H" w:cs="Times New Roman"/>
          <w:color w:val="auto"/>
          <w:shd w:val="clear" w:color="auto" w:fill="auto"/>
        </w:rPr>
        <w:t>（2）</w:t>
      </w:r>
      <w:r>
        <w:rPr>
          <w:rFonts w:eastAsia="SimSun-Identity-H" w:cs="Times New Roman"/>
          <w:color w:val="auto"/>
          <w:shd w:val="clear" w:color="auto" w:fill="auto"/>
        </w:rPr>
        <w:t>对水生生物的影响</w:t>
      </w:r>
    </w:p>
    <w:p>
      <w:pPr>
        <w:widowControl/>
        <w:ind w:firstLine="480"/>
        <w:jc w:val="left"/>
        <w:rPr>
          <w:rFonts w:eastAsia="SimSun-Identity-H" w:cs="Times New Roman"/>
          <w:color w:val="auto"/>
          <w:shd w:val="clear" w:color="auto" w:fill="auto"/>
        </w:rPr>
      </w:pPr>
      <w:r>
        <w:rPr>
          <w:rFonts w:eastAsia="SimSun-Identity-H" w:cs="Times New Roman"/>
          <w:color w:val="auto"/>
          <w:shd w:val="clear" w:color="auto" w:fill="auto"/>
        </w:rPr>
        <w:t>水生生态环境是生态环境极其重要的组成部分，具有易发生变化、易受影响、易遭受破坏的特点。作为一种人工构筑物、水利设施会对水生生态环境产生明显的影响。</w:t>
      </w:r>
      <w:r>
        <w:rPr>
          <w:rFonts w:hint="eastAsia" w:eastAsia="SimSun-Identity-H" w:cs="Times New Roman"/>
          <w:color w:val="auto"/>
          <w:shd w:val="clear" w:color="auto" w:fill="auto"/>
          <w:lang w:eastAsia="zh-CN"/>
        </w:rPr>
        <w:t>阜阳港太和港区陶庙作业区码头工程</w:t>
      </w:r>
      <w:r>
        <w:rPr>
          <w:rFonts w:eastAsia="SimSun-Identity-H" w:cs="Times New Roman"/>
          <w:color w:val="auto"/>
          <w:shd w:val="clear" w:color="auto" w:fill="auto"/>
        </w:rPr>
        <w:t>的建设保持了稳定的水位，扩大了河道水面，提高了河流的防洪能力和水资源的利用率，有利</w:t>
      </w:r>
      <w:r>
        <w:rPr>
          <w:rFonts w:hint="eastAsia" w:eastAsia="SimSun-Identity-H" w:cs="Times New Roman"/>
          <w:color w:val="auto"/>
          <w:shd w:val="clear" w:color="auto" w:fill="auto"/>
          <w:lang w:eastAsia="zh-CN"/>
        </w:rPr>
        <w:t>沙颍河</w:t>
      </w:r>
      <w:r>
        <w:rPr>
          <w:rFonts w:eastAsia="SimSun-Identity-H" w:cs="Times New Roman"/>
          <w:color w:val="auto"/>
          <w:shd w:val="clear" w:color="auto" w:fill="auto"/>
        </w:rPr>
        <w:t>航运业的发展，同时也对项目区内的水生生物资源产生了一定的影响，主要表现在以下方面：</w:t>
      </w:r>
    </w:p>
    <w:p>
      <w:pPr>
        <w:widowControl/>
        <w:ind w:firstLine="480"/>
        <w:jc w:val="left"/>
        <w:rPr>
          <w:rFonts w:eastAsia="SimSun-Identity-H" w:cs="Times New Roman"/>
          <w:color w:val="auto"/>
          <w:shd w:val="clear" w:color="auto" w:fill="auto"/>
        </w:rPr>
      </w:pPr>
      <w:r>
        <w:rPr>
          <w:rFonts w:hint="eastAsia" w:eastAsia="SimSun-Identity-H" w:cs="Times New Roman"/>
          <w:color w:val="auto"/>
          <w:shd w:val="clear" w:color="auto" w:fill="auto"/>
        </w:rPr>
        <w:t>①</w:t>
      </w:r>
      <w:r>
        <w:rPr>
          <w:rFonts w:eastAsia="SimSun-Identity-H" w:cs="Times New Roman"/>
          <w:color w:val="auto"/>
          <w:shd w:val="clear" w:color="auto" w:fill="auto"/>
        </w:rPr>
        <w:t>施工所使用的挖掘机、震动棒、升降机、装载机等高噪声设备，将干扰</w:t>
      </w:r>
      <w:r>
        <w:rPr>
          <w:rFonts w:hint="eastAsia" w:eastAsia="SimSun-Identity-H" w:cs="Times New Roman"/>
          <w:color w:val="auto"/>
          <w:shd w:val="clear" w:color="auto" w:fill="auto"/>
          <w:lang w:val="en-US" w:eastAsia="zh-CN"/>
        </w:rPr>
        <w:t>沙颍河</w:t>
      </w:r>
      <w:r>
        <w:rPr>
          <w:rFonts w:eastAsia="SimSun-Identity-H" w:cs="Times New Roman"/>
          <w:color w:val="auto"/>
          <w:shd w:val="clear" w:color="auto" w:fill="auto"/>
        </w:rPr>
        <w:t>水生生物的活动，但由于本河段大型水生动物的活动较少，且施工周期短暂，随着施工结束干扰也随之而消失。施工机械产生的噪声对水生动物的影响较小。</w:t>
      </w:r>
    </w:p>
    <w:p>
      <w:pPr>
        <w:widowControl/>
        <w:ind w:firstLine="480"/>
        <w:jc w:val="left"/>
        <w:rPr>
          <w:color w:val="auto"/>
          <w:shd w:val="clear" w:color="auto" w:fill="auto"/>
        </w:rPr>
      </w:pPr>
      <w:r>
        <w:rPr>
          <w:rFonts w:hint="eastAsia" w:eastAsia="SimSun-Identity-H" w:cs="Times New Roman"/>
          <w:color w:val="auto"/>
          <w:shd w:val="clear" w:color="auto" w:fill="auto"/>
        </w:rPr>
        <w:t>②</w:t>
      </w:r>
      <w:r>
        <w:rPr>
          <w:rFonts w:eastAsia="SimSun-Identity-H" w:cs="Times New Roman"/>
          <w:color w:val="auto"/>
          <w:shd w:val="clear" w:color="auto" w:fill="auto"/>
        </w:rPr>
        <w:t>工程施工期间直接影响主要表现在水下建筑物施工过程中，通过开挖、打桩、疏浚、填埋将会掩埋底栖生物栖息地，给底栖生物生存环境带来部分破坏。施工活动造成水域悬浮物含量增加，施工工地机械跑、冒、滴、漏的污油及露天机械被雨水冲刷产生的油类污水、现场施工人员产生的生活污水流入该河段都将暂时影响到该区域的水质，损害了该区域浮游植物、游泳动物、底栖类生物的生存环境，对港区水生生物量和生物个体密度上影响较大，生物数量略有下降。</w:t>
      </w:r>
    </w:p>
    <w:p>
      <w:pPr>
        <w:widowControl/>
        <w:ind w:firstLine="480"/>
        <w:jc w:val="left"/>
        <w:rPr>
          <w:rFonts w:eastAsia="SimSun-Identity-H" w:cs="Times New Roman"/>
          <w:color w:val="auto"/>
          <w:shd w:val="clear" w:color="auto" w:fill="auto"/>
        </w:rPr>
      </w:pPr>
      <w:r>
        <w:rPr>
          <w:rFonts w:eastAsia="SimSun-Identity-H" w:cs="Times New Roman"/>
          <w:color w:val="auto"/>
          <w:shd w:val="clear" w:color="auto" w:fill="auto"/>
        </w:rPr>
        <w:t>（</w:t>
      </w:r>
      <w:r>
        <w:rPr>
          <w:rFonts w:eastAsia="TimesNewRomanPSMT-Identity-H" w:cs="Times New Roman"/>
          <w:color w:val="auto"/>
          <w:shd w:val="clear" w:color="auto" w:fill="auto"/>
        </w:rPr>
        <w:t>3</w:t>
      </w:r>
      <w:r>
        <w:rPr>
          <w:rFonts w:eastAsia="SimSun-Identity-H" w:cs="Times New Roman"/>
          <w:color w:val="auto"/>
          <w:shd w:val="clear" w:color="auto" w:fill="auto"/>
        </w:rPr>
        <w:t>）对陆域植被的影响</w:t>
      </w:r>
    </w:p>
    <w:p>
      <w:pPr>
        <w:widowControl/>
        <w:ind w:firstLine="480"/>
        <w:jc w:val="left"/>
        <w:rPr>
          <w:rFonts w:eastAsia="SimSun-Identity-H" w:cs="Times New Roman"/>
          <w:color w:val="auto"/>
          <w:shd w:val="clear" w:color="auto" w:fill="auto"/>
        </w:rPr>
      </w:pPr>
      <w:r>
        <w:rPr>
          <w:rFonts w:eastAsia="SimSun-Identity-H" w:cs="Times New Roman"/>
          <w:color w:val="auto"/>
          <w:shd w:val="clear" w:color="auto" w:fill="auto"/>
        </w:rPr>
        <w:t>施工期对植被的影响主要表现在对植被的剥离和清除。随着工程实施，植被被完全剥离和清除，地面裸露且被硬化，土石表层温度变幅将增大，本工程区域内物种多样性、植被覆盖度和植物群落生产力将明显下降。</w:t>
      </w:r>
    </w:p>
    <w:p>
      <w:pPr>
        <w:widowControl/>
        <w:ind w:firstLine="480"/>
        <w:jc w:val="left"/>
        <w:rPr>
          <w:rFonts w:eastAsia="SimSun-Identity-H" w:cs="Times New Roman"/>
          <w:color w:val="auto"/>
          <w:shd w:val="clear" w:color="auto" w:fill="auto"/>
        </w:rPr>
      </w:pPr>
      <w:r>
        <w:rPr>
          <w:rFonts w:eastAsia="SimSun-Identity-H" w:cs="Times New Roman"/>
          <w:color w:val="auto"/>
          <w:shd w:val="clear" w:color="auto" w:fill="auto"/>
        </w:rPr>
        <w:t>（</w:t>
      </w:r>
      <w:r>
        <w:rPr>
          <w:rFonts w:eastAsia="TimesNewRomanPSMT-Identity-H" w:cs="Times New Roman"/>
          <w:color w:val="auto"/>
          <w:shd w:val="clear" w:color="auto" w:fill="auto"/>
        </w:rPr>
        <w:t>4</w:t>
      </w:r>
      <w:r>
        <w:rPr>
          <w:rFonts w:eastAsia="SimSun-Identity-H" w:cs="Times New Roman"/>
          <w:color w:val="auto"/>
          <w:shd w:val="clear" w:color="auto" w:fill="auto"/>
        </w:rPr>
        <w:t>）对陆域动物的影响</w:t>
      </w:r>
    </w:p>
    <w:p>
      <w:pPr>
        <w:widowControl/>
        <w:ind w:firstLine="480"/>
        <w:jc w:val="left"/>
        <w:rPr>
          <w:color w:val="auto"/>
          <w:shd w:val="clear" w:color="auto" w:fill="auto"/>
        </w:rPr>
      </w:pPr>
      <w:r>
        <w:rPr>
          <w:rFonts w:eastAsia="SimSun-Identity-H" w:cs="Times New Roman"/>
          <w:color w:val="auto"/>
          <w:shd w:val="clear" w:color="auto" w:fill="auto"/>
        </w:rPr>
        <w:t>码头在建设期施工的打桩、机器的震动、汽车的噪音以及废水、废气将会对该地区的野生动物受到扰动。由于植被的清除，小型动物的栖息地也将丧失。</w:t>
      </w:r>
    </w:p>
    <w:p>
      <w:pPr>
        <w:pStyle w:val="5"/>
        <w:rPr>
          <w:rFonts w:hint="eastAsia" w:eastAsia="黑体"/>
          <w:color w:val="auto"/>
          <w:sz w:val="21"/>
          <w:szCs w:val="21"/>
          <w:shd w:val="clear" w:color="auto" w:fill="auto"/>
          <w:lang w:val="en-US" w:eastAsia="zh-CN"/>
        </w:rPr>
      </w:pPr>
      <w:bookmarkStart w:id="231" w:name="_Toc28402_WPSOffice_Level2"/>
      <w:bookmarkStart w:id="232" w:name="_Toc8379_WPSOffice_Level2"/>
      <w:r>
        <w:rPr>
          <w:rFonts w:hint="eastAsia"/>
          <w:color w:val="auto"/>
          <w:shd w:val="clear" w:color="auto" w:fill="auto"/>
          <w:lang w:val="en-US" w:eastAsia="zh-CN"/>
        </w:rPr>
        <w:t xml:space="preserve">2.2.3 </w:t>
      </w:r>
      <w:r>
        <w:rPr>
          <w:rFonts w:hint="eastAsia"/>
          <w:color w:val="auto"/>
          <w:shd w:val="clear" w:color="auto" w:fill="auto"/>
        </w:rPr>
        <w:t>营运期工程分析</w:t>
      </w:r>
      <w:bookmarkEnd w:id="231"/>
      <w:bookmarkEnd w:id="232"/>
    </w:p>
    <w:p>
      <w:pPr>
        <w:pStyle w:val="6"/>
        <w:rPr>
          <w:color w:val="auto"/>
          <w:shd w:val="clear" w:color="auto" w:fill="auto"/>
        </w:rPr>
      </w:pPr>
      <w:r>
        <w:rPr>
          <w:rFonts w:hint="eastAsia"/>
          <w:color w:val="auto"/>
          <w:shd w:val="clear" w:color="auto" w:fill="auto"/>
          <w:lang w:val="en-US" w:eastAsia="zh-CN"/>
        </w:rPr>
        <w:t>2.2</w:t>
      </w:r>
      <w:r>
        <w:rPr>
          <w:rFonts w:hint="eastAsia"/>
          <w:color w:val="auto"/>
          <w:shd w:val="clear" w:color="auto" w:fill="auto"/>
        </w:rPr>
        <w:t>.</w:t>
      </w:r>
      <w:r>
        <w:rPr>
          <w:rFonts w:hint="eastAsia"/>
          <w:color w:val="auto"/>
          <w:shd w:val="clear" w:color="auto" w:fill="auto"/>
          <w:lang w:val="en-US" w:eastAsia="zh-CN"/>
        </w:rPr>
        <w:t>3</w:t>
      </w:r>
      <w:r>
        <w:rPr>
          <w:rFonts w:hint="eastAsia"/>
          <w:color w:val="auto"/>
          <w:shd w:val="clear" w:color="auto" w:fill="auto"/>
        </w:rPr>
        <w:t>.</w:t>
      </w:r>
      <w:r>
        <w:rPr>
          <w:rFonts w:hint="eastAsia"/>
          <w:color w:val="auto"/>
          <w:shd w:val="clear" w:color="auto" w:fill="auto"/>
          <w:lang w:val="en-US" w:eastAsia="zh-CN"/>
        </w:rPr>
        <w:t>1</w:t>
      </w:r>
      <w:r>
        <w:rPr>
          <w:rFonts w:hint="eastAsia"/>
          <w:color w:val="auto"/>
          <w:shd w:val="clear" w:color="auto" w:fill="auto"/>
        </w:rPr>
        <w:t>营运期大气污染源</w:t>
      </w:r>
    </w:p>
    <w:p>
      <w:pPr>
        <w:ind w:firstLine="480"/>
        <w:rPr>
          <w:color w:val="auto"/>
          <w:shd w:val="clear" w:color="auto" w:fill="auto"/>
        </w:rPr>
      </w:pPr>
      <w:r>
        <w:rPr>
          <w:rFonts w:ascii="宋体" w:hAnsi="宋体"/>
          <w:color w:val="auto"/>
          <w:sz w:val="24"/>
          <w:shd w:val="clear" w:color="auto" w:fill="auto"/>
        </w:rPr>
        <w:t>项目废气污染源</w:t>
      </w:r>
      <w:r>
        <w:rPr>
          <w:rFonts w:hint="eastAsia" w:ascii="宋体" w:hAnsi="宋体"/>
          <w:color w:val="auto"/>
          <w:sz w:val="24"/>
          <w:shd w:val="clear" w:color="auto" w:fill="auto"/>
          <w:lang w:val="en-US" w:eastAsia="zh-CN"/>
        </w:rPr>
        <w:t>均为</w:t>
      </w:r>
      <w:r>
        <w:rPr>
          <w:rFonts w:ascii="宋体" w:hAnsi="宋体"/>
          <w:color w:val="auto"/>
          <w:sz w:val="24"/>
          <w:shd w:val="clear" w:color="auto" w:fill="auto"/>
        </w:rPr>
        <w:t>无组织排放</w:t>
      </w:r>
      <w:r>
        <w:rPr>
          <w:rFonts w:hint="eastAsia" w:ascii="宋体" w:hAnsi="宋体"/>
          <w:color w:val="auto"/>
          <w:sz w:val="24"/>
          <w:shd w:val="clear" w:color="auto" w:fill="auto"/>
          <w:lang w:eastAsia="zh-CN"/>
        </w:rPr>
        <w:t>，</w:t>
      </w:r>
      <w:r>
        <w:rPr>
          <w:rFonts w:hint="eastAsia"/>
          <w:color w:val="auto"/>
          <w:shd w:val="clear" w:color="auto" w:fill="auto"/>
        </w:rPr>
        <w:t>主要包括船舶废气、汽车尾气、散货装卸和</w:t>
      </w:r>
      <w:r>
        <w:rPr>
          <w:rFonts w:hint="eastAsia"/>
          <w:color w:val="auto"/>
          <w:shd w:val="clear" w:color="auto" w:fill="auto"/>
          <w:lang w:eastAsia="zh-CN"/>
        </w:rPr>
        <w:t>道路</w:t>
      </w:r>
      <w:r>
        <w:rPr>
          <w:rFonts w:hint="eastAsia"/>
          <w:color w:val="auto"/>
          <w:shd w:val="clear" w:color="auto" w:fill="auto"/>
        </w:rPr>
        <w:t>扬尘。</w:t>
      </w:r>
    </w:p>
    <w:p>
      <w:pPr>
        <w:rPr>
          <w:b/>
          <w:bCs/>
          <w:color w:val="auto"/>
          <w:shd w:val="clear" w:color="auto" w:fill="auto"/>
        </w:rPr>
      </w:pPr>
      <w:r>
        <w:rPr>
          <w:rFonts w:hint="eastAsia"/>
          <w:b/>
          <w:bCs/>
          <w:color w:val="auto"/>
          <w:shd w:val="clear" w:color="auto" w:fill="auto"/>
          <w:lang w:val="en-US" w:eastAsia="zh-CN"/>
        </w:rPr>
        <w:t>1、</w:t>
      </w:r>
      <w:r>
        <w:rPr>
          <w:rFonts w:hint="eastAsia"/>
          <w:b/>
          <w:bCs/>
          <w:color w:val="auto"/>
          <w:shd w:val="clear" w:color="auto" w:fill="auto"/>
        </w:rPr>
        <w:t>船舶废气</w:t>
      </w:r>
    </w:p>
    <w:p>
      <w:pPr>
        <w:ind w:firstLine="480"/>
        <w:rPr>
          <w:color w:val="auto"/>
          <w:shd w:val="clear" w:color="auto" w:fill="auto"/>
        </w:rPr>
      </w:pPr>
      <w:r>
        <w:rPr>
          <w:rFonts w:hint="eastAsia"/>
          <w:color w:val="auto"/>
          <w:shd w:val="clear" w:color="auto" w:fill="auto"/>
        </w:rPr>
        <w:t>靠港作业的船舶，主要处于停运状态，耗油量较少，待主机启动后不久即离港而去。船舶在港区停泊时，轮船只有辅机运转，用来提供电和基本动力，柴油机尾气主要污染指标为NOx、SO</w:t>
      </w:r>
      <w:r>
        <w:rPr>
          <w:rFonts w:hint="eastAsia"/>
          <w:color w:val="auto"/>
          <w:shd w:val="clear" w:color="auto" w:fill="auto"/>
          <w:vertAlign w:val="subscript"/>
        </w:rPr>
        <w:t>2</w:t>
      </w:r>
      <w:r>
        <w:rPr>
          <w:rFonts w:hint="eastAsia"/>
          <w:color w:val="auto"/>
          <w:shd w:val="clear" w:color="auto" w:fill="auto"/>
        </w:rPr>
        <w:t>。辅机工作耗油量采用英国劳氏船级社推荐的方法，即每1kw-小时耗油量平均为232.5g，设计船型</w:t>
      </w:r>
      <w:r>
        <w:rPr>
          <w:rFonts w:hint="eastAsia"/>
          <w:color w:val="auto"/>
          <w:shd w:val="clear" w:color="auto" w:fill="auto"/>
          <w:lang w:val="en-US" w:eastAsia="zh-CN"/>
        </w:rPr>
        <w:t>1000</w:t>
      </w:r>
      <w:r>
        <w:rPr>
          <w:rFonts w:hint="eastAsia"/>
          <w:color w:val="auto"/>
          <w:shd w:val="clear" w:color="auto" w:fill="auto"/>
        </w:rPr>
        <w:t>吨级货船靠泊后按一台20KW功率运行辅机考虑，估算到</w:t>
      </w:r>
      <w:r>
        <w:rPr>
          <w:rFonts w:hint="eastAsia"/>
          <w:color w:val="auto"/>
          <w:shd w:val="clear" w:color="auto" w:fill="auto"/>
          <w:lang w:val="en-US" w:eastAsia="zh-CN"/>
        </w:rPr>
        <w:t>3</w:t>
      </w:r>
      <w:r>
        <w:rPr>
          <w:rFonts w:hint="eastAsia"/>
          <w:color w:val="auto"/>
          <w:shd w:val="clear" w:color="auto" w:fill="auto"/>
        </w:rPr>
        <w:t>艘</w:t>
      </w:r>
      <w:r>
        <w:rPr>
          <w:rFonts w:hint="eastAsia"/>
          <w:color w:val="auto"/>
          <w:shd w:val="clear" w:color="auto" w:fill="auto"/>
          <w:lang w:val="en-US" w:eastAsia="zh-CN"/>
        </w:rPr>
        <w:t>10</w:t>
      </w:r>
      <w:r>
        <w:rPr>
          <w:rFonts w:hint="eastAsia"/>
          <w:color w:val="auto"/>
          <w:shd w:val="clear" w:color="auto" w:fill="auto"/>
        </w:rPr>
        <w:t>00吨级货船停泊时耗油量为</w:t>
      </w:r>
      <w:r>
        <w:rPr>
          <w:rFonts w:hint="eastAsia"/>
          <w:color w:val="auto"/>
          <w:shd w:val="clear" w:color="auto" w:fill="auto"/>
          <w:lang w:val="en-US" w:eastAsia="zh-CN"/>
        </w:rPr>
        <w:t>13.95</w:t>
      </w:r>
      <w:r>
        <w:rPr>
          <w:rFonts w:hint="eastAsia"/>
          <w:color w:val="auto"/>
          <w:shd w:val="clear" w:color="auto" w:fill="auto"/>
        </w:rPr>
        <w:t>kg/h，</w:t>
      </w:r>
      <w:r>
        <w:rPr>
          <w:color w:val="auto"/>
          <w:shd w:val="clear" w:color="auto" w:fill="auto"/>
        </w:rPr>
        <w:t>根据类比调查，船舶燃油排放的各污染因子含量见表</w:t>
      </w:r>
      <w:r>
        <w:rPr>
          <w:rFonts w:hint="eastAsia"/>
          <w:color w:val="auto"/>
          <w:shd w:val="clear" w:color="auto" w:fill="auto"/>
          <w:lang w:val="en-US" w:eastAsia="zh-CN"/>
        </w:rPr>
        <w:t>2.2</w:t>
      </w:r>
      <w:r>
        <w:rPr>
          <w:rFonts w:hint="eastAsia"/>
          <w:color w:val="auto"/>
          <w:shd w:val="clear" w:color="auto" w:fill="auto"/>
        </w:rPr>
        <w:t>-</w:t>
      </w:r>
      <w:r>
        <w:rPr>
          <w:rFonts w:hint="eastAsia"/>
          <w:color w:val="auto"/>
          <w:shd w:val="clear" w:color="auto" w:fill="auto"/>
          <w:lang w:val="en-US" w:eastAsia="zh-CN"/>
        </w:rPr>
        <w:t>8</w:t>
      </w:r>
      <w:r>
        <w:rPr>
          <w:color w:val="auto"/>
          <w:shd w:val="clear" w:color="auto" w:fill="auto"/>
        </w:rPr>
        <w:t>。港口船舶</w:t>
      </w:r>
      <w:r>
        <w:rPr>
          <w:rFonts w:hint="eastAsia"/>
          <w:color w:val="auto"/>
          <w:shd w:val="clear" w:color="auto" w:fill="auto"/>
        </w:rPr>
        <w:t>在港停泊时大气污染物年排放量</w:t>
      </w:r>
      <w:r>
        <w:rPr>
          <w:color w:val="auto"/>
          <w:shd w:val="clear" w:color="auto" w:fill="auto"/>
        </w:rPr>
        <w:t>见表</w:t>
      </w:r>
      <w:r>
        <w:rPr>
          <w:rFonts w:hint="eastAsia"/>
          <w:color w:val="auto"/>
          <w:shd w:val="clear" w:color="auto" w:fill="auto"/>
          <w:lang w:val="en-US" w:eastAsia="zh-CN"/>
        </w:rPr>
        <w:t>2.2</w:t>
      </w:r>
      <w:r>
        <w:rPr>
          <w:rFonts w:hint="eastAsia"/>
          <w:color w:val="auto"/>
          <w:shd w:val="clear" w:color="auto" w:fill="auto"/>
        </w:rPr>
        <w:t>-</w:t>
      </w:r>
      <w:r>
        <w:rPr>
          <w:rFonts w:hint="eastAsia"/>
          <w:color w:val="auto"/>
          <w:shd w:val="clear" w:color="auto" w:fill="auto"/>
          <w:lang w:val="en-US" w:eastAsia="zh-CN"/>
        </w:rPr>
        <w:t>9</w:t>
      </w:r>
      <w:r>
        <w:rPr>
          <w:color w:val="auto"/>
          <w:shd w:val="clear" w:color="auto" w:fill="auto"/>
        </w:rPr>
        <w:t>。</w:t>
      </w:r>
    </w:p>
    <w:p>
      <w:pPr>
        <w:spacing w:line="440" w:lineRule="exact"/>
        <w:ind w:firstLine="480"/>
        <w:jc w:val="center"/>
        <w:rPr>
          <w:rFonts w:hint="eastAsia" w:eastAsia="黑体"/>
          <w:color w:val="auto"/>
          <w:sz w:val="21"/>
          <w:szCs w:val="21"/>
          <w:shd w:val="clear" w:color="auto" w:fill="auto"/>
          <w:lang w:val="en-US" w:eastAsia="zh-CN"/>
        </w:rPr>
      </w:pPr>
      <w:r>
        <w:rPr>
          <w:rFonts w:hint="eastAsia" w:eastAsia="黑体"/>
          <w:color w:val="auto"/>
          <w:sz w:val="21"/>
          <w:szCs w:val="21"/>
          <w:shd w:val="clear" w:color="auto" w:fill="auto"/>
          <w:lang w:val="en-US" w:eastAsia="zh-CN"/>
        </w:rPr>
        <w:t>表2.2-8 船舶燃油排放的废气中污染因子含量</w:t>
      </w:r>
    </w:p>
    <w:tbl>
      <w:tblPr>
        <w:tblStyle w:val="2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0"/>
        <w:gridCol w:w="21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2130" w:type="dxa"/>
            <w:vAlign w:val="center"/>
          </w:tcPr>
          <w:p>
            <w:pPr>
              <w:pStyle w:val="44"/>
              <w:rPr>
                <w:color w:val="auto"/>
                <w:shd w:val="clear" w:color="auto" w:fill="auto"/>
              </w:rPr>
            </w:pPr>
            <w:r>
              <w:rPr>
                <w:rFonts w:hint="eastAsia"/>
                <w:color w:val="auto"/>
                <w:shd w:val="clear" w:color="auto" w:fill="auto"/>
              </w:rPr>
              <w:t>序号</w:t>
            </w:r>
          </w:p>
        </w:tc>
        <w:tc>
          <w:tcPr>
            <w:tcW w:w="2130" w:type="dxa"/>
            <w:vAlign w:val="center"/>
          </w:tcPr>
          <w:p>
            <w:pPr>
              <w:pStyle w:val="44"/>
              <w:rPr>
                <w:color w:val="auto"/>
                <w:shd w:val="clear" w:color="auto" w:fill="auto"/>
              </w:rPr>
            </w:pPr>
            <w:r>
              <w:rPr>
                <w:rFonts w:hint="eastAsia"/>
                <w:color w:val="auto"/>
                <w:shd w:val="clear" w:color="auto" w:fill="auto"/>
              </w:rPr>
              <w:t>名称</w:t>
            </w:r>
          </w:p>
        </w:tc>
        <w:tc>
          <w:tcPr>
            <w:tcW w:w="2130" w:type="dxa"/>
            <w:vAlign w:val="center"/>
          </w:tcPr>
          <w:p>
            <w:pPr>
              <w:pStyle w:val="44"/>
              <w:rPr>
                <w:color w:val="auto"/>
                <w:shd w:val="clear" w:color="auto" w:fill="auto"/>
              </w:rPr>
            </w:pPr>
            <w:r>
              <w:rPr>
                <w:rFonts w:hint="eastAsia"/>
                <w:color w:val="auto"/>
                <w:shd w:val="clear" w:color="auto" w:fill="auto"/>
              </w:rPr>
              <w:t>含量</w:t>
            </w:r>
          </w:p>
        </w:tc>
        <w:tc>
          <w:tcPr>
            <w:tcW w:w="2132" w:type="dxa"/>
            <w:vAlign w:val="center"/>
          </w:tcPr>
          <w:p>
            <w:pPr>
              <w:pStyle w:val="44"/>
              <w:rPr>
                <w:color w:val="auto"/>
                <w:shd w:val="clear" w:color="auto" w:fill="auto"/>
              </w:rPr>
            </w:pPr>
            <w:r>
              <w:rPr>
                <w:rFonts w:hint="eastAsia"/>
                <w:color w:val="auto"/>
                <w:shd w:val="clear" w:color="auto" w:fill="auto"/>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30" w:type="dxa"/>
            <w:vAlign w:val="center"/>
          </w:tcPr>
          <w:p>
            <w:pPr>
              <w:pStyle w:val="44"/>
              <w:rPr>
                <w:color w:val="auto"/>
                <w:shd w:val="clear" w:color="auto" w:fill="auto"/>
              </w:rPr>
            </w:pPr>
            <w:r>
              <w:rPr>
                <w:rFonts w:hint="eastAsia"/>
                <w:color w:val="auto"/>
                <w:shd w:val="clear" w:color="auto" w:fill="auto"/>
              </w:rPr>
              <w:t>1</w:t>
            </w:r>
          </w:p>
        </w:tc>
        <w:tc>
          <w:tcPr>
            <w:tcW w:w="2130" w:type="dxa"/>
            <w:vAlign w:val="center"/>
          </w:tcPr>
          <w:p>
            <w:pPr>
              <w:pStyle w:val="44"/>
              <w:rPr>
                <w:color w:val="auto"/>
                <w:shd w:val="clear" w:color="auto" w:fill="auto"/>
              </w:rPr>
            </w:pPr>
            <w:r>
              <w:rPr>
                <w:rFonts w:hint="eastAsia"/>
                <w:color w:val="auto"/>
                <w:shd w:val="clear" w:color="auto" w:fill="auto"/>
              </w:rPr>
              <w:t>SO</w:t>
            </w:r>
            <w:r>
              <w:rPr>
                <w:rFonts w:hint="eastAsia"/>
                <w:color w:val="auto"/>
                <w:shd w:val="clear" w:color="auto" w:fill="auto"/>
                <w:vertAlign w:val="subscript"/>
              </w:rPr>
              <w:t>2</w:t>
            </w:r>
          </w:p>
        </w:tc>
        <w:tc>
          <w:tcPr>
            <w:tcW w:w="2130" w:type="dxa"/>
            <w:vAlign w:val="center"/>
          </w:tcPr>
          <w:p>
            <w:pPr>
              <w:pStyle w:val="44"/>
              <w:rPr>
                <w:color w:val="auto"/>
                <w:shd w:val="clear" w:color="auto" w:fill="auto"/>
              </w:rPr>
            </w:pPr>
            <w:r>
              <w:rPr>
                <w:rFonts w:hint="eastAsia"/>
                <w:color w:val="auto"/>
                <w:shd w:val="clear" w:color="auto" w:fill="auto"/>
              </w:rPr>
              <w:t>7.8</w:t>
            </w:r>
          </w:p>
        </w:tc>
        <w:tc>
          <w:tcPr>
            <w:tcW w:w="2132" w:type="dxa"/>
            <w:vAlign w:val="center"/>
          </w:tcPr>
          <w:p>
            <w:pPr>
              <w:pStyle w:val="44"/>
              <w:rPr>
                <w:color w:val="auto"/>
                <w:shd w:val="clear" w:color="auto" w:fill="auto"/>
              </w:rPr>
            </w:pPr>
            <w:r>
              <w:rPr>
                <w:rFonts w:hint="eastAsia"/>
                <w:color w:val="auto"/>
                <w:shd w:val="clear" w:color="auto" w:fill="auto"/>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30" w:type="dxa"/>
            <w:vAlign w:val="center"/>
          </w:tcPr>
          <w:p>
            <w:pPr>
              <w:pStyle w:val="44"/>
              <w:rPr>
                <w:color w:val="auto"/>
                <w:shd w:val="clear" w:color="auto" w:fill="auto"/>
              </w:rPr>
            </w:pPr>
            <w:r>
              <w:rPr>
                <w:rFonts w:hint="eastAsia"/>
                <w:color w:val="auto"/>
                <w:shd w:val="clear" w:color="auto" w:fill="auto"/>
              </w:rPr>
              <w:t>2</w:t>
            </w:r>
          </w:p>
        </w:tc>
        <w:tc>
          <w:tcPr>
            <w:tcW w:w="2130" w:type="dxa"/>
            <w:vAlign w:val="center"/>
          </w:tcPr>
          <w:p>
            <w:pPr>
              <w:pStyle w:val="44"/>
              <w:rPr>
                <w:color w:val="auto"/>
                <w:shd w:val="clear" w:color="auto" w:fill="auto"/>
              </w:rPr>
            </w:pPr>
            <w:r>
              <w:rPr>
                <w:rFonts w:hint="eastAsia"/>
                <w:color w:val="auto"/>
                <w:shd w:val="clear" w:color="auto" w:fill="auto"/>
              </w:rPr>
              <w:t>CO</w:t>
            </w:r>
          </w:p>
        </w:tc>
        <w:tc>
          <w:tcPr>
            <w:tcW w:w="2130" w:type="dxa"/>
            <w:vAlign w:val="center"/>
          </w:tcPr>
          <w:p>
            <w:pPr>
              <w:pStyle w:val="44"/>
              <w:rPr>
                <w:color w:val="auto"/>
                <w:shd w:val="clear" w:color="auto" w:fill="auto"/>
              </w:rPr>
            </w:pPr>
            <w:r>
              <w:rPr>
                <w:rFonts w:hint="eastAsia"/>
                <w:color w:val="auto"/>
                <w:shd w:val="clear" w:color="auto" w:fill="auto"/>
              </w:rPr>
              <w:t>8.4</w:t>
            </w:r>
          </w:p>
        </w:tc>
        <w:tc>
          <w:tcPr>
            <w:tcW w:w="2132" w:type="dxa"/>
            <w:vAlign w:val="center"/>
          </w:tcPr>
          <w:p>
            <w:pPr>
              <w:pStyle w:val="44"/>
              <w:rPr>
                <w:color w:val="auto"/>
                <w:shd w:val="clear" w:color="auto" w:fill="auto"/>
              </w:rPr>
            </w:pPr>
            <w:r>
              <w:rPr>
                <w:rFonts w:hint="eastAsia"/>
                <w:color w:val="auto"/>
                <w:shd w:val="clear" w:color="auto" w:fill="auto"/>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30" w:type="dxa"/>
            <w:vAlign w:val="center"/>
          </w:tcPr>
          <w:p>
            <w:pPr>
              <w:pStyle w:val="44"/>
              <w:rPr>
                <w:color w:val="auto"/>
                <w:shd w:val="clear" w:color="auto" w:fill="auto"/>
              </w:rPr>
            </w:pPr>
            <w:r>
              <w:rPr>
                <w:rFonts w:hint="eastAsia"/>
                <w:color w:val="auto"/>
                <w:shd w:val="clear" w:color="auto" w:fill="auto"/>
              </w:rPr>
              <w:t>3</w:t>
            </w:r>
          </w:p>
        </w:tc>
        <w:tc>
          <w:tcPr>
            <w:tcW w:w="2130" w:type="dxa"/>
            <w:vAlign w:val="center"/>
          </w:tcPr>
          <w:p>
            <w:pPr>
              <w:pStyle w:val="44"/>
              <w:rPr>
                <w:color w:val="auto"/>
                <w:shd w:val="clear" w:color="auto" w:fill="auto"/>
              </w:rPr>
            </w:pPr>
            <w:r>
              <w:rPr>
                <w:rFonts w:hint="eastAsia"/>
                <w:color w:val="auto"/>
                <w:shd w:val="clear" w:color="auto" w:fill="auto"/>
              </w:rPr>
              <w:t>NO</w:t>
            </w:r>
            <w:r>
              <w:rPr>
                <w:rFonts w:hint="eastAsia"/>
                <w:color w:val="auto"/>
                <w:shd w:val="clear" w:color="auto" w:fill="auto"/>
                <w:vertAlign w:val="subscript"/>
              </w:rPr>
              <w:t>X</w:t>
            </w:r>
          </w:p>
        </w:tc>
        <w:tc>
          <w:tcPr>
            <w:tcW w:w="2130" w:type="dxa"/>
            <w:vAlign w:val="center"/>
          </w:tcPr>
          <w:p>
            <w:pPr>
              <w:pStyle w:val="44"/>
              <w:rPr>
                <w:color w:val="auto"/>
                <w:shd w:val="clear" w:color="auto" w:fill="auto"/>
              </w:rPr>
            </w:pPr>
            <w:r>
              <w:rPr>
                <w:rFonts w:hint="eastAsia"/>
                <w:color w:val="auto"/>
                <w:shd w:val="clear" w:color="auto" w:fill="auto"/>
              </w:rPr>
              <w:t>9.0</w:t>
            </w:r>
          </w:p>
        </w:tc>
        <w:tc>
          <w:tcPr>
            <w:tcW w:w="2132" w:type="dxa"/>
            <w:vAlign w:val="center"/>
          </w:tcPr>
          <w:p>
            <w:pPr>
              <w:pStyle w:val="44"/>
              <w:rPr>
                <w:color w:val="auto"/>
                <w:shd w:val="clear" w:color="auto" w:fill="auto"/>
              </w:rPr>
            </w:pPr>
            <w:r>
              <w:rPr>
                <w:rFonts w:hint="eastAsia"/>
                <w:color w:val="auto"/>
                <w:shd w:val="clear" w:color="auto" w:fill="auto"/>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30" w:type="dxa"/>
            <w:vAlign w:val="center"/>
          </w:tcPr>
          <w:p>
            <w:pPr>
              <w:pStyle w:val="44"/>
              <w:rPr>
                <w:color w:val="auto"/>
                <w:shd w:val="clear" w:color="auto" w:fill="auto"/>
              </w:rPr>
            </w:pPr>
            <w:r>
              <w:rPr>
                <w:rFonts w:hint="eastAsia"/>
                <w:color w:val="auto"/>
                <w:shd w:val="clear" w:color="auto" w:fill="auto"/>
              </w:rPr>
              <w:t>4</w:t>
            </w:r>
          </w:p>
        </w:tc>
        <w:tc>
          <w:tcPr>
            <w:tcW w:w="2130" w:type="dxa"/>
            <w:vAlign w:val="center"/>
          </w:tcPr>
          <w:p>
            <w:pPr>
              <w:pStyle w:val="44"/>
              <w:rPr>
                <w:color w:val="auto"/>
                <w:shd w:val="clear" w:color="auto" w:fill="auto"/>
              </w:rPr>
            </w:pPr>
            <w:r>
              <w:rPr>
                <w:rFonts w:hint="eastAsia"/>
                <w:color w:val="auto"/>
                <w:shd w:val="clear" w:color="auto" w:fill="auto"/>
              </w:rPr>
              <w:t>总烃</w:t>
            </w:r>
          </w:p>
        </w:tc>
        <w:tc>
          <w:tcPr>
            <w:tcW w:w="2130" w:type="dxa"/>
            <w:vAlign w:val="center"/>
          </w:tcPr>
          <w:p>
            <w:pPr>
              <w:pStyle w:val="44"/>
              <w:rPr>
                <w:color w:val="auto"/>
                <w:shd w:val="clear" w:color="auto" w:fill="auto"/>
              </w:rPr>
            </w:pPr>
            <w:r>
              <w:rPr>
                <w:rFonts w:hint="eastAsia"/>
                <w:color w:val="auto"/>
                <w:shd w:val="clear" w:color="auto" w:fill="auto"/>
              </w:rPr>
              <w:t>6.0</w:t>
            </w:r>
          </w:p>
        </w:tc>
        <w:tc>
          <w:tcPr>
            <w:tcW w:w="2132" w:type="dxa"/>
            <w:vAlign w:val="center"/>
          </w:tcPr>
          <w:p>
            <w:pPr>
              <w:pStyle w:val="44"/>
              <w:rPr>
                <w:color w:val="auto"/>
                <w:shd w:val="clear" w:color="auto" w:fill="auto"/>
              </w:rPr>
            </w:pPr>
            <w:r>
              <w:rPr>
                <w:rFonts w:hint="eastAsia"/>
                <w:color w:val="auto"/>
                <w:shd w:val="clear" w:color="auto" w:fill="auto"/>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30" w:type="dxa"/>
            <w:vAlign w:val="center"/>
          </w:tcPr>
          <w:p>
            <w:pPr>
              <w:pStyle w:val="44"/>
              <w:rPr>
                <w:color w:val="auto"/>
                <w:shd w:val="clear" w:color="auto" w:fill="auto"/>
              </w:rPr>
            </w:pPr>
            <w:r>
              <w:rPr>
                <w:rFonts w:hint="eastAsia"/>
                <w:color w:val="auto"/>
                <w:shd w:val="clear" w:color="auto" w:fill="auto"/>
              </w:rPr>
              <w:t>5</w:t>
            </w:r>
          </w:p>
        </w:tc>
        <w:tc>
          <w:tcPr>
            <w:tcW w:w="2130" w:type="dxa"/>
            <w:vAlign w:val="center"/>
          </w:tcPr>
          <w:p>
            <w:pPr>
              <w:pStyle w:val="44"/>
              <w:rPr>
                <w:color w:val="auto"/>
                <w:shd w:val="clear" w:color="auto" w:fill="auto"/>
              </w:rPr>
            </w:pPr>
            <w:r>
              <w:rPr>
                <w:rFonts w:hint="eastAsia"/>
                <w:color w:val="auto"/>
                <w:shd w:val="clear" w:color="auto" w:fill="auto"/>
              </w:rPr>
              <w:t>燃料比重</w:t>
            </w:r>
          </w:p>
        </w:tc>
        <w:tc>
          <w:tcPr>
            <w:tcW w:w="2130" w:type="dxa"/>
            <w:vAlign w:val="center"/>
          </w:tcPr>
          <w:p>
            <w:pPr>
              <w:pStyle w:val="44"/>
              <w:rPr>
                <w:color w:val="auto"/>
                <w:shd w:val="clear" w:color="auto" w:fill="auto"/>
              </w:rPr>
            </w:pPr>
            <w:r>
              <w:rPr>
                <w:rFonts w:hint="eastAsia"/>
                <w:color w:val="auto"/>
                <w:shd w:val="clear" w:color="auto" w:fill="auto"/>
              </w:rPr>
              <w:t>0.82</w:t>
            </w:r>
          </w:p>
        </w:tc>
        <w:tc>
          <w:tcPr>
            <w:tcW w:w="2132" w:type="dxa"/>
            <w:vAlign w:val="center"/>
          </w:tcPr>
          <w:p>
            <w:pPr>
              <w:pStyle w:val="44"/>
              <w:rPr>
                <w:color w:val="auto"/>
                <w:shd w:val="clear" w:color="auto" w:fill="auto"/>
              </w:rPr>
            </w:pPr>
            <w:r>
              <w:rPr>
                <w:rFonts w:hint="eastAsia"/>
                <w:color w:val="auto"/>
                <w:shd w:val="clear" w:color="auto" w:fill="auto"/>
              </w:rPr>
              <w:t>kg/L</w:t>
            </w:r>
          </w:p>
        </w:tc>
      </w:tr>
    </w:tbl>
    <w:p>
      <w:pPr>
        <w:ind w:firstLine="480"/>
        <w:rPr>
          <w:color w:val="auto"/>
          <w:shd w:val="clear" w:color="auto" w:fill="auto"/>
        </w:rPr>
      </w:pPr>
      <w:r>
        <w:rPr>
          <w:rFonts w:hint="eastAsia"/>
          <w:color w:val="auto"/>
          <w:shd w:val="clear" w:color="auto" w:fill="auto"/>
        </w:rPr>
        <w:t>根据工可报告，昼夜泊位非生产时间之和为</w:t>
      </w:r>
      <w:r>
        <w:rPr>
          <w:rFonts w:hint="eastAsia"/>
          <w:color w:val="auto"/>
          <w:shd w:val="clear" w:color="auto" w:fill="auto"/>
          <w:lang w:val="en-US" w:eastAsia="zh-CN"/>
        </w:rPr>
        <w:t>5.5</w:t>
      </w:r>
      <w:r>
        <w:rPr>
          <w:rFonts w:hint="eastAsia"/>
          <w:color w:val="auto"/>
          <w:shd w:val="clear" w:color="auto" w:fill="auto"/>
        </w:rPr>
        <w:t>h/d，即生产时间为18</w:t>
      </w:r>
      <w:r>
        <w:rPr>
          <w:rFonts w:hint="eastAsia"/>
          <w:color w:val="auto"/>
          <w:shd w:val="clear" w:color="auto" w:fill="auto"/>
          <w:lang w:val="en-US" w:eastAsia="zh-CN"/>
        </w:rPr>
        <w:t>.5</w:t>
      </w:r>
      <w:r>
        <w:rPr>
          <w:rFonts w:hint="eastAsia"/>
          <w:color w:val="auto"/>
          <w:shd w:val="clear" w:color="auto" w:fill="auto"/>
        </w:rPr>
        <w:t>h/d，经计算可知：船舶废气排放量SO</w:t>
      </w:r>
      <w:r>
        <w:rPr>
          <w:rFonts w:hint="eastAsia"/>
          <w:color w:val="auto"/>
          <w:shd w:val="clear" w:color="auto" w:fill="auto"/>
          <w:vertAlign w:val="subscript"/>
        </w:rPr>
        <w:t>2</w:t>
      </w:r>
      <w:r>
        <w:rPr>
          <w:rFonts w:hint="eastAsia"/>
          <w:color w:val="auto"/>
          <w:shd w:val="clear" w:color="auto" w:fill="auto"/>
        </w:rPr>
        <w:t>为</w:t>
      </w:r>
      <w:r>
        <w:rPr>
          <w:rFonts w:hint="eastAsia"/>
          <w:color w:val="auto"/>
          <w:shd w:val="clear" w:color="auto" w:fill="auto"/>
          <w:lang w:val="en-US" w:eastAsia="zh-CN"/>
        </w:rPr>
        <w:t>2.45</w:t>
      </w:r>
      <w:r>
        <w:rPr>
          <w:rFonts w:hint="eastAsia"/>
          <w:color w:val="auto"/>
          <w:shd w:val="clear" w:color="auto" w:fill="auto"/>
        </w:rPr>
        <w:t>kg/d，</w:t>
      </w:r>
      <w:r>
        <w:rPr>
          <w:color w:val="auto"/>
          <w:shd w:val="clear" w:color="auto" w:fill="auto"/>
        </w:rPr>
        <w:t>CO</w:t>
      </w:r>
      <w:r>
        <w:rPr>
          <w:rFonts w:hint="eastAsia"/>
          <w:color w:val="auto"/>
          <w:shd w:val="clear" w:color="auto" w:fill="auto"/>
        </w:rPr>
        <w:t>为</w:t>
      </w:r>
      <w:r>
        <w:rPr>
          <w:rFonts w:hint="eastAsia"/>
          <w:color w:val="auto"/>
          <w:shd w:val="clear" w:color="auto" w:fill="auto"/>
          <w:lang w:val="en-US" w:eastAsia="zh-CN"/>
        </w:rPr>
        <w:t>2.64</w:t>
      </w:r>
      <w:r>
        <w:rPr>
          <w:rFonts w:hint="eastAsia"/>
          <w:color w:val="auto"/>
          <w:shd w:val="clear" w:color="auto" w:fill="auto"/>
        </w:rPr>
        <w:t>kg/d，</w:t>
      </w:r>
      <w:r>
        <w:rPr>
          <w:color w:val="auto"/>
          <w:shd w:val="clear" w:color="auto" w:fill="auto"/>
        </w:rPr>
        <w:t>NO</w:t>
      </w:r>
      <w:r>
        <w:rPr>
          <w:color w:val="auto"/>
          <w:shd w:val="clear" w:color="auto" w:fill="auto"/>
          <w:vertAlign w:val="subscript"/>
        </w:rPr>
        <w:t>X</w:t>
      </w:r>
      <w:r>
        <w:rPr>
          <w:rFonts w:hint="eastAsia"/>
          <w:color w:val="auto"/>
          <w:shd w:val="clear" w:color="auto" w:fill="auto"/>
        </w:rPr>
        <w:t>为</w:t>
      </w:r>
      <w:r>
        <w:rPr>
          <w:rFonts w:hint="eastAsia"/>
          <w:color w:val="auto"/>
          <w:shd w:val="clear" w:color="auto" w:fill="auto"/>
          <w:lang w:val="en-US" w:eastAsia="zh-CN"/>
        </w:rPr>
        <w:t>2.83</w:t>
      </w:r>
      <w:r>
        <w:rPr>
          <w:rFonts w:hint="eastAsia"/>
          <w:color w:val="auto"/>
          <w:shd w:val="clear" w:color="auto" w:fill="auto"/>
        </w:rPr>
        <w:t>kg/d，CnH</w:t>
      </w:r>
      <w:r>
        <w:rPr>
          <w:rFonts w:hint="eastAsia"/>
          <w:color w:val="auto"/>
          <w:shd w:val="clear" w:color="auto" w:fill="auto"/>
          <w:lang w:eastAsia="zh-CN"/>
        </w:rPr>
        <w:t>m</w:t>
      </w:r>
      <w:r>
        <w:rPr>
          <w:rFonts w:hint="eastAsia"/>
          <w:color w:val="auto"/>
          <w:shd w:val="clear" w:color="auto" w:fill="auto"/>
        </w:rPr>
        <w:t>为</w:t>
      </w:r>
      <w:r>
        <w:rPr>
          <w:rFonts w:hint="eastAsia"/>
          <w:color w:val="auto"/>
          <w:shd w:val="clear" w:color="auto" w:fill="auto"/>
          <w:lang w:val="en-US" w:eastAsia="zh-CN"/>
        </w:rPr>
        <w:t>1.89</w:t>
      </w:r>
      <w:r>
        <w:rPr>
          <w:rFonts w:hint="eastAsia"/>
          <w:color w:val="auto"/>
          <w:shd w:val="clear" w:color="auto" w:fill="auto"/>
        </w:rPr>
        <w:t>kg/d；本项目年工作天数为</w:t>
      </w:r>
      <w:r>
        <w:rPr>
          <w:rFonts w:hint="eastAsia"/>
          <w:color w:val="auto"/>
          <w:shd w:val="clear" w:color="auto" w:fill="auto"/>
          <w:lang w:val="en-US" w:eastAsia="zh-CN"/>
        </w:rPr>
        <w:t>320</w:t>
      </w:r>
      <w:r>
        <w:rPr>
          <w:rFonts w:hint="eastAsia"/>
          <w:color w:val="auto"/>
          <w:shd w:val="clear" w:color="auto" w:fill="auto"/>
        </w:rPr>
        <w:t>天，泊位利用率为</w:t>
      </w:r>
      <w:r>
        <w:rPr>
          <w:rFonts w:hint="eastAsia"/>
          <w:color w:val="auto"/>
          <w:shd w:val="clear" w:color="auto" w:fill="auto"/>
          <w:lang w:val="en-US" w:eastAsia="zh-CN"/>
        </w:rPr>
        <w:t>7</w:t>
      </w:r>
      <w:r>
        <w:rPr>
          <w:rFonts w:hint="eastAsia"/>
          <w:color w:val="auto"/>
          <w:shd w:val="clear" w:color="auto" w:fill="auto"/>
        </w:rPr>
        <w:t>0%，则全年排放量排放量SO</w:t>
      </w:r>
      <w:r>
        <w:rPr>
          <w:rFonts w:hint="eastAsia"/>
          <w:color w:val="auto"/>
          <w:shd w:val="clear" w:color="auto" w:fill="auto"/>
          <w:vertAlign w:val="subscript"/>
        </w:rPr>
        <w:t>2</w:t>
      </w:r>
      <w:r>
        <w:rPr>
          <w:rFonts w:hint="eastAsia"/>
          <w:color w:val="auto"/>
          <w:shd w:val="clear" w:color="auto" w:fill="auto"/>
        </w:rPr>
        <w:t>为0.</w:t>
      </w:r>
      <w:r>
        <w:rPr>
          <w:rFonts w:hint="eastAsia"/>
          <w:color w:val="auto"/>
          <w:shd w:val="clear" w:color="auto" w:fill="auto"/>
          <w:lang w:val="en-US" w:eastAsia="zh-CN"/>
        </w:rPr>
        <w:t>549</w:t>
      </w:r>
      <w:r>
        <w:rPr>
          <w:rFonts w:hint="eastAsia"/>
          <w:color w:val="auto"/>
          <w:shd w:val="clear" w:color="auto" w:fill="auto"/>
        </w:rPr>
        <w:t>t/a，</w:t>
      </w:r>
      <w:r>
        <w:rPr>
          <w:color w:val="auto"/>
          <w:shd w:val="clear" w:color="auto" w:fill="auto"/>
        </w:rPr>
        <w:t>CO</w:t>
      </w:r>
      <w:r>
        <w:rPr>
          <w:rFonts w:hint="eastAsia"/>
          <w:color w:val="auto"/>
          <w:shd w:val="clear" w:color="auto" w:fill="auto"/>
        </w:rPr>
        <w:t>为0.</w:t>
      </w:r>
      <w:r>
        <w:rPr>
          <w:rFonts w:hint="eastAsia"/>
          <w:color w:val="auto"/>
          <w:shd w:val="clear" w:color="auto" w:fill="auto"/>
          <w:lang w:val="en-US" w:eastAsia="zh-CN"/>
        </w:rPr>
        <w:t>591</w:t>
      </w:r>
      <w:r>
        <w:rPr>
          <w:rFonts w:hint="eastAsia"/>
          <w:color w:val="auto"/>
          <w:shd w:val="clear" w:color="auto" w:fill="auto"/>
        </w:rPr>
        <w:t>t/a，</w:t>
      </w:r>
      <w:r>
        <w:rPr>
          <w:color w:val="auto"/>
          <w:shd w:val="clear" w:color="auto" w:fill="auto"/>
        </w:rPr>
        <w:t>NO</w:t>
      </w:r>
      <w:r>
        <w:rPr>
          <w:color w:val="auto"/>
          <w:shd w:val="clear" w:color="auto" w:fill="auto"/>
          <w:vertAlign w:val="subscript"/>
        </w:rPr>
        <w:t>X</w:t>
      </w:r>
      <w:r>
        <w:rPr>
          <w:rFonts w:hint="eastAsia"/>
          <w:color w:val="auto"/>
          <w:shd w:val="clear" w:color="auto" w:fill="auto"/>
        </w:rPr>
        <w:t>为0.</w:t>
      </w:r>
      <w:r>
        <w:rPr>
          <w:rFonts w:hint="eastAsia"/>
          <w:color w:val="auto"/>
          <w:shd w:val="clear" w:color="auto" w:fill="auto"/>
          <w:lang w:val="en-US" w:eastAsia="zh-CN"/>
        </w:rPr>
        <w:t>634</w:t>
      </w:r>
      <w:r>
        <w:rPr>
          <w:rFonts w:hint="eastAsia"/>
          <w:color w:val="auto"/>
          <w:shd w:val="clear" w:color="auto" w:fill="auto"/>
        </w:rPr>
        <w:t>t/a，CnH</w:t>
      </w:r>
      <w:r>
        <w:rPr>
          <w:rFonts w:hint="eastAsia"/>
          <w:color w:val="auto"/>
          <w:shd w:val="clear" w:color="auto" w:fill="auto"/>
          <w:lang w:eastAsia="zh-CN"/>
        </w:rPr>
        <w:t>m</w:t>
      </w:r>
      <w:r>
        <w:rPr>
          <w:rFonts w:hint="eastAsia"/>
          <w:color w:val="auto"/>
          <w:shd w:val="clear" w:color="auto" w:fill="auto"/>
        </w:rPr>
        <w:t>为0.</w:t>
      </w:r>
      <w:r>
        <w:rPr>
          <w:rFonts w:hint="eastAsia"/>
          <w:color w:val="auto"/>
          <w:shd w:val="clear" w:color="auto" w:fill="auto"/>
          <w:lang w:val="en-US" w:eastAsia="zh-CN"/>
        </w:rPr>
        <w:t>423</w:t>
      </w:r>
      <w:r>
        <w:rPr>
          <w:rFonts w:hint="eastAsia"/>
          <w:color w:val="auto"/>
          <w:shd w:val="clear" w:color="auto" w:fill="auto"/>
        </w:rPr>
        <w:t>t/a。</w:t>
      </w:r>
    </w:p>
    <w:p>
      <w:pPr>
        <w:spacing w:line="440" w:lineRule="exact"/>
        <w:ind w:firstLine="480"/>
        <w:jc w:val="center"/>
        <w:rPr>
          <w:rFonts w:hint="eastAsia" w:eastAsia="黑体"/>
          <w:color w:val="auto"/>
          <w:sz w:val="21"/>
          <w:szCs w:val="21"/>
          <w:shd w:val="clear" w:color="auto" w:fill="auto"/>
          <w:lang w:val="en-US" w:eastAsia="zh-CN"/>
        </w:rPr>
      </w:pPr>
      <w:r>
        <w:rPr>
          <w:rFonts w:hint="eastAsia" w:eastAsia="黑体"/>
          <w:color w:val="auto"/>
          <w:sz w:val="21"/>
          <w:szCs w:val="21"/>
          <w:shd w:val="clear" w:color="auto" w:fill="auto"/>
          <w:lang w:val="en-US" w:eastAsia="zh-CN"/>
        </w:rPr>
        <w:t>表2.2-9  船舶在港停泊时大气污染物年排放量</w:t>
      </w:r>
    </w:p>
    <w:tbl>
      <w:tblPr>
        <w:tblStyle w:val="26"/>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46"/>
        <w:gridCol w:w="2115"/>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2130" w:type="dxa"/>
            <w:tcBorders>
              <w:tl2br w:val="nil"/>
              <w:tr2bl w:val="nil"/>
            </w:tcBorders>
            <w:vAlign w:val="center"/>
          </w:tcPr>
          <w:p>
            <w:pPr>
              <w:pStyle w:val="44"/>
              <w:rPr>
                <w:color w:val="auto"/>
                <w:shd w:val="clear" w:color="auto" w:fill="auto"/>
              </w:rPr>
            </w:pPr>
            <w:r>
              <w:rPr>
                <w:color w:val="auto"/>
                <w:shd w:val="clear" w:color="auto" w:fill="auto"/>
              </w:rPr>
              <w:t>序号</w:t>
            </w:r>
          </w:p>
        </w:tc>
        <w:tc>
          <w:tcPr>
            <w:tcW w:w="2146" w:type="dxa"/>
            <w:tcBorders>
              <w:tl2br w:val="nil"/>
              <w:tr2bl w:val="nil"/>
            </w:tcBorders>
            <w:vAlign w:val="center"/>
          </w:tcPr>
          <w:p>
            <w:pPr>
              <w:pStyle w:val="44"/>
              <w:rPr>
                <w:color w:val="auto"/>
                <w:shd w:val="clear" w:color="auto" w:fill="auto"/>
              </w:rPr>
            </w:pPr>
            <w:r>
              <w:rPr>
                <w:color w:val="auto"/>
                <w:shd w:val="clear" w:color="auto" w:fill="auto"/>
              </w:rPr>
              <w:t>名称</w:t>
            </w:r>
          </w:p>
        </w:tc>
        <w:tc>
          <w:tcPr>
            <w:tcW w:w="2115" w:type="dxa"/>
            <w:tcBorders>
              <w:tl2br w:val="nil"/>
              <w:tr2bl w:val="nil"/>
            </w:tcBorders>
            <w:vAlign w:val="center"/>
          </w:tcPr>
          <w:p>
            <w:pPr>
              <w:pStyle w:val="44"/>
              <w:rPr>
                <w:color w:val="auto"/>
                <w:shd w:val="clear" w:color="auto" w:fill="auto"/>
              </w:rPr>
            </w:pPr>
            <w:r>
              <w:rPr>
                <w:rFonts w:hint="eastAsia"/>
                <w:color w:val="auto"/>
                <w:shd w:val="clear" w:color="auto" w:fill="auto"/>
              </w:rPr>
              <w:t>日排放量（kg/d）</w:t>
            </w:r>
          </w:p>
        </w:tc>
        <w:tc>
          <w:tcPr>
            <w:tcW w:w="2131" w:type="dxa"/>
            <w:tcBorders>
              <w:tl2br w:val="nil"/>
              <w:tr2bl w:val="nil"/>
            </w:tcBorders>
            <w:vAlign w:val="center"/>
          </w:tcPr>
          <w:p>
            <w:pPr>
              <w:pStyle w:val="44"/>
              <w:rPr>
                <w:color w:val="auto"/>
                <w:shd w:val="clear" w:color="auto" w:fill="auto"/>
              </w:rPr>
            </w:pPr>
            <w:r>
              <w:rPr>
                <w:color w:val="auto"/>
                <w:shd w:val="clear" w:color="auto" w:fill="auto"/>
              </w:rPr>
              <w:t>年排放量</w:t>
            </w:r>
            <w:r>
              <w:rPr>
                <w:rFonts w:hint="eastAsia"/>
                <w:color w:val="auto"/>
                <w:shd w:val="clear" w:color="auto" w:fill="auto"/>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2130" w:type="dxa"/>
            <w:tcBorders>
              <w:tl2br w:val="nil"/>
              <w:tr2bl w:val="nil"/>
            </w:tcBorders>
            <w:vAlign w:val="center"/>
          </w:tcPr>
          <w:p>
            <w:pPr>
              <w:pStyle w:val="44"/>
              <w:rPr>
                <w:color w:val="auto"/>
                <w:shd w:val="clear" w:color="auto" w:fill="auto"/>
              </w:rPr>
            </w:pPr>
            <w:r>
              <w:rPr>
                <w:color w:val="auto"/>
                <w:shd w:val="clear" w:color="auto" w:fill="auto"/>
              </w:rPr>
              <w:t>1</w:t>
            </w:r>
          </w:p>
        </w:tc>
        <w:tc>
          <w:tcPr>
            <w:tcW w:w="2146" w:type="dxa"/>
            <w:tcBorders>
              <w:tl2br w:val="nil"/>
              <w:tr2bl w:val="nil"/>
            </w:tcBorders>
            <w:vAlign w:val="center"/>
          </w:tcPr>
          <w:p>
            <w:pPr>
              <w:pStyle w:val="44"/>
              <w:rPr>
                <w:color w:val="auto"/>
                <w:shd w:val="clear" w:color="auto" w:fill="auto"/>
              </w:rPr>
            </w:pPr>
            <w:r>
              <w:rPr>
                <w:color w:val="auto"/>
                <w:shd w:val="clear" w:color="auto" w:fill="auto"/>
              </w:rPr>
              <w:t>SO</w:t>
            </w:r>
            <w:r>
              <w:rPr>
                <w:color w:val="auto"/>
                <w:shd w:val="clear" w:color="auto" w:fill="auto"/>
                <w:vertAlign w:val="subscript"/>
              </w:rPr>
              <w:t>2</w:t>
            </w:r>
          </w:p>
        </w:tc>
        <w:tc>
          <w:tcPr>
            <w:tcW w:w="2115" w:type="dxa"/>
            <w:tcBorders>
              <w:tl2br w:val="nil"/>
              <w:tr2bl w:val="nil"/>
            </w:tcBorders>
            <w:vAlign w:val="center"/>
          </w:tcPr>
          <w:p>
            <w:pPr>
              <w:pStyle w:val="44"/>
              <w:rPr>
                <w:rFonts w:hint="eastAsia" w:eastAsia="宋体"/>
                <w:color w:val="auto"/>
                <w:shd w:val="clear" w:color="auto" w:fill="auto"/>
                <w:lang w:val="en-US" w:eastAsia="zh-CN"/>
              </w:rPr>
            </w:pPr>
            <w:r>
              <w:rPr>
                <w:rFonts w:hint="eastAsia"/>
                <w:color w:val="auto"/>
                <w:shd w:val="clear" w:color="auto" w:fill="auto"/>
                <w:lang w:val="en-US" w:eastAsia="zh-CN"/>
              </w:rPr>
              <w:t>2.45</w:t>
            </w:r>
          </w:p>
        </w:tc>
        <w:tc>
          <w:tcPr>
            <w:tcW w:w="2131" w:type="dxa"/>
            <w:tcBorders>
              <w:tl2br w:val="nil"/>
              <w:tr2bl w:val="nil"/>
            </w:tcBorders>
            <w:vAlign w:val="center"/>
          </w:tcPr>
          <w:p>
            <w:pPr>
              <w:pStyle w:val="44"/>
              <w:rPr>
                <w:rFonts w:hint="default" w:eastAsia="宋体"/>
                <w:color w:val="auto"/>
                <w:shd w:val="clear" w:color="auto" w:fill="auto"/>
                <w:lang w:val="en-US" w:eastAsia="zh-CN"/>
              </w:rPr>
            </w:pPr>
            <w:r>
              <w:rPr>
                <w:rFonts w:hint="eastAsia"/>
                <w:color w:val="auto"/>
                <w:shd w:val="clear" w:color="auto" w:fill="auto"/>
              </w:rPr>
              <w:t>0.</w:t>
            </w:r>
            <w:r>
              <w:rPr>
                <w:rFonts w:hint="eastAsia"/>
                <w:color w:val="auto"/>
                <w:shd w:val="clear" w:color="auto" w:fill="auto"/>
                <w:lang w:val="en-US" w:eastAsia="zh-CN"/>
              </w:rPr>
              <w:t>549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2130" w:type="dxa"/>
            <w:tcBorders>
              <w:tl2br w:val="nil"/>
              <w:tr2bl w:val="nil"/>
            </w:tcBorders>
            <w:vAlign w:val="center"/>
          </w:tcPr>
          <w:p>
            <w:pPr>
              <w:pStyle w:val="44"/>
              <w:rPr>
                <w:color w:val="auto"/>
                <w:shd w:val="clear" w:color="auto" w:fill="auto"/>
              </w:rPr>
            </w:pPr>
            <w:r>
              <w:rPr>
                <w:color w:val="auto"/>
                <w:shd w:val="clear" w:color="auto" w:fill="auto"/>
              </w:rPr>
              <w:t>2</w:t>
            </w:r>
          </w:p>
        </w:tc>
        <w:tc>
          <w:tcPr>
            <w:tcW w:w="2146" w:type="dxa"/>
            <w:tcBorders>
              <w:tl2br w:val="nil"/>
              <w:tr2bl w:val="nil"/>
            </w:tcBorders>
            <w:vAlign w:val="center"/>
          </w:tcPr>
          <w:p>
            <w:pPr>
              <w:pStyle w:val="44"/>
              <w:rPr>
                <w:color w:val="auto"/>
                <w:shd w:val="clear" w:color="auto" w:fill="auto"/>
              </w:rPr>
            </w:pPr>
            <w:r>
              <w:rPr>
                <w:color w:val="auto"/>
                <w:shd w:val="clear" w:color="auto" w:fill="auto"/>
              </w:rPr>
              <w:t>CO</w:t>
            </w:r>
          </w:p>
        </w:tc>
        <w:tc>
          <w:tcPr>
            <w:tcW w:w="2115" w:type="dxa"/>
            <w:tcBorders>
              <w:tl2br w:val="nil"/>
              <w:tr2bl w:val="nil"/>
            </w:tcBorders>
            <w:vAlign w:val="center"/>
          </w:tcPr>
          <w:p>
            <w:pPr>
              <w:pStyle w:val="44"/>
              <w:rPr>
                <w:rFonts w:hint="default" w:eastAsia="宋体"/>
                <w:color w:val="auto"/>
                <w:shd w:val="clear" w:color="auto" w:fill="auto"/>
                <w:lang w:val="en-US" w:eastAsia="zh-CN"/>
              </w:rPr>
            </w:pPr>
            <w:r>
              <w:rPr>
                <w:rFonts w:hint="eastAsia"/>
                <w:color w:val="auto"/>
                <w:shd w:val="clear" w:color="auto" w:fill="auto"/>
                <w:lang w:val="en-US" w:eastAsia="zh-CN"/>
              </w:rPr>
              <w:t>2.64</w:t>
            </w:r>
          </w:p>
        </w:tc>
        <w:tc>
          <w:tcPr>
            <w:tcW w:w="2131" w:type="dxa"/>
            <w:tcBorders>
              <w:tl2br w:val="nil"/>
              <w:tr2bl w:val="nil"/>
            </w:tcBorders>
            <w:vAlign w:val="center"/>
          </w:tcPr>
          <w:p>
            <w:pPr>
              <w:pStyle w:val="44"/>
              <w:rPr>
                <w:rFonts w:hint="default" w:eastAsia="宋体"/>
                <w:color w:val="auto"/>
                <w:shd w:val="clear" w:color="auto" w:fill="auto"/>
                <w:lang w:val="en-US" w:eastAsia="zh-CN"/>
              </w:rPr>
            </w:pPr>
            <w:r>
              <w:rPr>
                <w:rFonts w:hint="eastAsia"/>
                <w:color w:val="auto"/>
                <w:shd w:val="clear" w:color="auto" w:fill="auto"/>
              </w:rPr>
              <w:t>0.</w:t>
            </w:r>
            <w:r>
              <w:rPr>
                <w:rFonts w:hint="eastAsia"/>
                <w:color w:val="auto"/>
                <w:shd w:val="clear" w:color="auto" w:fill="auto"/>
                <w:lang w:val="en-US" w:eastAsia="zh-CN"/>
              </w:rPr>
              <w:t>591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2130" w:type="dxa"/>
            <w:tcBorders>
              <w:tl2br w:val="nil"/>
              <w:tr2bl w:val="nil"/>
            </w:tcBorders>
            <w:vAlign w:val="center"/>
          </w:tcPr>
          <w:p>
            <w:pPr>
              <w:pStyle w:val="44"/>
              <w:rPr>
                <w:color w:val="auto"/>
                <w:shd w:val="clear" w:color="auto" w:fill="auto"/>
              </w:rPr>
            </w:pPr>
            <w:r>
              <w:rPr>
                <w:color w:val="auto"/>
                <w:shd w:val="clear" w:color="auto" w:fill="auto"/>
              </w:rPr>
              <w:t>3</w:t>
            </w:r>
          </w:p>
        </w:tc>
        <w:tc>
          <w:tcPr>
            <w:tcW w:w="2146" w:type="dxa"/>
            <w:tcBorders>
              <w:tl2br w:val="nil"/>
              <w:tr2bl w:val="nil"/>
            </w:tcBorders>
            <w:vAlign w:val="center"/>
          </w:tcPr>
          <w:p>
            <w:pPr>
              <w:pStyle w:val="44"/>
              <w:rPr>
                <w:color w:val="auto"/>
                <w:shd w:val="clear" w:color="auto" w:fill="auto"/>
              </w:rPr>
            </w:pPr>
            <w:r>
              <w:rPr>
                <w:color w:val="auto"/>
                <w:shd w:val="clear" w:color="auto" w:fill="auto"/>
              </w:rPr>
              <w:t>NO</w:t>
            </w:r>
            <w:r>
              <w:rPr>
                <w:color w:val="auto"/>
                <w:shd w:val="clear" w:color="auto" w:fill="auto"/>
                <w:vertAlign w:val="subscript"/>
              </w:rPr>
              <w:t>X</w:t>
            </w:r>
          </w:p>
        </w:tc>
        <w:tc>
          <w:tcPr>
            <w:tcW w:w="2115" w:type="dxa"/>
            <w:tcBorders>
              <w:tl2br w:val="nil"/>
              <w:tr2bl w:val="nil"/>
            </w:tcBorders>
            <w:vAlign w:val="center"/>
          </w:tcPr>
          <w:p>
            <w:pPr>
              <w:pStyle w:val="44"/>
              <w:rPr>
                <w:rFonts w:hint="default" w:eastAsia="宋体"/>
                <w:color w:val="auto"/>
                <w:shd w:val="clear" w:color="auto" w:fill="auto"/>
                <w:lang w:val="en-US" w:eastAsia="zh-CN"/>
              </w:rPr>
            </w:pPr>
            <w:r>
              <w:rPr>
                <w:rFonts w:hint="eastAsia"/>
                <w:color w:val="auto"/>
                <w:shd w:val="clear" w:color="auto" w:fill="auto"/>
                <w:lang w:val="en-US" w:eastAsia="zh-CN"/>
              </w:rPr>
              <w:t>2.83</w:t>
            </w:r>
          </w:p>
        </w:tc>
        <w:tc>
          <w:tcPr>
            <w:tcW w:w="2131" w:type="dxa"/>
            <w:tcBorders>
              <w:tl2br w:val="nil"/>
              <w:tr2bl w:val="nil"/>
            </w:tcBorders>
            <w:vAlign w:val="center"/>
          </w:tcPr>
          <w:p>
            <w:pPr>
              <w:pStyle w:val="44"/>
              <w:rPr>
                <w:rFonts w:hint="default" w:eastAsia="宋体"/>
                <w:color w:val="auto"/>
                <w:shd w:val="clear" w:color="auto" w:fill="auto"/>
                <w:lang w:val="en-US" w:eastAsia="zh-CN"/>
              </w:rPr>
            </w:pPr>
            <w:r>
              <w:rPr>
                <w:rFonts w:hint="eastAsia"/>
                <w:color w:val="auto"/>
                <w:shd w:val="clear" w:color="auto" w:fill="auto"/>
              </w:rPr>
              <w:t>0.</w:t>
            </w:r>
            <w:r>
              <w:rPr>
                <w:rFonts w:hint="eastAsia"/>
                <w:color w:val="auto"/>
                <w:shd w:val="clear" w:color="auto" w:fill="auto"/>
                <w:lang w:val="en-US" w:eastAsia="zh-CN"/>
              </w:rPr>
              <w:t>634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2130" w:type="dxa"/>
            <w:tcBorders>
              <w:tl2br w:val="nil"/>
              <w:tr2bl w:val="nil"/>
            </w:tcBorders>
            <w:vAlign w:val="center"/>
          </w:tcPr>
          <w:p>
            <w:pPr>
              <w:pStyle w:val="44"/>
              <w:rPr>
                <w:color w:val="auto"/>
                <w:shd w:val="clear" w:color="auto" w:fill="auto"/>
              </w:rPr>
            </w:pPr>
            <w:r>
              <w:rPr>
                <w:color w:val="auto"/>
                <w:shd w:val="clear" w:color="auto" w:fill="auto"/>
              </w:rPr>
              <w:t>4</w:t>
            </w:r>
          </w:p>
        </w:tc>
        <w:tc>
          <w:tcPr>
            <w:tcW w:w="2146" w:type="dxa"/>
            <w:tcBorders>
              <w:tl2br w:val="nil"/>
              <w:tr2bl w:val="nil"/>
            </w:tcBorders>
            <w:vAlign w:val="center"/>
          </w:tcPr>
          <w:p>
            <w:pPr>
              <w:pStyle w:val="44"/>
              <w:rPr>
                <w:color w:val="auto"/>
                <w:shd w:val="clear" w:color="auto" w:fill="auto"/>
              </w:rPr>
            </w:pPr>
            <w:r>
              <w:rPr>
                <w:color w:val="auto"/>
                <w:shd w:val="clear" w:color="auto" w:fill="auto"/>
              </w:rPr>
              <w:t>总烃</w:t>
            </w:r>
          </w:p>
        </w:tc>
        <w:tc>
          <w:tcPr>
            <w:tcW w:w="2115" w:type="dxa"/>
            <w:tcBorders>
              <w:tl2br w:val="nil"/>
              <w:tr2bl w:val="nil"/>
            </w:tcBorders>
            <w:vAlign w:val="center"/>
          </w:tcPr>
          <w:p>
            <w:pPr>
              <w:pStyle w:val="44"/>
              <w:rPr>
                <w:rFonts w:hint="eastAsia" w:eastAsia="宋体"/>
                <w:color w:val="auto"/>
                <w:shd w:val="clear" w:color="auto" w:fill="auto"/>
                <w:lang w:val="en-US" w:eastAsia="zh-CN"/>
              </w:rPr>
            </w:pPr>
            <w:r>
              <w:rPr>
                <w:rFonts w:hint="eastAsia"/>
                <w:color w:val="auto"/>
                <w:shd w:val="clear" w:color="auto" w:fill="auto"/>
                <w:lang w:val="en-US" w:eastAsia="zh-CN"/>
              </w:rPr>
              <w:t>1.89</w:t>
            </w:r>
          </w:p>
        </w:tc>
        <w:tc>
          <w:tcPr>
            <w:tcW w:w="2131" w:type="dxa"/>
            <w:tcBorders>
              <w:tl2br w:val="nil"/>
              <w:tr2bl w:val="nil"/>
            </w:tcBorders>
            <w:vAlign w:val="center"/>
          </w:tcPr>
          <w:p>
            <w:pPr>
              <w:pStyle w:val="44"/>
              <w:rPr>
                <w:rFonts w:hint="default" w:eastAsia="宋体"/>
                <w:color w:val="auto"/>
                <w:shd w:val="clear" w:color="auto" w:fill="auto"/>
                <w:lang w:val="en-US" w:eastAsia="zh-CN"/>
              </w:rPr>
            </w:pPr>
            <w:r>
              <w:rPr>
                <w:rFonts w:hint="eastAsia"/>
                <w:color w:val="auto"/>
                <w:shd w:val="clear" w:color="auto" w:fill="auto"/>
              </w:rPr>
              <w:t>0.</w:t>
            </w:r>
            <w:r>
              <w:rPr>
                <w:rFonts w:hint="eastAsia"/>
                <w:color w:val="auto"/>
                <w:shd w:val="clear" w:color="auto" w:fill="auto"/>
                <w:lang w:val="en-US" w:eastAsia="zh-CN"/>
              </w:rPr>
              <w:t>423</w:t>
            </w:r>
          </w:p>
        </w:tc>
      </w:tr>
    </w:tbl>
    <w:p>
      <w:pPr>
        <w:rPr>
          <w:b/>
          <w:bCs/>
          <w:color w:val="auto"/>
          <w:shd w:val="clear" w:color="auto" w:fill="auto"/>
        </w:rPr>
      </w:pPr>
      <w:r>
        <w:rPr>
          <w:rFonts w:hint="eastAsia"/>
          <w:b/>
          <w:bCs/>
          <w:color w:val="auto"/>
          <w:shd w:val="clear" w:color="auto" w:fill="auto"/>
          <w:lang w:val="en-US" w:eastAsia="zh-CN"/>
        </w:rPr>
        <w:t>2、</w:t>
      </w:r>
      <w:r>
        <w:rPr>
          <w:b/>
          <w:bCs/>
          <w:color w:val="auto"/>
          <w:shd w:val="clear" w:color="auto" w:fill="auto"/>
        </w:rPr>
        <w:t>汽车尾气</w:t>
      </w:r>
    </w:p>
    <w:p>
      <w:pPr>
        <w:pStyle w:val="2"/>
        <w:ind w:firstLine="480"/>
        <w:rPr>
          <w:color w:val="auto"/>
          <w:shd w:val="clear" w:color="auto" w:fill="auto"/>
        </w:rPr>
      </w:pPr>
      <w:r>
        <w:rPr>
          <w:rFonts w:hAnsi="宋体"/>
          <w:color w:val="auto"/>
          <w:shd w:val="clear" w:color="auto" w:fill="auto"/>
        </w:rPr>
        <w:t>本</w:t>
      </w:r>
      <w:r>
        <w:rPr>
          <w:rFonts w:hint="eastAsia" w:hAnsi="宋体"/>
          <w:color w:val="auto"/>
          <w:shd w:val="clear" w:color="auto" w:fill="auto"/>
        </w:rPr>
        <w:t>工程</w:t>
      </w:r>
      <w:r>
        <w:rPr>
          <w:rFonts w:hAnsi="宋体"/>
          <w:color w:val="auto"/>
          <w:shd w:val="clear" w:color="auto" w:fill="auto"/>
        </w:rPr>
        <w:t>货物吞吐量</w:t>
      </w:r>
      <w:r>
        <w:rPr>
          <w:rFonts w:hint="eastAsia"/>
          <w:color w:val="auto"/>
          <w:shd w:val="clear" w:color="auto" w:fill="auto"/>
          <w:lang w:val="en-US" w:eastAsia="zh-CN"/>
        </w:rPr>
        <w:t>150</w:t>
      </w:r>
      <w:r>
        <w:rPr>
          <w:rFonts w:hAnsi="宋体"/>
          <w:color w:val="auto"/>
          <w:shd w:val="clear" w:color="auto" w:fill="auto"/>
        </w:rPr>
        <w:t>万</w:t>
      </w:r>
      <w:r>
        <w:rPr>
          <w:color w:val="auto"/>
          <w:shd w:val="clear" w:color="auto" w:fill="auto"/>
        </w:rPr>
        <w:t>t/a</w:t>
      </w:r>
      <w:r>
        <w:rPr>
          <w:rFonts w:hAnsi="宋体"/>
          <w:color w:val="auto"/>
          <w:shd w:val="clear" w:color="auto" w:fill="auto"/>
        </w:rPr>
        <w:t>，</w:t>
      </w:r>
      <w:r>
        <w:rPr>
          <w:rFonts w:hint="eastAsia" w:hAnsi="宋体"/>
          <w:color w:val="auto"/>
          <w:shd w:val="clear" w:color="auto" w:fill="auto"/>
        </w:rPr>
        <w:t>载货汽车</w:t>
      </w:r>
      <w:r>
        <w:rPr>
          <w:rFonts w:hAnsi="宋体"/>
          <w:color w:val="auto"/>
          <w:shd w:val="clear" w:color="auto" w:fill="auto"/>
        </w:rPr>
        <w:t>在港区运输，按每车载重</w:t>
      </w:r>
      <w:r>
        <w:rPr>
          <w:rFonts w:hint="eastAsia" w:hAnsi="宋体"/>
          <w:color w:val="auto"/>
          <w:shd w:val="clear" w:color="auto" w:fill="auto"/>
        </w:rPr>
        <w:t>30吨</w:t>
      </w:r>
      <w:r>
        <w:rPr>
          <w:rFonts w:hAnsi="宋体"/>
          <w:color w:val="auto"/>
          <w:shd w:val="clear" w:color="auto" w:fill="auto"/>
        </w:rPr>
        <w:t>计，共需要</w:t>
      </w:r>
      <w:r>
        <w:rPr>
          <w:rFonts w:hint="eastAsia" w:hAnsi="宋体"/>
          <w:color w:val="auto"/>
          <w:shd w:val="clear" w:color="auto" w:fill="auto"/>
          <w:lang w:val="en-US" w:eastAsia="zh-CN"/>
        </w:rPr>
        <w:t>5</w:t>
      </w:r>
      <w:r>
        <w:rPr>
          <w:rFonts w:hint="eastAsia" w:hAnsi="宋体"/>
          <w:color w:val="auto"/>
          <w:shd w:val="clear" w:color="auto" w:fill="auto"/>
        </w:rPr>
        <w:t>万</w:t>
      </w:r>
      <w:r>
        <w:rPr>
          <w:rFonts w:hAnsi="宋体"/>
          <w:color w:val="auto"/>
          <w:shd w:val="clear" w:color="auto" w:fill="auto"/>
        </w:rPr>
        <w:t>辆车，单车</w:t>
      </w:r>
      <w:r>
        <w:rPr>
          <w:rFonts w:hint="eastAsia" w:hAnsi="宋体"/>
          <w:color w:val="auto"/>
          <w:shd w:val="clear" w:color="auto" w:fill="auto"/>
        </w:rPr>
        <w:t>在港区</w:t>
      </w:r>
      <w:r>
        <w:rPr>
          <w:rFonts w:hAnsi="宋体"/>
          <w:color w:val="auto"/>
          <w:shd w:val="clear" w:color="auto" w:fill="auto"/>
        </w:rPr>
        <w:t>平均运行距离按</w:t>
      </w:r>
      <w:r>
        <w:rPr>
          <w:rFonts w:hint="eastAsia"/>
          <w:color w:val="auto"/>
          <w:shd w:val="clear" w:color="auto" w:fill="auto"/>
        </w:rPr>
        <w:t>0.6</w:t>
      </w:r>
      <w:r>
        <w:rPr>
          <w:rFonts w:hint="eastAsia"/>
          <w:color w:val="auto"/>
          <w:shd w:val="clear" w:color="auto" w:fill="auto"/>
          <w:lang w:eastAsia="zh-CN"/>
        </w:rPr>
        <w:t>km</w:t>
      </w:r>
      <w:r>
        <w:rPr>
          <w:rFonts w:hAnsi="宋体"/>
          <w:color w:val="auto"/>
          <w:shd w:val="clear" w:color="auto" w:fill="auto"/>
        </w:rPr>
        <w:t>计算，</w:t>
      </w:r>
      <w:r>
        <w:rPr>
          <w:rFonts w:hint="eastAsia"/>
          <w:color w:val="auto"/>
          <w:shd w:val="clear" w:color="auto" w:fill="auto"/>
        </w:rPr>
        <w:t>装卸车辆均为柴油车，算得车辆在港区内汽车尾气排放量见表</w:t>
      </w:r>
      <w:r>
        <w:rPr>
          <w:rFonts w:hint="eastAsia"/>
          <w:color w:val="auto"/>
          <w:shd w:val="clear" w:color="auto" w:fill="auto"/>
          <w:lang w:val="en-US" w:eastAsia="zh-CN"/>
        </w:rPr>
        <w:t>2</w:t>
      </w:r>
      <w:r>
        <w:rPr>
          <w:rFonts w:hint="eastAsia"/>
          <w:color w:val="auto"/>
          <w:shd w:val="clear" w:color="auto" w:fill="auto"/>
        </w:rPr>
        <w:t>.2-</w:t>
      </w:r>
      <w:r>
        <w:rPr>
          <w:rFonts w:hint="eastAsia"/>
          <w:color w:val="auto"/>
          <w:shd w:val="clear" w:color="auto" w:fill="auto"/>
          <w:lang w:val="en-US" w:eastAsia="zh-CN"/>
        </w:rPr>
        <w:t>10</w:t>
      </w:r>
      <w:r>
        <w:rPr>
          <w:rFonts w:hint="eastAsia"/>
          <w:color w:val="auto"/>
          <w:shd w:val="clear" w:color="auto" w:fill="auto"/>
        </w:rPr>
        <w:t>。</w:t>
      </w:r>
    </w:p>
    <w:p>
      <w:pPr>
        <w:spacing w:line="440" w:lineRule="exact"/>
        <w:ind w:firstLine="480"/>
        <w:jc w:val="center"/>
        <w:rPr>
          <w:rFonts w:hint="eastAsia" w:eastAsia="黑体"/>
          <w:color w:val="auto"/>
          <w:sz w:val="21"/>
          <w:szCs w:val="21"/>
          <w:shd w:val="clear" w:color="auto" w:fill="auto"/>
          <w:lang w:val="en-US" w:eastAsia="zh-CN"/>
        </w:rPr>
      </w:pPr>
      <w:r>
        <w:rPr>
          <w:rFonts w:hint="eastAsia" w:eastAsia="黑体"/>
          <w:color w:val="auto"/>
          <w:sz w:val="21"/>
          <w:szCs w:val="21"/>
          <w:shd w:val="clear" w:color="auto" w:fill="auto"/>
          <w:lang w:val="en-US" w:eastAsia="zh-CN"/>
        </w:rPr>
        <w:t>表2.2-10  港区运输汽车尾气污染物含量</w:t>
      </w:r>
    </w:p>
    <w:tbl>
      <w:tblPr>
        <w:tblStyle w:val="26"/>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6"/>
        <w:gridCol w:w="1785"/>
        <w:gridCol w:w="3154"/>
        <w:gridCol w:w="23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46" w:type="dxa"/>
            <w:vAlign w:val="center"/>
          </w:tcPr>
          <w:p>
            <w:pPr>
              <w:pStyle w:val="46"/>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序号</w:t>
            </w:r>
          </w:p>
        </w:tc>
        <w:tc>
          <w:tcPr>
            <w:tcW w:w="1785" w:type="dxa"/>
            <w:vAlign w:val="center"/>
          </w:tcPr>
          <w:p>
            <w:pPr>
              <w:pStyle w:val="46"/>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污染物</w:t>
            </w:r>
          </w:p>
        </w:tc>
        <w:tc>
          <w:tcPr>
            <w:tcW w:w="3154" w:type="dxa"/>
            <w:vAlign w:val="center"/>
          </w:tcPr>
          <w:p>
            <w:pPr>
              <w:pStyle w:val="46"/>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单车排放因子(g/</w:t>
            </w:r>
            <w:r>
              <w:rPr>
                <w:rFonts w:hint="eastAsia" w:cs="Times New Roman"/>
                <w:color w:val="auto"/>
                <w:sz w:val="21"/>
                <w:szCs w:val="21"/>
                <w:shd w:val="clear" w:color="auto" w:fill="auto"/>
                <w:lang w:eastAsia="zh-CN"/>
              </w:rPr>
              <w:t>km</w:t>
            </w:r>
            <w:r>
              <w:rPr>
                <w:rFonts w:cs="Times New Roman"/>
                <w:color w:val="auto"/>
                <w:sz w:val="21"/>
                <w:szCs w:val="21"/>
                <w:shd w:val="clear" w:color="auto" w:fill="auto"/>
              </w:rPr>
              <w:t>·辆)</w:t>
            </w:r>
          </w:p>
        </w:tc>
        <w:tc>
          <w:tcPr>
            <w:tcW w:w="2337" w:type="dxa"/>
            <w:vAlign w:val="center"/>
          </w:tcPr>
          <w:p>
            <w:pPr>
              <w:pStyle w:val="46"/>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年排放量(</w:t>
            </w:r>
            <w:r>
              <w:rPr>
                <w:rFonts w:hint="eastAsia" w:cs="Times New Roman"/>
                <w:color w:val="auto"/>
                <w:sz w:val="21"/>
                <w:szCs w:val="21"/>
                <w:shd w:val="clear" w:color="auto" w:fill="auto"/>
              </w:rPr>
              <w:t>kg</w:t>
            </w:r>
            <w:r>
              <w:rPr>
                <w:rFonts w:cs="Times New Roman"/>
                <w:color w:val="auto"/>
                <w:sz w:val="21"/>
                <w:szCs w:val="21"/>
                <w:shd w:val="clear" w:color="auto" w:fill="auto"/>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46" w:type="dxa"/>
            <w:vAlign w:val="center"/>
          </w:tcPr>
          <w:p>
            <w:pPr>
              <w:pStyle w:val="46"/>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1</w:t>
            </w:r>
          </w:p>
        </w:tc>
        <w:tc>
          <w:tcPr>
            <w:tcW w:w="1785" w:type="dxa"/>
            <w:vAlign w:val="center"/>
          </w:tcPr>
          <w:p>
            <w:pPr>
              <w:pStyle w:val="46"/>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SO</w:t>
            </w:r>
            <w:r>
              <w:rPr>
                <w:rFonts w:cs="Times New Roman"/>
                <w:color w:val="auto"/>
                <w:sz w:val="21"/>
                <w:szCs w:val="21"/>
                <w:shd w:val="clear" w:color="auto" w:fill="auto"/>
                <w:vertAlign w:val="subscript"/>
              </w:rPr>
              <w:t>2</w:t>
            </w:r>
          </w:p>
        </w:tc>
        <w:tc>
          <w:tcPr>
            <w:tcW w:w="3154" w:type="dxa"/>
            <w:vAlign w:val="center"/>
          </w:tcPr>
          <w:p>
            <w:pPr>
              <w:pStyle w:val="46"/>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0.01</w:t>
            </w:r>
          </w:p>
        </w:tc>
        <w:tc>
          <w:tcPr>
            <w:tcW w:w="2337" w:type="dxa"/>
            <w:vAlign w:val="bottom"/>
          </w:tcPr>
          <w:p>
            <w:pPr>
              <w:pStyle w:val="46"/>
              <w:spacing w:line="240" w:lineRule="auto"/>
              <w:ind w:firstLine="0" w:firstLineChars="0"/>
              <w:jc w:val="center"/>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rPr>
              <w:t>0.</w:t>
            </w:r>
            <w:r>
              <w:rPr>
                <w:rFonts w:hint="eastAsia" w:cs="Times New Roman"/>
                <w:color w:val="auto"/>
                <w:sz w:val="21"/>
                <w:szCs w:val="21"/>
                <w:shd w:val="clear" w:color="auto" w:fill="auto"/>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46" w:type="dxa"/>
            <w:vAlign w:val="center"/>
          </w:tcPr>
          <w:p>
            <w:pPr>
              <w:pStyle w:val="46"/>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2</w:t>
            </w:r>
          </w:p>
        </w:tc>
        <w:tc>
          <w:tcPr>
            <w:tcW w:w="1785" w:type="dxa"/>
            <w:vAlign w:val="center"/>
          </w:tcPr>
          <w:p>
            <w:pPr>
              <w:pStyle w:val="46"/>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CO</w:t>
            </w:r>
          </w:p>
        </w:tc>
        <w:tc>
          <w:tcPr>
            <w:tcW w:w="3154" w:type="dxa"/>
            <w:vAlign w:val="center"/>
          </w:tcPr>
          <w:p>
            <w:pPr>
              <w:pStyle w:val="46"/>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1.0</w:t>
            </w:r>
          </w:p>
        </w:tc>
        <w:tc>
          <w:tcPr>
            <w:tcW w:w="2337" w:type="dxa"/>
            <w:vAlign w:val="bottom"/>
          </w:tcPr>
          <w:p>
            <w:pPr>
              <w:pStyle w:val="46"/>
              <w:spacing w:line="240" w:lineRule="auto"/>
              <w:ind w:firstLine="0" w:firstLineChars="0"/>
              <w:jc w:val="center"/>
              <w:rPr>
                <w:rFonts w:cs="Times New Roman"/>
                <w:color w:val="auto"/>
                <w:sz w:val="21"/>
                <w:szCs w:val="21"/>
                <w:shd w:val="clear" w:color="auto" w:fill="auto"/>
              </w:rPr>
            </w:pPr>
            <w:r>
              <w:rPr>
                <w:rFonts w:hint="eastAsia" w:cs="Times New Roman"/>
                <w:color w:val="auto"/>
                <w:sz w:val="21"/>
                <w:szCs w:val="21"/>
                <w:shd w:val="clear" w:color="auto" w:fill="auto"/>
                <w:lang w:val="en-US" w:eastAsia="zh-CN"/>
              </w:rPr>
              <w:t>30</w:t>
            </w:r>
            <w:r>
              <w:rPr>
                <w:rFonts w:hint="eastAsia" w:cs="Times New Roman"/>
                <w:color w:val="auto"/>
                <w:sz w:val="21"/>
                <w:szCs w:val="21"/>
                <w:shd w:val="clear" w:color="auto" w:fil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46" w:type="dxa"/>
            <w:vAlign w:val="center"/>
          </w:tcPr>
          <w:p>
            <w:pPr>
              <w:pStyle w:val="46"/>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3</w:t>
            </w:r>
          </w:p>
        </w:tc>
        <w:tc>
          <w:tcPr>
            <w:tcW w:w="1785" w:type="dxa"/>
            <w:vAlign w:val="center"/>
          </w:tcPr>
          <w:p>
            <w:pPr>
              <w:pStyle w:val="46"/>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NO</w:t>
            </w:r>
            <w:r>
              <w:rPr>
                <w:rFonts w:cs="Times New Roman"/>
                <w:color w:val="auto"/>
                <w:sz w:val="21"/>
                <w:szCs w:val="21"/>
                <w:shd w:val="clear" w:color="auto" w:fill="auto"/>
                <w:vertAlign w:val="subscript"/>
              </w:rPr>
              <w:t>X</w:t>
            </w:r>
          </w:p>
        </w:tc>
        <w:tc>
          <w:tcPr>
            <w:tcW w:w="3154" w:type="dxa"/>
            <w:vAlign w:val="center"/>
          </w:tcPr>
          <w:p>
            <w:pPr>
              <w:pStyle w:val="46"/>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0.6</w:t>
            </w:r>
          </w:p>
        </w:tc>
        <w:tc>
          <w:tcPr>
            <w:tcW w:w="2337" w:type="dxa"/>
            <w:vAlign w:val="bottom"/>
          </w:tcPr>
          <w:p>
            <w:pPr>
              <w:pStyle w:val="46"/>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46" w:type="dxa"/>
            <w:vAlign w:val="center"/>
          </w:tcPr>
          <w:p>
            <w:pPr>
              <w:pStyle w:val="46"/>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4</w:t>
            </w:r>
          </w:p>
        </w:tc>
        <w:tc>
          <w:tcPr>
            <w:tcW w:w="1785" w:type="dxa"/>
            <w:vAlign w:val="center"/>
          </w:tcPr>
          <w:p>
            <w:pPr>
              <w:pStyle w:val="46"/>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总烃</w:t>
            </w:r>
          </w:p>
        </w:tc>
        <w:tc>
          <w:tcPr>
            <w:tcW w:w="3154" w:type="dxa"/>
            <w:vAlign w:val="center"/>
          </w:tcPr>
          <w:p>
            <w:pPr>
              <w:pStyle w:val="46"/>
              <w:spacing w:line="240" w:lineRule="auto"/>
              <w:ind w:firstLine="0" w:firstLineChars="0"/>
              <w:jc w:val="center"/>
              <w:rPr>
                <w:rFonts w:cs="Times New Roman"/>
                <w:color w:val="auto"/>
                <w:sz w:val="21"/>
                <w:szCs w:val="21"/>
                <w:shd w:val="clear" w:color="auto" w:fill="auto"/>
              </w:rPr>
            </w:pPr>
            <w:r>
              <w:rPr>
                <w:rFonts w:cs="Times New Roman"/>
                <w:color w:val="auto"/>
                <w:sz w:val="21"/>
                <w:szCs w:val="21"/>
                <w:shd w:val="clear" w:color="auto" w:fill="auto"/>
              </w:rPr>
              <w:t>0.1</w:t>
            </w:r>
          </w:p>
        </w:tc>
        <w:tc>
          <w:tcPr>
            <w:tcW w:w="2337" w:type="dxa"/>
            <w:vAlign w:val="bottom"/>
          </w:tcPr>
          <w:p>
            <w:pPr>
              <w:pStyle w:val="46"/>
              <w:spacing w:line="240" w:lineRule="auto"/>
              <w:ind w:firstLine="0" w:firstLineChars="0"/>
              <w:jc w:val="center"/>
              <w:rPr>
                <w:rFonts w:hint="eastAsia"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w:t>
            </w:r>
          </w:p>
        </w:tc>
      </w:tr>
    </w:tbl>
    <w:p>
      <w:pPr>
        <w:rPr>
          <w:b/>
          <w:bCs/>
          <w:color w:val="auto"/>
          <w:highlight w:val="none"/>
          <w:shd w:val="clear" w:color="auto" w:fill="auto"/>
        </w:rPr>
      </w:pPr>
      <w:r>
        <w:rPr>
          <w:rFonts w:hint="eastAsia"/>
          <w:b/>
          <w:bCs/>
          <w:color w:val="auto"/>
          <w:highlight w:val="none"/>
          <w:shd w:val="clear" w:color="auto" w:fill="auto"/>
          <w:lang w:val="en-US" w:eastAsia="zh-CN"/>
        </w:rPr>
        <w:t>3、</w:t>
      </w:r>
      <w:r>
        <w:rPr>
          <w:rFonts w:hint="eastAsia"/>
          <w:b/>
          <w:bCs/>
          <w:color w:val="auto"/>
          <w:highlight w:val="none"/>
          <w:shd w:val="clear" w:color="auto" w:fill="auto"/>
        </w:rPr>
        <w:t>散货装卸扬尘</w:t>
      </w:r>
    </w:p>
    <w:p>
      <w:pPr>
        <w:ind w:firstLine="480"/>
        <w:rPr>
          <w:rFonts w:hint="eastAsia"/>
          <w:color w:val="auto"/>
          <w:shd w:val="clear" w:color="auto" w:fill="auto"/>
        </w:rPr>
      </w:pPr>
      <w:r>
        <w:rPr>
          <w:rFonts w:hint="eastAsia"/>
          <w:color w:val="auto"/>
          <w:shd w:val="clear" w:color="auto" w:fill="auto"/>
        </w:rPr>
        <w:t>码头工程正常营运时，起尘是装卸过程中的动态动力起尘，其发生量与环境风速、装卸高度等密切相关。扬尘的发生量与尘源自身的物理、化学性质及其装卸工艺以及地面风速等因素有关。</w:t>
      </w:r>
    </w:p>
    <w:p>
      <w:pPr>
        <w:ind w:firstLine="480" w:firstLineChars="200"/>
        <w:rPr>
          <w:rFonts w:hint="eastAsia"/>
          <w:color w:val="auto"/>
          <w:shd w:val="clear" w:color="auto" w:fill="auto"/>
        </w:rPr>
      </w:pPr>
      <w:r>
        <w:rPr>
          <w:rFonts w:hint="eastAsia"/>
          <w:color w:val="auto"/>
          <w:shd w:val="clear" w:color="auto" w:fill="auto"/>
        </w:rPr>
        <w:t>拟建码头泊位</w:t>
      </w:r>
      <w:r>
        <w:rPr>
          <w:rFonts w:hint="eastAsia"/>
          <w:color w:val="auto"/>
          <w:shd w:val="clear" w:color="auto" w:fill="auto"/>
          <w:lang w:eastAsia="zh-CN"/>
        </w:rPr>
        <w:t>均</w:t>
      </w:r>
      <w:r>
        <w:rPr>
          <w:rFonts w:hint="eastAsia"/>
          <w:color w:val="auto"/>
          <w:shd w:val="clear" w:color="auto" w:fill="auto"/>
        </w:rPr>
        <w:t>为散货泊位，</w:t>
      </w:r>
      <w:r>
        <w:rPr>
          <w:color w:val="auto"/>
          <w:shd w:val="clear" w:color="auto" w:fill="auto"/>
        </w:rPr>
        <w:t>装卸</w:t>
      </w:r>
      <w:r>
        <w:rPr>
          <w:rFonts w:hint="eastAsia"/>
          <w:color w:val="auto"/>
          <w:shd w:val="clear" w:color="auto" w:fill="auto"/>
          <w:lang w:val="en-US" w:eastAsia="zh-CN"/>
        </w:rPr>
        <w:t>货种</w:t>
      </w:r>
      <w:r>
        <w:rPr>
          <w:color w:val="auto"/>
          <w:shd w:val="clear" w:color="auto" w:fill="auto"/>
        </w:rPr>
        <w:t>为</w:t>
      </w:r>
      <w:r>
        <w:rPr>
          <w:rFonts w:hint="eastAsia"/>
          <w:color w:val="auto"/>
          <w:shd w:val="clear" w:color="auto" w:fill="auto"/>
        </w:rPr>
        <w:t>矿建材料（</w:t>
      </w:r>
      <w:r>
        <w:rPr>
          <w:rFonts w:hint="eastAsia"/>
          <w:color w:val="auto"/>
          <w:shd w:val="clear" w:color="auto" w:fill="auto"/>
          <w:lang w:val="en-US" w:eastAsia="zh-CN"/>
        </w:rPr>
        <w:t>黄</w:t>
      </w:r>
      <w:r>
        <w:rPr>
          <w:rFonts w:hint="eastAsia"/>
          <w:color w:val="auto"/>
          <w:shd w:val="clear" w:color="auto" w:fill="auto"/>
        </w:rPr>
        <w:t>砂、碎石等）</w:t>
      </w:r>
      <w:r>
        <w:rPr>
          <w:rFonts w:hint="eastAsia"/>
          <w:color w:val="auto"/>
          <w:shd w:val="clear" w:color="auto" w:fill="auto"/>
          <w:lang w:eastAsia="zh-CN"/>
        </w:rPr>
        <w:t>150</w:t>
      </w:r>
      <w:r>
        <w:rPr>
          <w:rFonts w:hint="eastAsia"/>
          <w:color w:val="auto"/>
          <w:shd w:val="clear" w:color="auto" w:fill="auto"/>
        </w:rPr>
        <w:t>万吨/a</w:t>
      </w:r>
      <w:r>
        <w:rPr>
          <w:rFonts w:hint="eastAsia"/>
          <w:color w:val="auto"/>
          <w:shd w:val="clear" w:color="auto" w:fill="auto"/>
          <w:lang w:eastAsia="zh-CN"/>
        </w:rPr>
        <w:t>，</w:t>
      </w:r>
      <w:r>
        <w:rPr>
          <w:rFonts w:hint="eastAsia"/>
          <w:color w:val="auto"/>
          <w:shd w:val="clear" w:color="auto" w:fill="auto"/>
        </w:rPr>
        <w:t>每泊位配备</w:t>
      </w:r>
      <w:r>
        <w:rPr>
          <w:rFonts w:hint="eastAsia"/>
          <w:color w:val="auto"/>
          <w:shd w:val="clear" w:color="auto" w:fill="auto"/>
          <w:lang w:val="en-US" w:eastAsia="zh-CN"/>
        </w:rPr>
        <w:t>2</w:t>
      </w:r>
      <w:r>
        <w:rPr>
          <w:rFonts w:hint="eastAsia"/>
          <w:color w:val="auto"/>
          <w:shd w:val="clear" w:color="auto" w:fill="auto"/>
        </w:rPr>
        <w:t>台</w:t>
      </w:r>
      <w:r>
        <w:rPr>
          <w:rFonts w:hint="eastAsia"/>
          <w:color w:val="auto"/>
          <w:shd w:val="clear" w:color="auto" w:fill="auto"/>
          <w:lang w:eastAsia="zh-CN"/>
        </w:rPr>
        <w:t>10t-20m</w:t>
      </w:r>
      <w:r>
        <w:rPr>
          <w:rFonts w:hint="eastAsia"/>
          <w:color w:val="auto"/>
          <w:shd w:val="clear" w:color="auto" w:fill="auto"/>
        </w:rPr>
        <w:t>抓斗固定吊作为装卸设备。固定吊下方配备装车料斗，自卸汽车上码头平台进行装卸。装车料斗内设喷雾装置进行抑尘</w:t>
      </w:r>
      <w:r>
        <w:rPr>
          <w:rFonts w:hint="eastAsia"/>
          <w:color w:val="auto"/>
          <w:shd w:val="clear" w:color="auto" w:fill="auto"/>
          <w:lang w:val="en-US" w:eastAsia="zh-CN"/>
        </w:rPr>
        <w:t>，</w:t>
      </w:r>
      <w:r>
        <w:rPr>
          <w:rFonts w:hint="eastAsia"/>
          <w:bCs/>
          <w:color w:val="auto"/>
          <w:sz w:val="24"/>
          <w:shd w:val="clear" w:color="auto" w:fill="auto"/>
          <w:lang w:val="en-US" w:eastAsia="zh-CN"/>
        </w:rPr>
        <w:t>运输过程中逸散的扬尘量较小</w:t>
      </w:r>
      <w:r>
        <w:rPr>
          <w:rFonts w:hint="eastAsia"/>
          <w:color w:val="auto"/>
          <w:shd w:val="clear" w:color="auto" w:fill="auto"/>
        </w:rPr>
        <w:t>。</w:t>
      </w:r>
    </w:p>
    <w:p>
      <w:pPr>
        <w:ind w:firstLine="480"/>
        <w:rPr>
          <w:color w:val="auto"/>
          <w:shd w:val="clear" w:color="auto" w:fill="auto"/>
        </w:rPr>
      </w:pPr>
      <w:r>
        <w:rPr>
          <w:rFonts w:hint="eastAsia" w:cs="Times New Roman"/>
          <w:color w:val="auto"/>
          <w:shd w:val="clear" w:color="auto" w:fill="auto"/>
        </w:rPr>
        <w:t>散货在码头装卸料过程中，</w:t>
      </w:r>
      <w:r>
        <w:rPr>
          <w:rFonts w:cs="Times New Roman"/>
          <w:color w:val="auto"/>
          <w:shd w:val="clear" w:color="auto" w:fill="auto"/>
        </w:rPr>
        <w:t>装卸起尘量</w:t>
      </w:r>
      <w:r>
        <w:rPr>
          <w:rFonts w:hint="eastAsia" w:cs="Times New Roman"/>
          <w:color w:val="auto"/>
          <w:shd w:val="clear" w:color="auto" w:fill="auto"/>
        </w:rPr>
        <w:t>按</w:t>
      </w:r>
      <w:r>
        <w:rPr>
          <w:rFonts w:cs="Times New Roman"/>
          <w:color w:val="auto"/>
          <w:shd w:val="clear" w:color="auto" w:fill="auto"/>
        </w:rPr>
        <w:t>《港口建设项目环境影响评价规范》（JTS105-1-2011）推荐的公式计算：</w:t>
      </w:r>
    </w:p>
    <w:p>
      <w:pPr>
        <w:pStyle w:val="2"/>
        <w:ind w:firstLine="0" w:firstLineChars="0"/>
        <w:jc w:val="center"/>
        <w:rPr>
          <w:color w:val="auto"/>
          <w:shd w:val="clear" w:color="auto" w:fill="auto"/>
        </w:rPr>
      </w:pPr>
      <w:r>
        <w:rPr>
          <w:color w:val="auto"/>
          <w:shd w:val="clear" w:color="auto" w:fill="auto"/>
        </w:rPr>
        <w:drawing>
          <wp:inline distT="0" distB="0" distL="114300" distR="114300">
            <wp:extent cx="2923540" cy="390525"/>
            <wp:effectExtent l="0" t="0" r="10160" b="9525"/>
            <wp:docPr id="1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0"/>
                    <pic:cNvPicPr>
                      <a:picLocks noChangeAspect="1"/>
                    </pic:cNvPicPr>
                  </pic:nvPicPr>
                  <pic:blipFill>
                    <a:blip r:embed="rId25"/>
                    <a:stretch>
                      <a:fillRect/>
                    </a:stretch>
                  </pic:blipFill>
                  <pic:spPr>
                    <a:xfrm>
                      <a:off x="0" y="0"/>
                      <a:ext cx="2923540" cy="390525"/>
                    </a:xfrm>
                    <a:prstGeom prst="rect">
                      <a:avLst/>
                    </a:prstGeom>
                    <a:noFill/>
                    <a:ln w="9525">
                      <a:noFill/>
                    </a:ln>
                  </pic:spPr>
                </pic:pic>
              </a:graphicData>
            </a:graphic>
          </wp:inline>
        </w:drawing>
      </w:r>
    </w:p>
    <w:p>
      <w:pPr>
        <w:pStyle w:val="2"/>
        <w:ind w:firstLine="480"/>
        <w:rPr>
          <w:bCs/>
          <w:color w:val="auto"/>
          <w:szCs w:val="21"/>
          <w:shd w:val="clear" w:color="auto" w:fill="auto"/>
        </w:rPr>
      </w:pPr>
      <w:r>
        <w:rPr>
          <w:color w:val="auto"/>
          <w:szCs w:val="21"/>
          <w:shd w:val="clear" w:color="auto" w:fill="auto"/>
        </w:rPr>
        <w:t>式中：</w:t>
      </w:r>
      <w:r>
        <w:rPr>
          <w:rFonts w:hint="eastAsia"/>
          <w:color w:val="auto"/>
          <w:szCs w:val="21"/>
          <w:shd w:val="clear" w:color="auto" w:fill="auto"/>
        </w:rPr>
        <w:t>Q</w:t>
      </w:r>
      <w:r>
        <w:rPr>
          <w:rFonts w:hint="eastAsia"/>
          <w:bCs/>
          <w:color w:val="auto"/>
          <w:szCs w:val="21"/>
          <w:shd w:val="clear" w:color="auto" w:fill="auto"/>
        </w:rPr>
        <w:t>—码头、堆场作业</w:t>
      </w:r>
      <w:r>
        <w:rPr>
          <w:bCs/>
          <w:color w:val="auto"/>
          <w:szCs w:val="21"/>
          <w:shd w:val="clear" w:color="auto" w:fill="auto"/>
        </w:rPr>
        <w:t>起尘量</w:t>
      </w:r>
      <w:r>
        <w:rPr>
          <w:rFonts w:hint="eastAsia"/>
          <w:bCs/>
          <w:color w:val="auto"/>
          <w:szCs w:val="21"/>
          <w:shd w:val="clear" w:color="auto" w:fill="auto"/>
        </w:rPr>
        <w:t>（kg）；</w:t>
      </w:r>
    </w:p>
    <w:p>
      <w:pPr>
        <w:ind w:firstLine="480"/>
        <w:jc w:val="left"/>
        <w:rPr>
          <w:bCs/>
          <w:color w:val="auto"/>
          <w:szCs w:val="21"/>
          <w:shd w:val="clear" w:color="auto" w:fill="auto"/>
        </w:rPr>
      </w:pPr>
      <w:r>
        <w:rPr>
          <w:rFonts w:hint="eastAsia"/>
          <w:bCs/>
          <w:color w:val="auto"/>
          <w:szCs w:val="21"/>
          <w:shd w:val="clear" w:color="auto" w:fill="auto"/>
        </w:rPr>
        <w:t xml:space="preserve">      α—货物类型起尘调节系数，本评价取0.</w:t>
      </w:r>
      <w:r>
        <w:rPr>
          <w:rFonts w:hint="eastAsia"/>
          <w:bCs/>
          <w:color w:val="auto"/>
          <w:szCs w:val="21"/>
          <w:shd w:val="clear" w:color="auto" w:fill="auto"/>
          <w:lang w:val="en-US" w:eastAsia="zh-CN"/>
        </w:rPr>
        <w:t>5</w:t>
      </w:r>
      <w:r>
        <w:rPr>
          <w:rFonts w:hint="eastAsia"/>
          <w:bCs/>
          <w:color w:val="auto"/>
          <w:szCs w:val="21"/>
          <w:shd w:val="clear" w:color="auto" w:fill="auto"/>
        </w:rPr>
        <w:t>；</w:t>
      </w:r>
    </w:p>
    <w:p>
      <w:pPr>
        <w:ind w:firstLine="1200" w:firstLineChars="500"/>
        <w:jc w:val="left"/>
        <w:rPr>
          <w:bCs/>
          <w:color w:val="auto"/>
          <w:szCs w:val="21"/>
          <w:shd w:val="clear" w:color="auto" w:fill="auto"/>
        </w:rPr>
      </w:pPr>
      <w:r>
        <w:rPr>
          <w:rFonts w:hint="eastAsia"/>
          <w:bCs/>
          <w:color w:val="auto"/>
          <w:szCs w:val="21"/>
          <w:shd w:val="clear" w:color="auto" w:fill="auto"/>
        </w:rPr>
        <w:t>β—作业方式系数，装堆（船）时，β=1，取料时，β=2；</w:t>
      </w:r>
    </w:p>
    <w:p>
      <w:pPr>
        <w:ind w:firstLine="1200" w:firstLineChars="500"/>
        <w:jc w:val="left"/>
        <w:rPr>
          <w:color w:val="auto"/>
          <w:szCs w:val="21"/>
          <w:shd w:val="clear" w:color="auto" w:fill="auto"/>
        </w:rPr>
      </w:pPr>
      <w:r>
        <w:rPr>
          <w:rFonts w:hint="eastAsia"/>
          <w:color w:val="auto"/>
          <w:szCs w:val="21"/>
          <w:shd w:val="clear" w:color="auto" w:fill="auto"/>
        </w:rPr>
        <w:t>H—作业落差（</w:t>
      </w:r>
      <w:r>
        <w:rPr>
          <w:rFonts w:hint="eastAsia"/>
          <w:color w:val="auto"/>
          <w:szCs w:val="21"/>
          <w:shd w:val="clear" w:color="auto" w:fill="auto"/>
          <w:lang w:eastAsia="zh-CN"/>
        </w:rPr>
        <w:t>m</w:t>
      </w:r>
      <w:r>
        <w:rPr>
          <w:rFonts w:hint="eastAsia"/>
          <w:color w:val="auto"/>
          <w:szCs w:val="21"/>
          <w:shd w:val="clear" w:color="auto" w:fill="auto"/>
        </w:rPr>
        <w:t>），本项目取</w:t>
      </w:r>
      <w:r>
        <w:rPr>
          <w:rFonts w:hint="eastAsia"/>
          <w:color w:val="auto"/>
          <w:szCs w:val="21"/>
          <w:shd w:val="clear" w:color="auto" w:fill="auto"/>
          <w:lang w:val="en-US" w:eastAsia="zh-CN"/>
        </w:rPr>
        <w:t>0.5</w:t>
      </w:r>
      <w:r>
        <w:rPr>
          <w:rFonts w:hint="eastAsia"/>
          <w:color w:val="auto"/>
          <w:szCs w:val="21"/>
          <w:shd w:val="clear" w:color="auto" w:fill="auto"/>
          <w:lang w:eastAsia="zh-CN"/>
        </w:rPr>
        <w:t>m</w:t>
      </w:r>
      <w:r>
        <w:rPr>
          <w:rFonts w:hint="eastAsia"/>
          <w:color w:val="auto"/>
          <w:szCs w:val="21"/>
          <w:shd w:val="clear" w:color="auto" w:fill="auto"/>
        </w:rPr>
        <w:t>；</w:t>
      </w:r>
    </w:p>
    <w:p>
      <w:pPr>
        <w:ind w:firstLine="1080" w:firstLineChars="450"/>
        <w:jc w:val="left"/>
        <w:rPr>
          <w:color w:val="auto"/>
          <w:szCs w:val="21"/>
          <w:shd w:val="clear" w:color="auto" w:fill="auto"/>
        </w:rPr>
      </w:pPr>
      <w:r>
        <w:rPr>
          <w:rFonts w:hint="eastAsia"/>
          <w:color w:val="auto"/>
          <w:szCs w:val="21"/>
          <w:shd w:val="clear" w:color="auto" w:fill="auto"/>
        </w:rPr>
        <w:t>ω</w:t>
      </w:r>
      <w:r>
        <w:rPr>
          <w:rFonts w:hint="eastAsia"/>
          <w:color w:val="auto"/>
          <w:szCs w:val="21"/>
          <w:shd w:val="clear" w:color="auto" w:fill="auto"/>
          <w:vertAlign w:val="subscript"/>
        </w:rPr>
        <w:t>2</w:t>
      </w:r>
      <w:r>
        <w:rPr>
          <w:rFonts w:hint="eastAsia"/>
          <w:color w:val="auto"/>
          <w:szCs w:val="21"/>
          <w:shd w:val="clear" w:color="auto" w:fill="auto"/>
        </w:rPr>
        <w:t>—水分作用系数，与散货性质有关，取0.4</w:t>
      </w:r>
      <w:r>
        <w:rPr>
          <w:color w:val="auto"/>
          <w:szCs w:val="21"/>
          <w:shd w:val="clear" w:color="auto" w:fill="auto"/>
        </w:rPr>
        <w:t>；</w:t>
      </w:r>
    </w:p>
    <w:p>
      <w:pPr>
        <w:ind w:firstLine="1080" w:firstLineChars="450"/>
        <w:jc w:val="left"/>
        <w:rPr>
          <w:color w:val="auto"/>
          <w:szCs w:val="21"/>
          <w:shd w:val="clear" w:color="auto" w:fill="auto"/>
        </w:rPr>
      </w:pPr>
      <w:r>
        <w:rPr>
          <w:rFonts w:hint="eastAsia"/>
          <w:color w:val="auto"/>
          <w:szCs w:val="21"/>
          <w:shd w:val="clear" w:color="auto" w:fill="auto"/>
        </w:rPr>
        <w:t>ω</w:t>
      </w:r>
      <w:r>
        <w:rPr>
          <w:rFonts w:hint="eastAsia"/>
          <w:color w:val="auto"/>
          <w:szCs w:val="21"/>
          <w:shd w:val="clear" w:color="auto" w:fill="auto"/>
          <w:vertAlign w:val="subscript"/>
        </w:rPr>
        <w:t>0</w:t>
      </w:r>
      <w:r>
        <w:rPr>
          <w:rFonts w:hint="eastAsia"/>
          <w:color w:val="auto"/>
          <w:szCs w:val="21"/>
          <w:shd w:val="clear" w:color="auto" w:fill="auto"/>
        </w:rPr>
        <w:t>—水分作用效果的临界值，即含水率高于此值时水分作用效果增加不明显，与散货性质有关，本项目取5%</w:t>
      </w:r>
      <w:r>
        <w:rPr>
          <w:color w:val="auto"/>
          <w:szCs w:val="21"/>
          <w:shd w:val="clear" w:color="auto" w:fill="auto"/>
        </w:rPr>
        <w:t>；</w:t>
      </w:r>
    </w:p>
    <w:p>
      <w:pPr>
        <w:ind w:firstLine="1080" w:firstLineChars="450"/>
        <w:jc w:val="left"/>
        <w:rPr>
          <w:color w:val="auto"/>
          <w:szCs w:val="21"/>
          <w:shd w:val="clear" w:color="auto" w:fill="auto"/>
        </w:rPr>
      </w:pPr>
      <w:r>
        <w:rPr>
          <w:rFonts w:hint="eastAsia"/>
          <w:color w:val="auto"/>
          <w:szCs w:val="21"/>
          <w:shd w:val="clear" w:color="auto" w:fill="auto"/>
        </w:rPr>
        <w:t>ω—</w:t>
      </w:r>
      <w:r>
        <w:rPr>
          <w:color w:val="auto"/>
          <w:szCs w:val="21"/>
          <w:shd w:val="clear" w:color="auto" w:fill="auto"/>
        </w:rPr>
        <w:t>含水率，</w:t>
      </w:r>
      <w:r>
        <w:rPr>
          <w:rFonts w:hint="eastAsia"/>
          <w:color w:val="auto"/>
          <w:szCs w:val="21"/>
          <w:shd w:val="clear" w:color="auto" w:fill="auto"/>
        </w:rPr>
        <w:t>本项目取3%；</w:t>
      </w:r>
    </w:p>
    <w:p>
      <w:pPr>
        <w:ind w:firstLine="1200" w:firstLineChars="500"/>
        <w:jc w:val="left"/>
        <w:rPr>
          <w:color w:val="auto"/>
          <w:szCs w:val="21"/>
          <w:shd w:val="clear" w:color="auto" w:fill="auto"/>
        </w:rPr>
      </w:pPr>
      <w:r>
        <w:rPr>
          <w:rFonts w:hint="eastAsia"/>
          <w:color w:val="auto"/>
          <w:szCs w:val="21"/>
          <w:shd w:val="clear" w:color="auto" w:fill="auto"/>
        </w:rPr>
        <w:t>Y—作业量（t）</w:t>
      </w:r>
      <w:r>
        <w:rPr>
          <w:rFonts w:hint="eastAsia"/>
          <w:color w:val="auto"/>
          <w:szCs w:val="21"/>
          <w:shd w:val="clear" w:color="auto" w:fill="auto"/>
          <w:lang w:eastAsia="zh-CN"/>
        </w:rPr>
        <w:t>，</w:t>
      </w:r>
      <w:r>
        <w:rPr>
          <w:rFonts w:hint="eastAsia"/>
          <w:color w:val="auto"/>
          <w:szCs w:val="21"/>
          <w:shd w:val="clear" w:color="auto" w:fill="auto"/>
          <w:lang w:val="en-US" w:eastAsia="zh-CN"/>
        </w:rPr>
        <w:t>150万吨/a</w:t>
      </w:r>
      <w:r>
        <w:rPr>
          <w:rFonts w:hint="eastAsia"/>
          <w:color w:val="auto"/>
          <w:szCs w:val="21"/>
          <w:shd w:val="clear" w:color="auto" w:fill="auto"/>
        </w:rPr>
        <w:t>；</w:t>
      </w:r>
    </w:p>
    <w:p>
      <w:pPr>
        <w:ind w:firstLine="1200" w:firstLineChars="500"/>
        <w:jc w:val="left"/>
        <w:rPr>
          <w:color w:val="auto"/>
          <w:shd w:val="clear" w:color="auto" w:fill="auto"/>
        </w:rPr>
      </w:pPr>
      <w:r>
        <w:rPr>
          <w:rFonts w:hint="eastAsia"/>
          <w:color w:val="auto"/>
          <w:szCs w:val="21"/>
          <w:shd w:val="clear" w:color="auto" w:fill="auto"/>
        </w:rPr>
        <w:t>v</w:t>
      </w:r>
      <w:r>
        <w:rPr>
          <w:rFonts w:hint="eastAsia"/>
          <w:color w:val="auto"/>
          <w:szCs w:val="21"/>
          <w:shd w:val="clear" w:color="auto" w:fill="auto"/>
          <w:vertAlign w:val="subscript"/>
        </w:rPr>
        <w:t>2</w:t>
      </w:r>
      <w:r>
        <w:rPr>
          <w:rFonts w:hint="eastAsia"/>
          <w:color w:val="auto"/>
          <w:szCs w:val="21"/>
          <w:shd w:val="clear" w:color="auto" w:fill="auto"/>
        </w:rPr>
        <w:t>—作业起尘量达到最大起尘量50%时的风速，</w:t>
      </w:r>
      <w:r>
        <w:rPr>
          <w:rFonts w:hint="eastAsia"/>
          <w:color w:val="auto"/>
          <w:szCs w:val="21"/>
          <w:shd w:val="clear" w:color="auto" w:fill="auto"/>
          <w:lang w:eastAsia="zh-CN"/>
        </w:rPr>
        <w:t>根据项目所在地最大风速计算最大起尘量，</w:t>
      </w:r>
      <w:r>
        <w:rPr>
          <w:rFonts w:hint="eastAsia"/>
          <w:color w:val="auto"/>
          <w:szCs w:val="21"/>
          <w:shd w:val="clear" w:color="auto" w:fill="auto"/>
        </w:rPr>
        <w:t>本项目取</w:t>
      </w:r>
      <w:r>
        <w:rPr>
          <w:rFonts w:hint="eastAsia"/>
          <w:color w:val="auto"/>
          <w:szCs w:val="21"/>
          <w:shd w:val="clear" w:color="auto" w:fill="auto"/>
          <w:lang w:val="en-US" w:eastAsia="zh-CN"/>
        </w:rPr>
        <w:t>18</w:t>
      </w:r>
      <w:r>
        <w:rPr>
          <w:rFonts w:hint="eastAsia" w:hAnsi="宋体"/>
          <w:color w:val="auto"/>
          <w:szCs w:val="21"/>
          <w:shd w:val="clear" w:color="auto" w:fill="auto"/>
          <w:lang w:eastAsia="zh-CN"/>
        </w:rPr>
        <w:t>m</w:t>
      </w:r>
      <w:r>
        <w:rPr>
          <w:rFonts w:hint="eastAsia" w:hAnsi="宋体"/>
          <w:color w:val="auto"/>
          <w:szCs w:val="21"/>
          <w:shd w:val="clear" w:color="auto" w:fill="auto"/>
        </w:rPr>
        <w:t>/s；</w:t>
      </w:r>
    </w:p>
    <w:p>
      <w:pPr>
        <w:ind w:firstLine="1200" w:firstLineChars="500"/>
        <w:rPr>
          <w:rFonts w:hint="eastAsia" w:hAnsi="宋体"/>
          <w:color w:val="auto"/>
          <w:kern w:val="0"/>
          <w:szCs w:val="21"/>
          <w:shd w:val="clear" w:color="auto" w:fill="auto"/>
          <w:lang w:val="en-US" w:eastAsia="zh-CN"/>
        </w:rPr>
      </w:pPr>
      <w:r>
        <w:rPr>
          <w:rFonts w:hint="eastAsia"/>
          <w:color w:val="auto"/>
          <w:shd w:val="clear" w:color="auto" w:fill="auto"/>
        </w:rPr>
        <w:t>U—风速</w:t>
      </w:r>
      <w:r>
        <w:rPr>
          <w:rFonts w:hint="eastAsia" w:hAnsi="宋体"/>
          <w:color w:val="auto"/>
          <w:kern w:val="0"/>
          <w:szCs w:val="21"/>
          <w:shd w:val="clear" w:color="auto" w:fill="auto"/>
          <w:lang w:val="pt-BR"/>
        </w:rPr>
        <w:t>，</w:t>
      </w:r>
      <w:r>
        <w:rPr>
          <w:rFonts w:hint="eastAsia" w:hAnsi="宋体"/>
          <w:color w:val="auto"/>
          <w:kern w:val="0"/>
          <w:szCs w:val="21"/>
          <w:shd w:val="clear" w:color="auto" w:fill="auto"/>
          <w:lang w:val="en-US" w:eastAsia="zh-CN"/>
        </w:rPr>
        <w:t>地面最大平均风速取3.2m/s；</w:t>
      </w:r>
    </w:p>
    <w:p>
      <w:pPr>
        <w:rPr>
          <w:rFonts w:hint="eastAsia"/>
          <w:color w:val="auto"/>
          <w:shd w:val="clear" w:color="auto" w:fill="auto"/>
          <w:lang w:val="en-US" w:eastAsia="zh-CN"/>
        </w:rPr>
      </w:pPr>
      <w:r>
        <w:rPr>
          <w:rFonts w:hint="default"/>
          <w:color w:val="auto"/>
          <w:shd w:val="clear" w:color="auto" w:fill="auto"/>
        </w:rPr>
        <w:t>本</w:t>
      </w:r>
      <w:r>
        <w:rPr>
          <w:rFonts w:hint="eastAsia"/>
          <w:color w:val="auto"/>
          <w:shd w:val="clear" w:color="auto" w:fill="auto"/>
          <w:lang w:val="en-US" w:eastAsia="zh-CN"/>
        </w:rPr>
        <w:t>项目码头卸船采用</w:t>
      </w:r>
      <w:r>
        <w:rPr>
          <w:rFonts w:hint="eastAsia"/>
          <w:color w:val="auto"/>
          <w:shd w:val="clear" w:color="auto" w:fill="auto"/>
        </w:rPr>
        <w:t>抓斗固定吊作为装卸设备</w:t>
      </w:r>
      <w:r>
        <w:rPr>
          <w:rFonts w:hint="eastAsia"/>
          <w:color w:val="auto"/>
          <w:shd w:val="clear" w:color="auto" w:fill="auto"/>
          <w:lang w:val="en-US" w:eastAsia="zh-CN"/>
        </w:rPr>
        <w:t>，每泊位落料处设置1台雾炮机进行喷雾抑尘，根据类比，抑尘效率约为90%。</w:t>
      </w:r>
    </w:p>
    <w:p>
      <w:pPr>
        <w:rPr>
          <w:rFonts w:hint="eastAsia" w:eastAsia="宋体"/>
          <w:color w:val="auto"/>
          <w:shd w:val="clear" w:color="auto" w:fill="auto"/>
          <w:lang w:val="en-US" w:eastAsia="zh-CN"/>
        </w:rPr>
      </w:pPr>
      <w:r>
        <w:rPr>
          <w:rFonts w:hint="eastAsia"/>
          <w:color w:val="auto"/>
          <w:shd w:val="clear" w:color="auto" w:fill="auto"/>
          <w:lang w:val="en-US" w:eastAsia="zh-CN"/>
        </w:rPr>
        <w:t>本项目不设露天散货堆场。</w:t>
      </w:r>
    </w:p>
    <w:p>
      <w:pPr>
        <w:pStyle w:val="2"/>
        <w:ind w:firstLine="480"/>
        <w:rPr>
          <w:color w:val="auto"/>
          <w:szCs w:val="21"/>
          <w:shd w:val="clear" w:color="auto" w:fill="auto"/>
        </w:rPr>
      </w:pPr>
      <w:r>
        <w:rPr>
          <w:rFonts w:hint="eastAsia"/>
          <w:color w:val="auto"/>
          <w:szCs w:val="21"/>
          <w:shd w:val="clear" w:color="auto" w:fill="auto"/>
        </w:rPr>
        <w:t>按照上述公式计算</w:t>
      </w:r>
      <w:r>
        <w:rPr>
          <w:rFonts w:hint="eastAsia"/>
          <w:color w:val="auto"/>
          <w:szCs w:val="21"/>
          <w:shd w:val="clear" w:color="auto" w:fill="auto"/>
          <w:lang w:eastAsia="zh-CN"/>
        </w:rPr>
        <w:t>，</w:t>
      </w:r>
      <w:r>
        <w:rPr>
          <w:rFonts w:hint="eastAsia"/>
          <w:color w:val="auto"/>
          <w:szCs w:val="21"/>
          <w:shd w:val="clear" w:color="auto" w:fill="auto"/>
        </w:rPr>
        <w:t>本项目码头、</w:t>
      </w:r>
      <w:r>
        <w:rPr>
          <w:rFonts w:hint="eastAsia"/>
          <w:color w:val="auto"/>
          <w:szCs w:val="21"/>
          <w:shd w:val="clear" w:color="auto" w:fill="auto"/>
          <w:lang w:val="en-US" w:eastAsia="zh-CN"/>
        </w:rPr>
        <w:t>散货仓库</w:t>
      </w:r>
      <w:r>
        <w:rPr>
          <w:rFonts w:hint="eastAsia"/>
          <w:color w:val="auto"/>
          <w:szCs w:val="21"/>
          <w:shd w:val="clear" w:color="auto" w:fill="auto"/>
        </w:rPr>
        <w:t>装卸作业起尘情况见表</w:t>
      </w:r>
      <w:r>
        <w:rPr>
          <w:rFonts w:hint="eastAsia"/>
          <w:color w:val="auto"/>
          <w:szCs w:val="21"/>
          <w:shd w:val="clear" w:color="auto" w:fill="auto"/>
          <w:lang w:val="en-US" w:eastAsia="zh-CN"/>
        </w:rPr>
        <w:t>2</w:t>
      </w:r>
      <w:r>
        <w:rPr>
          <w:rFonts w:hint="eastAsia"/>
          <w:color w:val="auto"/>
          <w:szCs w:val="21"/>
          <w:shd w:val="clear" w:color="auto" w:fill="auto"/>
        </w:rPr>
        <w:t>.2-</w:t>
      </w:r>
      <w:r>
        <w:rPr>
          <w:rFonts w:hint="eastAsia"/>
          <w:color w:val="auto"/>
          <w:szCs w:val="21"/>
          <w:shd w:val="clear" w:color="auto" w:fill="auto"/>
          <w:lang w:val="en-US" w:eastAsia="zh-CN"/>
        </w:rPr>
        <w:t>11</w:t>
      </w:r>
      <w:r>
        <w:rPr>
          <w:rFonts w:hint="eastAsia"/>
          <w:color w:val="auto"/>
          <w:szCs w:val="21"/>
          <w:shd w:val="clear" w:color="auto" w:fill="auto"/>
        </w:rPr>
        <w:t>：</w:t>
      </w:r>
    </w:p>
    <w:p>
      <w:pPr>
        <w:pStyle w:val="42"/>
        <w:spacing w:line="360" w:lineRule="auto"/>
        <w:ind w:firstLine="0" w:firstLineChars="0"/>
        <w:jc w:val="center"/>
        <w:rPr>
          <w:rFonts w:hint="eastAsia" w:ascii="Times New Roman" w:hAnsi="Times New Roman" w:eastAsia="黑体" w:cs="Times New Roman"/>
          <w:color w:val="auto"/>
          <w:kern w:val="2"/>
          <w:sz w:val="21"/>
          <w:szCs w:val="21"/>
          <w:shd w:val="clear" w:color="auto" w:fill="auto"/>
          <w:lang w:val="en-US" w:eastAsia="zh-CN" w:bidi="ar-SA"/>
        </w:rPr>
      </w:pPr>
      <w:r>
        <w:rPr>
          <w:rFonts w:hint="eastAsia" w:ascii="Times New Roman" w:hAnsi="Times New Roman" w:eastAsia="黑体" w:cs="Times New Roman"/>
          <w:color w:val="auto"/>
          <w:kern w:val="2"/>
          <w:sz w:val="21"/>
          <w:szCs w:val="21"/>
          <w:shd w:val="clear" w:color="auto" w:fill="auto"/>
          <w:lang w:val="en-US" w:eastAsia="zh-CN" w:bidi="ar-SA"/>
        </w:rPr>
        <w:t>表2.2-11 本项目装卸作业起尘情况（以</w:t>
      </w:r>
      <w:r>
        <w:rPr>
          <w:rFonts w:hint="eastAsia" w:eastAsia="黑体" w:cs="Times New Roman"/>
          <w:color w:val="auto"/>
          <w:kern w:val="2"/>
          <w:sz w:val="21"/>
          <w:szCs w:val="21"/>
          <w:shd w:val="clear" w:color="auto" w:fill="auto"/>
          <w:lang w:val="en-US" w:eastAsia="zh-CN" w:bidi="ar-SA"/>
        </w:rPr>
        <w:t>TSP</w:t>
      </w:r>
      <w:r>
        <w:rPr>
          <w:rFonts w:hint="eastAsia" w:ascii="Times New Roman" w:hAnsi="Times New Roman" w:eastAsia="黑体" w:cs="Times New Roman"/>
          <w:color w:val="auto"/>
          <w:kern w:val="2"/>
          <w:sz w:val="21"/>
          <w:szCs w:val="21"/>
          <w:shd w:val="clear" w:color="auto" w:fill="auto"/>
          <w:lang w:val="en-US" w:eastAsia="zh-CN" w:bidi="ar-SA"/>
        </w:rPr>
        <w:t>计）</w:t>
      </w:r>
    </w:p>
    <w:tbl>
      <w:tblPr>
        <w:tblStyle w:val="2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4"/>
        <w:gridCol w:w="1704"/>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1704"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作业类型</w:t>
            </w:r>
          </w:p>
        </w:tc>
        <w:tc>
          <w:tcPr>
            <w:tcW w:w="1704"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作业货种</w:t>
            </w:r>
          </w:p>
        </w:tc>
        <w:tc>
          <w:tcPr>
            <w:tcW w:w="1704"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防尘措施</w:t>
            </w:r>
          </w:p>
        </w:tc>
        <w:tc>
          <w:tcPr>
            <w:tcW w:w="1705" w:type="dxa"/>
            <w:vAlign w:val="center"/>
          </w:tcPr>
          <w:p>
            <w:pPr>
              <w:pStyle w:val="46"/>
              <w:spacing w:line="240" w:lineRule="auto"/>
              <w:ind w:firstLine="0" w:firstLineChars="0"/>
              <w:jc w:val="center"/>
              <w:rPr>
                <w:rFonts w:hint="eastAsia" w:eastAsia="宋体" w:cs="Times New Roman"/>
                <w:color w:val="auto"/>
                <w:sz w:val="21"/>
                <w:shd w:val="clear" w:color="auto" w:fill="auto"/>
                <w:lang w:eastAsia="zh-CN"/>
              </w:rPr>
            </w:pPr>
            <w:r>
              <w:rPr>
                <w:rFonts w:hint="eastAsia" w:cs="Times New Roman"/>
                <w:color w:val="auto"/>
                <w:sz w:val="21"/>
                <w:shd w:val="clear" w:color="auto" w:fill="auto"/>
              </w:rPr>
              <w:t>产生量</w:t>
            </w:r>
            <w:r>
              <w:rPr>
                <w:rFonts w:hint="eastAsia" w:cs="Times New Roman"/>
                <w:color w:val="auto"/>
                <w:sz w:val="21"/>
                <w:shd w:val="clear" w:color="auto" w:fill="auto"/>
                <w:lang w:eastAsia="zh-CN"/>
              </w:rPr>
              <w:t>（</w:t>
            </w:r>
            <w:r>
              <w:rPr>
                <w:rFonts w:hint="eastAsia" w:ascii="Times New Roman" w:hAnsi="Times New Roman" w:eastAsia="黑体" w:cs="Times New Roman"/>
                <w:color w:val="auto"/>
                <w:kern w:val="2"/>
                <w:sz w:val="24"/>
                <w:szCs w:val="24"/>
                <w:shd w:val="clear" w:color="auto" w:fill="auto"/>
                <w:lang w:val="en-US" w:eastAsia="zh-CN" w:bidi="ar-SA"/>
              </w:rPr>
              <w:t>t/a</w:t>
            </w:r>
            <w:r>
              <w:rPr>
                <w:rFonts w:hint="eastAsia" w:cs="Times New Roman"/>
                <w:color w:val="auto"/>
                <w:sz w:val="21"/>
                <w:shd w:val="clear" w:color="auto" w:fill="auto"/>
                <w:lang w:eastAsia="zh-CN"/>
              </w:rPr>
              <w:t>）</w:t>
            </w:r>
          </w:p>
        </w:tc>
        <w:tc>
          <w:tcPr>
            <w:tcW w:w="1705" w:type="dxa"/>
            <w:vAlign w:val="center"/>
          </w:tcPr>
          <w:p>
            <w:pPr>
              <w:pStyle w:val="46"/>
              <w:spacing w:line="240" w:lineRule="auto"/>
              <w:ind w:firstLine="0" w:firstLineChars="0"/>
              <w:jc w:val="center"/>
              <w:rPr>
                <w:rFonts w:hint="eastAsia" w:eastAsia="宋体" w:cs="Times New Roman"/>
                <w:color w:val="auto"/>
                <w:sz w:val="21"/>
                <w:shd w:val="clear" w:color="auto" w:fill="auto"/>
                <w:lang w:eastAsia="zh-CN"/>
              </w:rPr>
            </w:pPr>
            <w:r>
              <w:rPr>
                <w:rFonts w:hint="eastAsia" w:cs="Times New Roman"/>
                <w:color w:val="auto"/>
                <w:sz w:val="21"/>
                <w:shd w:val="clear" w:color="auto" w:fill="auto"/>
              </w:rPr>
              <w:t>排放量</w:t>
            </w:r>
            <w:r>
              <w:rPr>
                <w:rFonts w:hint="eastAsia" w:cs="Times New Roman"/>
                <w:color w:val="auto"/>
                <w:sz w:val="21"/>
                <w:shd w:val="clear" w:color="auto" w:fill="auto"/>
                <w:lang w:eastAsia="zh-CN"/>
              </w:rPr>
              <w:t>（</w:t>
            </w:r>
            <w:r>
              <w:rPr>
                <w:rFonts w:hint="eastAsia" w:ascii="Times New Roman" w:hAnsi="Times New Roman" w:eastAsia="黑体" w:cs="Times New Roman"/>
                <w:color w:val="auto"/>
                <w:kern w:val="2"/>
                <w:sz w:val="24"/>
                <w:szCs w:val="24"/>
                <w:shd w:val="clear" w:color="auto" w:fill="auto"/>
                <w:lang w:val="en-US" w:eastAsia="zh-CN" w:bidi="ar-SA"/>
              </w:rPr>
              <w:t>t/a</w:t>
            </w:r>
            <w:r>
              <w:rPr>
                <w:rFonts w:hint="eastAsia" w:cs="Times New Roman"/>
                <w:color w:val="auto"/>
                <w:sz w:val="21"/>
                <w:shd w:val="clear" w:color="auto" w:fil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4"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码头（</w:t>
            </w:r>
            <w:r>
              <w:rPr>
                <w:rFonts w:hint="eastAsia" w:cs="Times New Roman"/>
                <w:color w:val="auto"/>
                <w:sz w:val="21"/>
                <w:shd w:val="clear" w:color="auto" w:fill="auto"/>
                <w:lang w:val="en-US" w:eastAsia="zh-CN"/>
              </w:rPr>
              <w:t>取料</w:t>
            </w:r>
            <w:r>
              <w:rPr>
                <w:rFonts w:hint="eastAsia" w:cs="Times New Roman"/>
                <w:color w:val="auto"/>
                <w:sz w:val="21"/>
                <w:shd w:val="clear" w:color="auto" w:fill="auto"/>
              </w:rPr>
              <w:t>）</w:t>
            </w:r>
          </w:p>
        </w:tc>
        <w:tc>
          <w:tcPr>
            <w:tcW w:w="1704"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矿建材料</w:t>
            </w:r>
          </w:p>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w:t>
            </w:r>
            <w:r>
              <w:rPr>
                <w:rFonts w:hint="eastAsia" w:cs="Times New Roman"/>
                <w:color w:val="auto"/>
                <w:sz w:val="21"/>
                <w:shd w:val="clear" w:color="auto" w:fill="auto"/>
                <w:lang w:eastAsia="zh-CN"/>
              </w:rPr>
              <w:t>150</w:t>
            </w:r>
            <w:r>
              <w:rPr>
                <w:rFonts w:hint="eastAsia" w:cs="Times New Roman"/>
                <w:color w:val="auto"/>
                <w:sz w:val="21"/>
                <w:shd w:val="clear" w:color="auto" w:fill="auto"/>
              </w:rPr>
              <w:t>万t/a）</w:t>
            </w:r>
          </w:p>
        </w:tc>
        <w:tc>
          <w:tcPr>
            <w:tcW w:w="1704" w:type="dxa"/>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hd w:val="clear" w:color="auto" w:fill="auto"/>
              </w:rPr>
              <w:t>喷雾抑尘装置</w:t>
            </w:r>
          </w:p>
        </w:tc>
        <w:tc>
          <w:tcPr>
            <w:tcW w:w="1705" w:type="dxa"/>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18.25</w:t>
            </w:r>
          </w:p>
        </w:tc>
        <w:tc>
          <w:tcPr>
            <w:tcW w:w="1705" w:type="dxa"/>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1.825</w:t>
            </w:r>
          </w:p>
        </w:tc>
      </w:tr>
    </w:tbl>
    <w:p>
      <w:pPr>
        <w:rPr>
          <w:rFonts w:hint="eastAsia"/>
          <w:b/>
          <w:bCs/>
          <w:color w:val="auto"/>
          <w:shd w:val="clear" w:color="auto" w:fill="auto"/>
          <w:lang w:val="en-US" w:eastAsia="zh-CN"/>
        </w:rPr>
      </w:pPr>
      <w:r>
        <w:rPr>
          <w:rFonts w:hint="eastAsia"/>
          <w:b/>
          <w:bCs/>
          <w:color w:val="auto"/>
          <w:shd w:val="clear" w:color="auto" w:fill="auto"/>
          <w:lang w:val="en-US" w:eastAsia="zh-CN"/>
        </w:rPr>
        <w:t>4、码头道路扬尘</w:t>
      </w:r>
    </w:p>
    <w:p>
      <w:pPr>
        <w:jc w:val="left"/>
        <w:rPr>
          <w:rFonts w:hint="eastAsia"/>
          <w:color w:val="auto"/>
          <w:szCs w:val="21"/>
          <w:shd w:val="clear" w:color="auto" w:fill="auto"/>
        </w:rPr>
      </w:pPr>
      <w:r>
        <w:rPr>
          <w:rFonts w:hint="eastAsia"/>
          <w:color w:val="auto"/>
          <w:szCs w:val="21"/>
          <w:shd w:val="clear" w:color="auto" w:fill="auto"/>
        </w:rPr>
        <w:t>本项目水平运输采用自卸汽车等运输车辆，其运输过程将产生汽车道路扬尘污染。</w:t>
      </w:r>
      <w:r>
        <w:rPr>
          <w:rFonts w:hint="eastAsia"/>
          <w:color w:val="auto"/>
          <w:szCs w:val="21"/>
          <w:shd w:val="clear" w:color="auto" w:fill="auto"/>
          <w:lang w:val="en-US" w:eastAsia="zh-CN"/>
        </w:rPr>
        <w:t>道路</w:t>
      </w:r>
      <w:r>
        <w:rPr>
          <w:rFonts w:hint="eastAsia"/>
          <w:color w:val="auto"/>
          <w:szCs w:val="21"/>
          <w:shd w:val="clear" w:color="auto" w:fill="auto"/>
        </w:rPr>
        <w:t>扬尘量与汽车速度、汽车载重量、道路表面积尘量有直接关系。</w:t>
      </w:r>
    </w:p>
    <w:p>
      <w:pPr>
        <w:jc w:val="left"/>
        <w:rPr>
          <w:rFonts w:hint="eastAsia"/>
          <w:color w:val="auto"/>
          <w:szCs w:val="21"/>
          <w:shd w:val="clear" w:color="auto" w:fill="auto"/>
        </w:rPr>
      </w:pPr>
      <w:r>
        <w:rPr>
          <w:rFonts w:hint="eastAsia"/>
          <w:color w:val="auto"/>
          <w:szCs w:val="21"/>
          <w:shd w:val="clear" w:color="auto" w:fill="auto"/>
        </w:rPr>
        <w:t>本工程营运期港区设计的吞吐量为</w:t>
      </w:r>
      <w:r>
        <w:rPr>
          <w:rFonts w:hint="eastAsia"/>
          <w:color w:val="auto"/>
          <w:szCs w:val="21"/>
          <w:shd w:val="clear" w:color="auto" w:fill="auto"/>
          <w:lang w:val="en-US" w:eastAsia="zh-CN"/>
        </w:rPr>
        <w:t>150</w:t>
      </w:r>
      <w:r>
        <w:rPr>
          <w:rFonts w:hint="eastAsia"/>
          <w:color w:val="auto"/>
          <w:szCs w:val="21"/>
          <w:shd w:val="clear" w:color="auto" w:fill="auto"/>
        </w:rPr>
        <w:t>万吨/年，经测算日均车流量约为</w:t>
      </w:r>
      <w:r>
        <w:rPr>
          <w:rFonts w:hint="eastAsia"/>
          <w:color w:val="auto"/>
          <w:szCs w:val="21"/>
          <w:shd w:val="clear" w:color="auto" w:fill="auto"/>
          <w:lang w:val="en-US" w:eastAsia="zh-CN"/>
        </w:rPr>
        <w:t>157</w:t>
      </w:r>
      <w:r>
        <w:rPr>
          <w:rFonts w:hint="eastAsia"/>
          <w:color w:val="auto"/>
          <w:szCs w:val="21"/>
          <w:shd w:val="clear" w:color="auto" w:fill="auto"/>
        </w:rPr>
        <w:t>辆/d（码头的年运营天数</w:t>
      </w:r>
      <w:r>
        <w:rPr>
          <w:rFonts w:hint="eastAsia"/>
          <w:color w:val="auto"/>
          <w:szCs w:val="21"/>
          <w:shd w:val="clear" w:color="auto" w:fill="auto"/>
          <w:lang w:val="en-US" w:eastAsia="zh-CN"/>
        </w:rPr>
        <w:t>320</w:t>
      </w:r>
      <w:r>
        <w:rPr>
          <w:rFonts w:hint="eastAsia"/>
          <w:color w:val="auto"/>
          <w:szCs w:val="21"/>
          <w:shd w:val="clear" w:color="auto" w:fill="auto"/>
        </w:rPr>
        <w:t>天/年）。根据交通部《港口建设项目环境影响评价规范》（JTS105-1-2011）推荐的经验公式，港区道路扬尘量按下式测算：</w:t>
      </w:r>
    </w:p>
    <w:p>
      <w:pPr>
        <w:ind w:firstLine="1080" w:firstLineChars="450"/>
        <w:jc w:val="left"/>
        <w:rPr>
          <w:rFonts w:hint="eastAsia"/>
          <w:color w:val="auto"/>
          <w:szCs w:val="21"/>
          <w:shd w:val="clear" w:color="auto" w:fill="auto"/>
        </w:rPr>
      </w:pPr>
      <w:r>
        <w:rPr>
          <w:rFonts w:hint="eastAsia"/>
          <w:color w:val="auto"/>
          <w:szCs w:val="21"/>
          <w:shd w:val="clear" w:color="auto" w:fill="auto"/>
        </w:rPr>
        <w:t>Q</w:t>
      </w:r>
      <w:r>
        <w:rPr>
          <w:rFonts w:hint="eastAsia"/>
          <w:color w:val="auto"/>
          <w:szCs w:val="21"/>
          <w:shd w:val="clear" w:color="auto" w:fill="auto"/>
          <w:vertAlign w:val="subscript"/>
        </w:rPr>
        <w:t>3</w:t>
      </w:r>
      <w:r>
        <w:rPr>
          <w:rFonts w:hint="eastAsia"/>
          <w:color w:val="auto"/>
          <w:szCs w:val="21"/>
          <w:shd w:val="clear" w:color="auto" w:fill="auto"/>
        </w:rPr>
        <w:t>=0.123×（V/5）×（W/6.8）0.65×（P/0.05）0.72</w:t>
      </w:r>
    </w:p>
    <w:p>
      <w:pPr>
        <w:ind w:firstLine="1080" w:firstLineChars="450"/>
        <w:jc w:val="left"/>
        <w:rPr>
          <w:rFonts w:hint="eastAsia"/>
          <w:color w:val="auto"/>
          <w:szCs w:val="21"/>
          <w:shd w:val="clear" w:color="auto" w:fill="auto"/>
        </w:rPr>
      </w:pPr>
      <w:r>
        <w:rPr>
          <w:rFonts w:hint="eastAsia"/>
          <w:color w:val="auto"/>
          <w:szCs w:val="21"/>
          <w:shd w:val="clear" w:color="auto" w:fill="auto"/>
        </w:rPr>
        <w:t>式中：Q</w:t>
      </w:r>
      <w:r>
        <w:rPr>
          <w:rFonts w:hint="eastAsia"/>
          <w:color w:val="auto"/>
          <w:szCs w:val="21"/>
          <w:shd w:val="clear" w:color="auto" w:fill="auto"/>
          <w:vertAlign w:val="subscript"/>
        </w:rPr>
        <w:t>3</w:t>
      </w:r>
      <w:r>
        <w:rPr>
          <w:rFonts w:hint="eastAsia"/>
          <w:color w:val="auto"/>
          <w:szCs w:val="21"/>
          <w:shd w:val="clear" w:color="auto" w:fill="auto"/>
        </w:rPr>
        <w:t>——汽车扬尘量(kg/</w:t>
      </w:r>
      <w:r>
        <w:rPr>
          <w:rFonts w:hint="eastAsia"/>
          <w:color w:val="auto"/>
          <w:szCs w:val="21"/>
          <w:shd w:val="clear" w:color="auto" w:fill="auto"/>
          <w:lang w:eastAsia="zh-CN"/>
        </w:rPr>
        <w:t>km</w:t>
      </w:r>
      <w:r>
        <w:rPr>
          <w:rFonts w:hint="eastAsia"/>
          <w:color w:val="auto"/>
          <w:szCs w:val="21"/>
          <w:shd w:val="clear" w:color="auto" w:fill="auto"/>
        </w:rPr>
        <w:t>·辆)；</w:t>
      </w:r>
    </w:p>
    <w:p>
      <w:pPr>
        <w:ind w:firstLine="1080" w:firstLineChars="450"/>
        <w:jc w:val="left"/>
        <w:rPr>
          <w:rFonts w:hint="eastAsia"/>
          <w:color w:val="auto"/>
          <w:szCs w:val="21"/>
          <w:shd w:val="clear" w:color="auto" w:fill="auto"/>
        </w:rPr>
      </w:pPr>
      <w:r>
        <w:rPr>
          <w:rFonts w:hint="eastAsia"/>
          <w:color w:val="auto"/>
          <w:szCs w:val="21"/>
          <w:shd w:val="clear" w:color="auto" w:fill="auto"/>
        </w:rPr>
        <w:t>V ——汽车速度(</w:t>
      </w:r>
      <w:r>
        <w:rPr>
          <w:rFonts w:hint="eastAsia"/>
          <w:color w:val="auto"/>
          <w:szCs w:val="21"/>
          <w:shd w:val="clear" w:color="auto" w:fill="auto"/>
          <w:lang w:eastAsia="zh-CN"/>
        </w:rPr>
        <w:t>km</w:t>
      </w:r>
      <w:r>
        <w:rPr>
          <w:rFonts w:hint="eastAsia"/>
          <w:color w:val="auto"/>
          <w:szCs w:val="21"/>
          <w:shd w:val="clear" w:color="auto" w:fill="auto"/>
        </w:rPr>
        <w:t>/h)，9</w:t>
      </w:r>
      <w:r>
        <w:rPr>
          <w:rFonts w:hint="eastAsia"/>
          <w:color w:val="auto"/>
          <w:szCs w:val="21"/>
          <w:shd w:val="clear" w:color="auto" w:fill="auto"/>
          <w:lang w:eastAsia="zh-CN"/>
        </w:rPr>
        <w:t>km</w:t>
      </w:r>
      <w:r>
        <w:rPr>
          <w:rFonts w:hint="eastAsia"/>
          <w:color w:val="auto"/>
          <w:szCs w:val="21"/>
          <w:shd w:val="clear" w:color="auto" w:fill="auto"/>
        </w:rPr>
        <w:t>/h；</w:t>
      </w:r>
    </w:p>
    <w:p>
      <w:pPr>
        <w:ind w:firstLine="1080" w:firstLineChars="450"/>
        <w:jc w:val="left"/>
        <w:rPr>
          <w:rFonts w:hint="eastAsia"/>
          <w:color w:val="auto"/>
          <w:szCs w:val="21"/>
          <w:shd w:val="clear" w:color="auto" w:fill="auto"/>
        </w:rPr>
      </w:pPr>
      <w:r>
        <w:rPr>
          <w:rFonts w:hint="eastAsia"/>
          <w:color w:val="auto"/>
          <w:szCs w:val="21"/>
          <w:shd w:val="clear" w:color="auto" w:fill="auto"/>
        </w:rPr>
        <w:t>W ——汽车平均载重量(t/辆)，30t/辆；</w:t>
      </w:r>
    </w:p>
    <w:p>
      <w:pPr>
        <w:ind w:firstLine="1080" w:firstLineChars="450"/>
        <w:jc w:val="left"/>
        <w:rPr>
          <w:rFonts w:hint="eastAsia"/>
          <w:color w:val="auto"/>
          <w:szCs w:val="21"/>
          <w:shd w:val="clear" w:color="auto" w:fill="auto"/>
        </w:rPr>
      </w:pPr>
      <w:r>
        <w:rPr>
          <w:rFonts w:hint="eastAsia"/>
          <w:color w:val="auto"/>
          <w:szCs w:val="21"/>
          <w:shd w:val="clear" w:color="auto" w:fill="auto"/>
        </w:rPr>
        <w:t>P ——道路表面积尘量(kg/</w:t>
      </w:r>
      <w:r>
        <w:rPr>
          <w:rFonts w:hint="eastAsia"/>
          <w:color w:val="auto"/>
          <w:szCs w:val="21"/>
          <w:shd w:val="clear" w:color="auto" w:fill="auto"/>
          <w:vertAlign w:val="baseline"/>
          <w:lang w:eastAsia="zh-CN"/>
        </w:rPr>
        <w:t>m</w:t>
      </w:r>
      <w:r>
        <w:rPr>
          <w:rFonts w:hint="eastAsia"/>
          <w:color w:val="auto"/>
          <w:szCs w:val="21"/>
          <w:shd w:val="clear" w:color="auto" w:fill="auto"/>
          <w:vertAlign w:val="superscript"/>
          <w:lang w:eastAsia="zh-CN"/>
        </w:rPr>
        <w:t>2</w:t>
      </w:r>
      <w:r>
        <w:rPr>
          <w:rFonts w:hint="eastAsia"/>
          <w:color w:val="auto"/>
          <w:szCs w:val="21"/>
          <w:shd w:val="clear" w:color="auto" w:fill="auto"/>
        </w:rPr>
        <w:t>)，与是否洒水有关，分别取0.01kg/</w:t>
      </w:r>
      <w:r>
        <w:rPr>
          <w:rFonts w:hint="eastAsia"/>
          <w:color w:val="auto"/>
          <w:szCs w:val="21"/>
          <w:shd w:val="clear" w:color="auto" w:fill="auto"/>
          <w:vertAlign w:val="baseline"/>
          <w:lang w:eastAsia="zh-CN"/>
        </w:rPr>
        <w:t>m</w:t>
      </w:r>
      <w:r>
        <w:rPr>
          <w:rFonts w:hint="eastAsia"/>
          <w:color w:val="auto"/>
          <w:szCs w:val="21"/>
          <w:shd w:val="clear" w:color="auto" w:fill="auto"/>
          <w:vertAlign w:val="superscript"/>
          <w:lang w:eastAsia="zh-CN"/>
        </w:rPr>
        <w:t>2</w:t>
      </w:r>
      <w:r>
        <w:rPr>
          <w:rFonts w:hint="eastAsia"/>
          <w:color w:val="auto"/>
          <w:szCs w:val="21"/>
          <w:shd w:val="clear" w:color="auto" w:fill="auto"/>
        </w:rPr>
        <w:t>和0.001kg/</w:t>
      </w:r>
      <w:r>
        <w:rPr>
          <w:rFonts w:hint="eastAsia"/>
          <w:color w:val="auto"/>
          <w:szCs w:val="21"/>
          <w:shd w:val="clear" w:color="auto" w:fill="auto"/>
          <w:vertAlign w:val="baseline"/>
          <w:lang w:eastAsia="zh-CN"/>
        </w:rPr>
        <w:t>m</w:t>
      </w:r>
      <w:r>
        <w:rPr>
          <w:rFonts w:hint="eastAsia"/>
          <w:color w:val="auto"/>
          <w:szCs w:val="21"/>
          <w:shd w:val="clear" w:color="auto" w:fill="auto"/>
          <w:vertAlign w:val="superscript"/>
          <w:lang w:eastAsia="zh-CN"/>
        </w:rPr>
        <w:t>2</w:t>
      </w:r>
      <w:r>
        <w:rPr>
          <w:rFonts w:hint="eastAsia"/>
          <w:color w:val="auto"/>
          <w:szCs w:val="21"/>
          <w:shd w:val="clear" w:color="auto" w:fill="auto"/>
        </w:rPr>
        <w:t>。</w:t>
      </w:r>
    </w:p>
    <w:p>
      <w:pPr>
        <w:jc w:val="left"/>
        <w:rPr>
          <w:rFonts w:hint="eastAsia"/>
          <w:color w:val="auto"/>
          <w:szCs w:val="21"/>
          <w:shd w:val="clear" w:color="auto" w:fill="auto"/>
        </w:rPr>
      </w:pPr>
      <w:r>
        <w:rPr>
          <w:rFonts w:hint="eastAsia"/>
          <w:color w:val="auto"/>
          <w:szCs w:val="21"/>
          <w:shd w:val="clear" w:color="auto" w:fill="auto"/>
        </w:rPr>
        <w:t>按车辆在港区内平均行驶距离0.6</w:t>
      </w:r>
      <w:r>
        <w:rPr>
          <w:rFonts w:hint="eastAsia"/>
          <w:color w:val="auto"/>
          <w:szCs w:val="21"/>
          <w:shd w:val="clear" w:color="auto" w:fill="auto"/>
          <w:lang w:eastAsia="zh-CN"/>
        </w:rPr>
        <w:t>km</w:t>
      </w:r>
      <w:r>
        <w:rPr>
          <w:rFonts w:hint="eastAsia"/>
          <w:color w:val="auto"/>
          <w:szCs w:val="21"/>
          <w:shd w:val="clear" w:color="auto" w:fill="auto"/>
        </w:rPr>
        <w:t>计算，本项目采取洒水措施前后道路扬尘量分别0.</w:t>
      </w:r>
      <w:r>
        <w:rPr>
          <w:rFonts w:hint="eastAsia"/>
          <w:color w:val="auto"/>
          <w:szCs w:val="21"/>
          <w:shd w:val="clear" w:color="auto" w:fill="auto"/>
          <w:lang w:val="en-US" w:eastAsia="zh-CN"/>
        </w:rPr>
        <w:t>09</w:t>
      </w:r>
      <w:r>
        <w:rPr>
          <w:rFonts w:hint="eastAsia"/>
          <w:color w:val="auto"/>
          <w:szCs w:val="21"/>
          <w:shd w:val="clear" w:color="auto" w:fill="auto"/>
        </w:rPr>
        <w:t>kg/</w:t>
      </w:r>
      <w:r>
        <w:rPr>
          <w:rFonts w:hint="eastAsia"/>
          <w:color w:val="auto"/>
          <w:szCs w:val="21"/>
          <w:shd w:val="clear" w:color="auto" w:fill="auto"/>
          <w:lang w:eastAsia="zh-CN"/>
        </w:rPr>
        <w:t>km</w:t>
      </w:r>
      <w:r>
        <w:rPr>
          <w:rFonts w:hint="eastAsia"/>
          <w:color w:val="auto"/>
          <w:szCs w:val="21"/>
          <w:shd w:val="clear" w:color="auto" w:fill="auto"/>
        </w:rPr>
        <w:t>•辆、0.00</w:t>
      </w:r>
      <w:r>
        <w:rPr>
          <w:rFonts w:hint="eastAsia"/>
          <w:color w:val="auto"/>
          <w:szCs w:val="21"/>
          <w:shd w:val="clear" w:color="auto" w:fill="auto"/>
          <w:lang w:val="en-US" w:eastAsia="zh-CN"/>
        </w:rPr>
        <w:t>9</w:t>
      </w:r>
      <w:r>
        <w:rPr>
          <w:rFonts w:hint="eastAsia"/>
          <w:color w:val="auto"/>
          <w:szCs w:val="21"/>
          <w:shd w:val="clear" w:color="auto" w:fill="auto"/>
        </w:rPr>
        <w:t>kg/</w:t>
      </w:r>
      <w:r>
        <w:rPr>
          <w:rFonts w:hint="eastAsia"/>
          <w:color w:val="auto"/>
          <w:szCs w:val="21"/>
          <w:shd w:val="clear" w:color="auto" w:fill="auto"/>
          <w:lang w:eastAsia="zh-CN"/>
        </w:rPr>
        <w:t>km</w:t>
      </w:r>
      <w:r>
        <w:rPr>
          <w:rFonts w:hint="eastAsia"/>
          <w:color w:val="auto"/>
          <w:szCs w:val="21"/>
          <w:shd w:val="clear" w:color="auto" w:fill="auto"/>
        </w:rPr>
        <w:t>•辆，故洒水前后码头道路扬尘产生量分别为</w:t>
      </w:r>
      <w:r>
        <w:rPr>
          <w:rFonts w:hint="eastAsia"/>
          <w:color w:val="auto"/>
          <w:szCs w:val="21"/>
          <w:shd w:val="clear" w:color="auto" w:fill="auto"/>
          <w:lang w:val="en-US" w:eastAsia="zh-CN"/>
        </w:rPr>
        <w:t>8.48</w:t>
      </w:r>
      <w:r>
        <w:rPr>
          <w:rFonts w:hint="eastAsia"/>
          <w:color w:val="auto"/>
          <w:szCs w:val="21"/>
          <w:shd w:val="clear" w:color="auto" w:fill="auto"/>
        </w:rPr>
        <w:t>kg/d和</w:t>
      </w:r>
      <w:r>
        <w:rPr>
          <w:rFonts w:hint="eastAsia"/>
          <w:color w:val="auto"/>
          <w:szCs w:val="21"/>
          <w:shd w:val="clear" w:color="auto" w:fill="auto"/>
          <w:lang w:val="en-US" w:eastAsia="zh-CN"/>
        </w:rPr>
        <w:t>0.85</w:t>
      </w:r>
      <w:r>
        <w:rPr>
          <w:rFonts w:hint="eastAsia"/>
          <w:color w:val="auto"/>
          <w:szCs w:val="21"/>
          <w:shd w:val="clear" w:color="auto" w:fill="auto"/>
        </w:rPr>
        <w:t>kg/d；全年产生量分别为</w:t>
      </w:r>
      <w:r>
        <w:rPr>
          <w:rFonts w:hint="eastAsia"/>
          <w:color w:val="auto"/>
          <w:szCs w:val="21"/>
          <w:shd w:val="clear" w:color="auto" w:fill="auto"/>
          <w:lang w:val="en-US" w:eastAsia="zh-CN"/>
        </w:rPr>
        <w:t>2.714</w:t>
      </w:r>
      <w:r>
        <w:rPr>
          <w:rFonts w:hint="eastAsia"/>
          <w:color w:val="auto"/>
          <w:szCs w:val="21"/>
          <w:shd w:val="clear" w:color="auto" w:fill="auto"/>
        </w:rPr>
        <w:t>t/a和0.</w:t>
      </w:r>
      <w:r>
        <w:rPr>
          <w:rFonts w:hint="eastAsia"/>
          <w:color w:val="auto"/>
          <w:szCs w:val="21"/>
          <w:shd w:val="clear" w:color="auto" w:fill="auto"/>
          <w:lang w:val="en-US" w:eastAsia="zh-CN"/>
        </w:rPr>
        <w:t>271</w:t>
      </w:r>
      <w:r>
        <w:rPr>
          <w:rFonts w:hint="eastAsia"/>
          <w:color w:val="auto"/>
          <w:szCs w:val="21"/>
          <w:shd w:val="clear" w:color="auto" w:fill="auto"/>
        </w:rPr>
        <w:t>t/a。</w:t>
      </w:r>
    </w:p>
    <w:p>
      <w:pPr>
        <w:rPr>
          <w:rFonts w:hint="default"/>
          <w:b/>
          <w:bCs/>
          <w:color w:val="auto"/>
          <w:shd w:val="clear" w:color="auto" w:fill="auto"/>
        </w:rPr>
      </w:pPr>
      <w:r>
        <w:rPr>
          <w:rFonts w:hint="eastAsia"/>
          <w:b/>
          <w:bCs/>
          <w:color w:val="auto"/>
          <w:shd w:val="clear" w:color="auto" w:fill="auto"/>
          <w:lang w:val="en-US" w:eastAsia="zh-CN"/>
        </w:rPr>
        <w:t>5、</w:t>
      </w:r>
      <w:r>
        <w:rPr>
          <w:rFonts w:hint="default"/>
          <w:b/>
          <w:bCs/>
          <w:color w:val="auto"/>
          <w:shd w:val="clear" w:color="auto" w:fill="auto"/>
        </w:rPr>
        <w:t>大气污染物产生及排放汇总</w:t>
      </w:r>
    </w:p>
    <w:p>
      <w:pPr>
        <w:rPr>
          <w:rFonts w:hint="eastAsia" w:eastAsia="宋体"/>
          <w:color w:val="auto"/>
          <w:shd w:val="clear" w:color="auto" w:fill="auto"/>
          <w:lang w:val="en-US" w:eastAsia="zh-CN"/>
        </w:rPr>
      </w:pPr>
      <w:r>
        <w:rPr>
          <w:rFonts w:hint="default"/>
          <w:color w:val="auto"/>
          <w:shd w:val="clear" w:color="auto" w:fill="auto"/>
        </w:rPr>
        <w:t>项目大气污染物均为无组织排放，其产生及排放情况汇总详见表</w:t>
      </w:r>
      <w:r>
        <w:rPr>
          <w:rFonts w:hint="eastAsia"/>
          <w:color w:val="auto"/>
          <w:shd w:val="clear" w:color="auto" w:fill="auto"/>
          <w:lang w:val="en-US" w:eastAsia="zh-CN"/>
        </w:rPr>
        <w:t>2.2-12。</w:t>
      </w:r>
    </w:p>
    <w:p>
      <w:pPr>
        <w:pStyle w:val="42"/>
        <w:spacing w:line="360" w:lineRule="auto"/>
        <w:ind w:firstLine="0" w:firstLineChars="0"/>
        <w:jc w:val="center"/>
        <w:rPr>
          <w:rFonts w:hint="eastAsia" w:ascii="Times New Roman" w:hAnsi="Times New Roman" w:eastAsia="黑体" w:cs="Times New Roman"/>
          <w:color w:val="auto"/>
          <w:kern w:val="2"/>
          <w:sz w:val="21"/>
          <w:szCs w:val="21"/>
          <w:shd w:val="clear" w:color="auto" w:fill="auto"/>
          <w:lang w:val="en-US" w:eastAsia="zh-CN" w:bidi="ar-SA"/>
        </w:rPr>
      </w:pPr>
      <w:r>
        <w:rPr>
          <w:rFonts w:hint="eastAsia" w:ascii="Times New Roman" w:hAnsi="Times New Roman" w:eastAsia="黑体" w:cs="Times New Roman"/>
          <w:color w:val="auto"/>
          <w:kern w:val="2"/>
          <w:sz w:val="21"/>
          <w:szCs w:val="21"/>
          <w:shd w:val="clear" w:color="auto" w:fill="auto"/>
          <w:lang w:val="en-US" w:eastAsia="zh-CN" w:bidi="ar-SA"/>
        </w:rPr>
        <w:t>表2.2-12 本</w:t>
      </w:r>
      <w:r>
        <w:rPr>
          <w:rFonts w:hint="default" w:ascii="Times New Roman" w:hAnsi="Times New Roman" w:eastAsia="黑体" w:cs="Times New Roman"/>
          <w:color w:val="auto"/>
          <w:kern w:val="2"/>
          <w:sz w:val="21"/>
          <w:szCs w:val="21"/>
          <w:shd w:val="clear" w:color="auto" w:fill="auto"/>
          <w:lang w:val="en-US" w:eastAsia="zh-CN" w:bidi="ar-SA"/>
        </w:rPr>
        <w:t>项目大气污染物</w:t>
      </w:r>
      <w:r>
        <w:rPr>
          <w:rFonts w:hint="eastAsia" w:ascii="Times New Roman" w:hAnsi="Times New Roman" w:eastAsia="黑体" w:cs="Times New Roman"/>
          <w:color w:val="auto"/>
          <w:kern w:val="2"/>
          <w:sz w:val="21"/>
          <w:szCs w:val="21"/>
          <w:shd w:val="clear" w:color="auto" w:fill="auto"/>
          <w:lang w:val="en-US" w:eastAsia="zh-CN" w:bidi="ar-SA"/>
        </w:rPr>
        <w:t>产生及排放情况汇总表</w:t>
      </w:r>
    </w:p>
    <w:tbl>
      <w:tblPr>
        <w:tblStyle w:val="2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6"/>
        <w:gridCol w:w="1890"/>
        <w:gridCol w:w="1665"/>
        <w:gridCol w:w="1665"/>
        <w:gridCol w:w="16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26" w:type="dxa"/>
            <w:gridSpan w:val="2"/>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污染源名称</w:t>
            </w:r>
          </w:p>
        </w:tc>
        <w:tc>
          <w:tcPr>
            <w:tcW w:w="1665"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产生量（t/a）</w:t>
            </w:r>
          </w:p>
        </w:tc>
        <w:tc>
          <w:tcPr>
            <w:tcW w:w="1665"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治理措施</w:t>
            </w:r>
          </w:p>
        </w:tc>
        <w:tc>
          <w:tcPr>
            <w:tcW w:w="166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36" w:type="dxa"/>
            <w:vMerge w:val="restart"/>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船舶废气</w:t>
            </w:r>
          </w:p>
        </w:tc>
        <w:tc>
          <w:tcPr>
            <w:tcW w:w="1890" w:type="dxa"/>
            <w:vAlign w:val="center"/>
          </w:tcPr>
          <w:p>
            <w:pPr>
              <w:pStyle w:val="44"/>
              <w:ind w:firstLine="0" w:firstLineChars="0"/>
              <w:rPr>
                <w:rFonts w:hint="eastAsia" w:cs="Times New Roman"/>
                <w:color w:val="auto"/>
                <w:sz w:val="21"/>
                <w:shd w:val="clear" w:color="auto" w:fill="auto"/>
                <w:lang w:val="en-US" w:eastAsia="zh-CN"/>
              </w:rPr>
            </w:pPr>
            <w:r>
              <w:rPr>
                <w:color w:val="auto"/>
                <w:shd w:val="clear" w:color="auto" w:fill="auto"/>
              </w:rPr>
              <w:t>SO</w:t>
            </w:r>
            <w:r>
              <w:rPr>
                <w:color w:val="auto"/>
                <w:shd w:val="clear" w:color="auto" w:fill="auto"/>
                <w:vertAlign w:val="subscript"/>
              </w:rPr>
              <w:t>2</w:t>
            </w:r>
          </w:p>
        </w:tc>
        <w:tc>
          <w:tcPr>
            <w:tcW w:w="1665" w:type="dxa"/>
            <w:vAlign w:val="center"/>
          </w:tcPr>
          <w:p>
            <w:pPr>
              <w:pStyle w:val="44"/>
              <w:ind w:firstLine="0" w:firstLineChars="0"/>
              <w:rPr>
                <w:rFonts w:hint="eastAsia" w:cs="Times New Roman"/>
                <w:color w:val="auto"/>
                <w:sz w:val="21"/>
                <w:shd w:val="clear" w:color="auto" w:fill="auto"/>
                <w:lang w:val="en-US" w:eastAsia="zh-CN"/>
              </w:rPr>
            </w:pPr>
            <w:r>
              <w:rPr>
                <w:rFonts w:hint="eastAsia"/>
                <w:color w:val="auto"/>
                <w:shd w:val="clear" w:color="auto" w:fill="auto"/>
              </w:rPr>
              <w:t>0.</w:t>
            </w:r>
            <w:r>
              <w:rPr>
                <w:rFonts w:hint="eastAsia"/>
                <w:color w:val="auto"/>
                <w:shd w:val="clear" w:color="auto" w:fill="auto"/>
                <w:lang w:val="en-US" w:eastAsia="zh-CN"/>
              </w:rPr>
              <w:t>549</w:t>
            </w:r>
          </w:p>
        </w:tc>
        <w:tc>
          <w:tcPr>
            <w:tcW w:w="1665" w:type="dxa"/>
            <w:vMerge w:val="restart"/>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w:t>
            </w:r>
          </w:p>
        </w:tc>
        <w:tc>
          <w:tcPr>
            <w:tcW w:w="1666" w:type="dxa"/>
            <w:vAlign w:val="center"/>
          </w:tcPr>
          <w:p>
            <w:pPr>
              <w:pStyle w:val="44"/>
              <w:ind w:firstLine="0" w:firstLineChars="0"/>
              <w:rPr>
                <w:rFonts w:hint="eastAsia" w:cs="Times New Roman"/>
                <w:color w:val="auto"/>
                <w:sz w:val="21"/>
                <w:shd w:val="clear" w:color="auto" w:fill="auto"/>
                <w:lang w:val="en-US" w:eastAsia="zh-CN"/>
              </w:rPr>
            </w:pPr>
            <w:r>
              <w:rPr>
                <w:rFonts w:hint="eastAsia"/>
                <w:color w:val="auto"/>
                <w:shd w:val="clear" w:color="auto" w:fill="auto"/>
              </w:rPr>
              <w:t>0.</w:t>
            </w:r>
            <w:r>
              <w:rPr>
                <w:rFonts w:hint="eastAsia"/>
                <w:color w:val="auto"/>
                <w:shd w:val="clear" w:color="auto" w:fill="auto"/>
                <w:lang w:val="en-US" w:eastAsia="zh-CN"/>
              </w:rPr>
              <w:t>549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36" w:type="dxa"/>
            <w:vMerge w:val="continue"/>
            <w:vAlign w:val="center"/>
          </w:tcPr>
          <w:p>
            <w:pPr>
              <w:pStyle w:val="46"/>
              <w:spacing w:line="240" w:lineRule="auto"/>
              <w:ind w:firstLine="0" w:firstLineChars="0"/>
              <w:jc w:val="center"/>
              <w:rPr>
                <w:rFonts w:hint="eastAsia" w:cs="Times New Roman"/>
                <w:color w:val="auto"/>
                <w:sz w:val="21"/>
                <w:shd w:val="clear" w:color="auto" w:fill="auto"/>
                <w:lang w:val="en-US" w:eastAsia="zh-CN"/>
              </w:rPr>
            </w:pPr>
          </w:p>
        </w:tc>
        <w:tc>
          <w:tcPr>
            <w:tcW w:w="1890" w:type="dxa"/>
            <w:vAlign w:val="center"/>
          </w:tcPr>
          <w:p>
            <w:pPr>
              <w:pStyle w:val="44"/>
              <w:ind w:firstLine="0" w:firstLineChars="0"/>
              <w:rPr>
                <w:rFonts w:hint="eastAsia" w:cs="Times New Roman"/>
                <w:color w:val="auto"/>
                <w:sz w:val="21"/>
                <w:shd w:val="clear" w:color="auto" w:fill="auto"/>
                <w:lang w:val="en-US" w:eastAsia="zh-CN"/>
              </w:rPr>
            </w:pPr>
            <w:r>
              <w:rPr>
                <w:color w:val="auto"/>
                <w:shd w:val="clear" w:color="auto" w:fill="auto"/>
              </w:rPr>
              <w:t>CO</w:t>
            </w:r>
          </w:p>
        </w:tc>
        <w:tc>
          <w:tcPr>
            <w:tcW w:w="1665" w:type="dxa"/>
            <w:vAlign w:val="center"/>
          </w:tcPr>
          <w:p>
            <w:pPr>
              <w:pStyle w:val="44"/>
              <w:ind w:firstLine="0" w:firstLineChars="0"/>
              <w:rPr>
                <w:rFonts w:hint="eastAsia" w:cs="Times New Roman"/>
                <w:color w:val="auto"/>
                <w:sz w:val="21"/>
                <w:shd w:val="clear" w:color="auto" w:fill="auto"/>
                <w:lang w:val="en-US" w:eastAsia="zh-CN"/>
              </w:rPr>
            </w:pPr>
            <w:r>
              <w:rPr>
                <w:rFonts w:hint="eastAsia"/>
                <w:color w:val="auto"/>
                <w:shd w:val="clear" w:color="auto" w:fill="auto"/>
              </w:rPr>
              <w:t>0.</w:t>
            </w:r>
            <w:r>
              <w:rPr>
                <w:rFonts w:hint="eastAsia"/>
                <w:color w:val="auto"/>
                <w:shd w:val="clear" w:color="auto" w:fill="auto"/>
                <w:lang w:val="en-US" w:eastAsia="zh-CN"/>
              </w:rPr>
              <w:t>591</w:t>
            </w:r>
          </w:p>
        </w:tc>
        <w:tc>
          <w:tcPr>
            <w:tcW w:w="1665" w:type="dxa"/>
            <w:vMerge w:val="continue"/>
            <w:vAlign w:val="center"/>
          </w:tcPr>
          <w:p>
            <w:pPr>
              <w:pStyle w:val="46"/>
              <w:spacing w:line="240" w:lineRule="auto"/>
              <w:ind w:firstLine="0" w:firstLineChars="0"/>
              <w:jc w:val="center"/>
              <w:rPr>
                <w:rFonts w:hint="eastAsia" w:cs="Times New Roman"/>
                <w:color w:val="auto"/>
                <w:sz w:val="21"/>
                <w:shd w:val="clear" w:color="auto" w:fill="auto"/>
                <w:lang w:val="en-US" w:eastAsia="zh-CN"/>
              </w:rPr>
            </w:pPr>
          </w:p>
        </w:tc>
        <w:tc>
          <w:tcPr>
            <w:tcW w:w="1666" w:type="dxa"/>
            <w:vAlign w:val="center"/>
          </w:tcPr>
          <w:p>
            <w:pPr>
              <w:pStyle w:val="44"/>
              <w:ind w:firstLine="0" w:firstLineChars="0"/>
              <w:rPr>
                <w:rFonts w:hint="eastAsia" w:cs="Times New Roman"/>
                <w:color w:val="auto"/>
                <w:sz w:val="21"/>
                <w:shd w:val="clear" w:color="auto" w:fill="auto"/>
                <w:lang w:val="en-US" w:eastAsia="zh-CN"/>
              </w:rPr>
            </w:pPr>
            <w:r>
              <w:rPr>
                <w:rFonts w:hint="eastAsia"/>
                <w:color w:val="auto"/>
                <w:shd w:val="clear" w:color="auto" w:fill="auto"/>
              </w:rPr>
              <w:t>0.</w:t>
            </w:r>
            <w:r>
              <w:rPr>
                <w:rFonts w:hint="eastAsia"/>
                <w:color w:val="auto"/>
                <w:shd w:val="clear" w:color="auto" w:fill="auto"/>
                <w:lang w:val="en-US" w:eastAsia="zh-CN"/>
              </w:rPr>
              <w:t>591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36" w:type="dxa"/>
            <w:vMerge w:val="continue"/>
            <w:vAlign w:val="center"/>
          </w:tcPr>
          <w:p>
            <w:pPr>
              <w:pStyle w:val="46"/>
              <w:spacing w:line="240" w:lineRule="auto"/>
              <w:ind w:firstLine="0" w:firstLineChars="0"/>
              <w:jc w:val="center"/>
              <w:rPr>
                <w:rFonts w:hint="eastAsia" w:cs="Times New Roman"/>
                <w:color w:val="auto"/>
                <w:sz w:val="21"/>
                <w:shd w:val="clear" w:color="auto" w:fill="auto"/>
                <w:lang w:val="en-US" w:eastAsia="zh-CN"/>
              </w:rPr>
            </w:pPr>
          </w:p>
        </w:tc>
        <w:tc>
          <w:tcPr>
            <w:tcW w:w="1890" w:type="dxa"/>
            <w:vAlign w:val="center"/>
          </w:tcPr>
          <w:p>
            <w:pPr>
              <w:pStyle w:val="44"/>
              <w:ind w:firstLine="0" w:firstLineChars="0"/>
              <w:rPr>
                <w:rFonts w:hint="eastAsia" w:cs="Times New Roman"/>
                <w:color w:val="auto"/>
                <w:sz w:val="21"/>
                <w:shd w:val="clear" w:color="auto" w:fill="auto"/>
                <w:lang w:val="en-US" w:eastAsia="zh-CN"/>
              </w:rPr>
            </w:pPr>
            <w:r>
              <w:rPr>
                <w:color w:val="auto"/>
                <w:shd w:val="clear" w:color="auto" w:fill="auto"/>
              </w:rPr>
              <w:t>NO</w:t>
            </w:r>
            <w:r>
              <w:rPr>
                <w:color w:val="auto"/>
                <w:shd w:val="clear" w:color="auto" w:fill="auto"/>
                <w:vertAlign w:val="subscript"/>
              </w:rPr>
              <w:t>X</w:t>
            </w:r>
          </w:p>
        </w:tc>
        <w:tc>
          <w:tcPr>
            <w:tcW w:w="1665" w:type="dxa"/>
            <w:vAlign w:val="center"/>
          </w:tcPr>
          <w:p>
            <w:pPr>
              <w:pStyle w:val="44"/>
              <w:ind w:firstLine="0" w:firstLineChars="0"/>
              <w:rPr>
                <w:rFonts w:hint="eastAsia" w:cs="Times New Roman"/>
                <w:color w:val="auto"/>
                <w:sz w:val="21"/>
                <w:shd w:val="clear" w:color="auto" w:fill="auto"/>
                <w:lang w:val="en-US" w:eastAsia="zh-CN"/>
              </w:rPr>
            </w:pPr>
            <w:r>
              <w:rPr>
                <w:rFonts w:hint="eastAsia"/>
                <w:color w:val="auto"/>
                <w:shd w:val="clear" w:color="auto" w:fill="auto"/>
              </w:rPr>
              <w:t>0.</w:t>
            </w:r>
            <w:r>
              <w:rPr>
                <w:rFonts w:hint="eastAsia"/>
                <w:color w:val="auto"/>
                <w:shd w:val="clear" w:color="auto" w:fill="auto"/>
                <w:lang w:val="en-US" w:eastAsia="zh-CN"/>
              </w:rPr>
              <w:t>634</w:t>
            </w:r>
          </w:p>
        </w:tc>
        <w:tc>
          <w:tcPr>
            <w:tcW w:w="1665" w:type="dxa"/>
            <w:vMerge w:val="continue"/>
            <w:vAlign w:val="center"/>
          </w:tcPr>
          <w:p>
            <w:pPr>
              <w:pStyle w:val="46"/>
              <w:spacing w:line="240" w:lineRule="auto"/>
              <w:ind w:firstLine="0" w:firstLineChars="0"/>
              <w:jc w:val="center"/>
              <w:rPr>
                <w:rFonts w:hint="eastAsia" w:cs="Times New Roman"/>
                <w:color w:val="auto"/>
                <w:sz w:val="21"/>
                <w:shd w:val="clear" w:color="auto" w:fill="auto"/>
                <w:lang w:val="en-US" w:eastAsia="zh-CN"/>
              </w:rPr>
            </w:pPr>
          </w:p>
        </w:tc>
        <w:tc>
          <w:tcPr>
            <w:tcW w:w="1666" w:type="dxa"/>
            <w:vAlign w:val="center"/>
          </w:tcPr>
          <w:p>
            <w:pPr>
              <w:pStyle w:val="44"/>
              <w:ind w:firstLine="0" w:firstLineChars="0"/>
              <w:rPr>
                <w:rFonts w:hint="eastAsia" w:cs="Times New Roman"/>
                <w:color w:val="auto"/>
                <w:sz w:val="21"/>
                <w:shd w:val="clear" w:color="auto" w:fill="auto"/>
                <w:lang w:val="en-US" w:eastAsia="zh-CN"/>
              </w:rPr>
            </w:pPr>
            <w:r>
              <w:rPr>
                <w:rFonts w:hint="eastAsia"/>
                <w:color w:val="auto"/>
                <w:shd w:val="clear" w:color="auto" w:fill="auto"/>
              </w:rPr>
              <w:t>0.</w:t>
            </w:r>
            <w:r>
              <w:rPr>
                <w:rFonts w:hint="eastAsia"/>
                <w:color w:val="auto"/>
                <w:shd w:val="clear" w:color="auto" w:fill="auto"/>
                <w:lang w:val="en-US" w:eastAsia="zh-CN"/>
              </w:rPr>
              <w:t>634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36" w:type="dxa"/>
            <w:vMerge w:val="continue"/>
            <w:vAlign w:val="center"/>
          </w:tcPr>
          <w:p>
            <w:pPr>
              <w:pStyle w:val="46"/>
              <w:spacing w:line="240" w:lineRule="auto"/>
              <w:ind w:firstLine="0" w:firstLineChars="0"/>
              <w:jc w:val="center"/>
              <w:rPr>
                <w:rFonts w:hint="eastAsia" w:cs="Times New Roman"/>
                <w:color w:val="auto"/>
                <w:sz w:val="21"/>
                <w:shd w:val="clear" w:color="auto" w:fill="auto"/>
                <w:lang w:val="en-US" w:eastAsia="zh-CN"/>
              </w:rPr>
            </w:pPr>
          </w:p>
        </w:tc>
        <w:tc>
          <w:tcPr>
            <w:tcW w:w="1890" w:type="dxa"/>
            <w:vAlign w:val="center"/>
          </w:tcPr>
          <w:p>
            <w:pPr>
              <w:pStyle w:val="44"/>
              <w:ind w:firstLine="0" w:firstLineChars="0"/>
              <w:rPr>
                <w:rFonts w:hint="eastAsia" w:cs="Times New Roman"/>
                <w:color w:val="auto"/>
                <w:sz w:val="21"/>
                <w:shd w:val="clear" w:color="auto" w:fill="auto"/>
                <w:lang w:val="en-US" w:eastAsia="zh-CN"/>
              </w:rPr>
            </w:pPr>
            <w:r>
              <w:rPr>
                <w:color w:val="auto"/>
                <w:shd w:val="clear" w:color="auto" w:fill="auto"/>
              </w:rPr>
              <w:t>总烃</w:t>
            </w:r>
          </w:p>
        </w:tc>
        <w:tc>
          <w:tcPr>
            <w:tcW w:w="1665" w:type="dxa"/>
            <w:vAlign w:val="center"/>
          </w:tcPr>
          <w:p>
            <w:pPr>
              <w:pStyle w:val="44"/>
              <w:ind w:firstLine="0" w:firstLineChars="0"/>
              <w:rPr>
                <w:rFonts w:hint="eastAsia" w:cs="Times New Roman"/>
                <w:color w:val="auto"/>
                <w:sz w:val="21"/>
                <w:shd w:val="clear" w:color="auto" w:fill="auto"/>
                <w:lang w:val="en-US" w:eastAsia="zh-CN"/>
              </w:rPr>
            </w:pPr>
            <w:r>
              <w:rPr>
                <w:rFonts w:hint="eastAsia"/>
                <w:color w:val="auto"/>
                <w:shd w:val="clear" w:color="auto" w:fill="auto"/>
              </w:rPr>
              <w:t>0.</w:t>
            </w:r>
            <w:r>
              <w:rPr>
                <w:rFonts w:hint="eastAsia"/>
                <w:color w:val="auto"/>
                <w:shd w:val="clear" w:color="auto" w:fill="auto"/>
                <w:lang w:val="en-US" w:eastAsia="zh-CN"/>
              </w:rPr>
              <w:t>423</w:t>
            </w:r>
          </w:p>
        </w:tc>
        <w:tc>
          <w:tcPr>
            <w:tcW w:w="1665" w:type="dxa"/>
            <w:vMerge w:val="continue"/>
            <w:vAlign w:val="center"/>
          </w:tcPr>
          <w:p>
            <w:pPr>
              <w:pStyle w:val="46"/>
              <w:spacing w:line="240" w:lineRule="auto"/>
              <w:ind w:firstLine="0" w:firstLineChars="0"/>
              <w:jc w:val="center"/>
              <w:rPr>
                <w:rFonts w:hint="eastAsia" w:cs="Times New Roman"/>
                <w:color w:val="auto"/>
                <w:sz w:val="21"/>
                <w:shd w:val="clear" w:color="auto" w:fill="auto"/>
                <w:lang w:val="en-US" w:eastAsia="zh-CN"/>
              </w:rPr>
            </w:pPr>
          </w:p>
        </w:tc>
        <w:tc>
          <w:tcPr>
            <w:tcW w:w="1666" w:type="dxa"/>
            <w:vAlign w:val="center"/>
          </w:tcPr>
          <w:p>
            <w:pPr>
              <w:pStyle w:val="44"/>
              <w:ind w:firstLine="0" w:firstLineChars="0"/>
              <w:rPr>
                <w:rFonts w:hint="eastAsia" w:cs="Times New Roman"/>
                <w:color w:val="auto"/>
                <w:sz w:val="21"/>
                <w:shd w:val="clear" w:color="auto" w:fill="auto"/>
                <w:lang w:val="en-US" w:eastAsia="zh-CN"/>
              </w:rPr>
            </w:pPr>
            <w:r>
              <w:rPr>
                <w:rFonts w:hint="eastAsia"/>
                <w:color w:val="auto"/>
                <w:shd w:val="clear" w:color="auto" w:fill="auto"/>
              </w:rPr>
              <w:t>0.</w:t>
            </w:r>
            <w:r>
              <w:rPr>
                <w:rFonts w:hint="eastAsia"/>
                <w:color w:val="auto"/>
                <w:shd w:val="clear" w:color="auto" w:fill="auto"/>
                <w:lang w:val="en-US" w:eastAsia="zh-CN"/>
              </w:rPr>
              <w:t>423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36" w:type="dxa"/>
            <w:vMerge w:val="restart"/>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汽车尾气</w:t>
            </w:r>
          </w:p>
        </w:tc>
        <w:tc>
          <w:tcPr>
            <w:tcW w:w="189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cs="Times New Roman"/>
                <w:color w:val="auto"/>
                <w:sz w:val="21"/>
                <w:shd w:val="clear" w:color="auto" w:fill="auto"/>
              </w:rPr>
              <w:t>SO</w:t>
            </w:r>
            <w:r>
              <w:rPr>
                <w:rFonts w:cs="Times New Roman"/>
                <w:color w:val="auto"/>
                <w:sz w:val="21"/>
                <w:shd w:val="clear" w:color="auto" w:fill="auto"/>
                <w:vertAlign w:val="subscript"/>
              </w:rPr>
              <w:t>2</w:t>
            </w:r>
          </w:p>
        </w:tc>
        <w:tc>
          <w:tcPr>
            <w:tcW w:w="1665" w:type="dxa"/>
            <w:vAlign w:val="bottom"/>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zCs w:val="21"/>
                <w:shd w:val="clear" w:color="auto" w:fill="auto"/>
              </w:rPr>
              <w:t>0.</w:t>
            </w:r>
            <w:r>
              <w:rPr>
                <w:rFonts w:hint="eastAsia" w:cs="Times New Roman"/>
                <w:color w:val="auto"/>
                <w:sz w:val="21"/>
                <w:szCs w:val="21"/>
                <w:shd w:val="clear" w:color="auto" w:fill="auto"/>
                <w:lang w:val="en-US" w:eastAsia="zh-CN"/>
              </w:rPr>
              <w:t>0003</w:t>
            </w:r>
          </w:p>
        </w:tc>
        <w:tc>
          <w:tcPr>
            <w:tcW w:w="1665" w:type="dxa"/>
            <w:vMerge w:val="restart"/>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w:t>
            </w:r>
          </w:p>
        </w:tc>
        <w:tc>
          <w:tcPr>
            <w:tcW w:w="1666" w:type="dxa"/>
            <w:vAlign w:val="bottom"/>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zCs w:val="21"/>
                <w:shd w:val="clear" w:color="auto" w:fill="auto"/>
              </w:rPr>
              <w:t>0.</w:t>
            </w:r>
            <w:r>
              <w:rPr>
                <w:rFonts w:hint="eastAsia" w:cs="Times New Roman"/>
                <w:color w:val="auto"/>
                <w:sz w:val="21"/>
                <w:szCs w:val="21"/>
                <w:shd w:val="clear" w:color="auto" w:fill="auto"/>
                <w:lang w:val="en-US" w:eastAsia="zh-CN"/>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36" w:type="dxa"/>
            <w:vMerge w:val="continue"/>
            <w:vAlign w:val="center"/>
          </w:tcPr>
          <w:p>
            <w:pPr>
              <w:pStyle w:val="46"/>
              <w:spacing w:line="240" w:lineRule="auto"/>
              <w:ind w:firstLine="0" w:firstLineChars="0"/>
              <w:jc w:val="center"/>
              <w:rPr>
                <w:rFonts w:hint="eastAsia" w:cs="Times New Roman"/>
                <w:color w:val="auto"/>
                <w:sz w:val="21"/>
                <w:shd w:val="clear" w:color="auto" w:fill="auto"/>
                <w:lang w:val="en-US" w:eastAsia="zh-CN"/>
              </w:rPr>
            </w:pPr>
          </w:p>
        </w:tc>
        <w:tc>
          <w:tcPr>
            <w:tcW w:w="189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cs="Times New Roman"/>
                <w:color w:val="auto"/>
                <w:sz w:val="21"/>
                <w:shd w:val="clear" w:color="auto" w:fill="auto"/>
              </w:rPr>
              <w:t>CO</w:t>
            </w:r>
          </w:p>
        </w:tc>
        <w:tc>
          <w:tcPr>
            <w:tcW w:w="1665" w:type="dxa"/>
            <w:vAlign w:val="bottom"/>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zCs w:val="21"/>
                <w:shd w:val="clear" w:color="auto" w:fill="auto"/>
                <w:lang w:val="en-US" w:eastAsia="zh-CN"/>
              </w:rPr>
              <w:t>0.03</w:t>
            </w:r>
          </w:p>
        </w:tc>
        <w:tc>
          <w:tcPr>
            <w:tcW w:w="1665" w:type="dxa"/>
            <w:vMerge w:val="continue"/>
            <w:vAlign w:val="center"/>
          </w:tcPr>
          <w:p>
            <w:pPr>
              <w:pStyle w:val="46"/>
              <w:spacing w:line="240" w:lineRule="auto"/>
              <w:ind w:firstLine="0" w:firstLineChars="0"/>
              <w:jc w:val="center"/>
              <w:rPr>
                <w:rFonts w:hint="eastAsia" w:cs="Times New Roman"/>
                <w:color w:val="auto"/>
                <w:sz w:val="21"/>
                <w:shd w:val="clear" w:color="auto" w:fill="auto"/>
                <w:lang w:val="en-US" w:eastAsia="zh-CN"/>
              </w:rPr>
            </w:pPr>
          </w:p>
        </w:tc>
        <w:tc>
          <w:tcPr>
            <w:tcW w:w="1666" w:type="dxa"/>
            <w:vAlign w:val="bottom"/>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zCs w:val="21"/>
                <w:shd w:val="clear" w:color="auto" w:fill="auto"/>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36" w:type="dxa"/>
            <w:vMerge w:val="continue"/>
            <w:vAlign w:val="center"/>
          </w:tcPr>
          <w:p>
            <w:pPr>
              <w:pStyle w:val="46"/>
              <w:spacing w:line="240" w:lineRule="auto"/>
              <w:ind w:firstLine="0" w:firstLineChars="0"/>
              <w:jc w:val="center"/>
              <w:rPr>
                <w:rFonts w:hint="eastAsia" w:cs="Times New Roman"/>
                <w:color w:val="auto"/>
                <w:sz w:val="21"/>
                <w:shd w:val="clear" w:color="auto" w:fill="auto"/>
                <w:lang w:val="en-US" w:eastAsia="zh-CN"/>
              </w:rPr>
            </w:pPr>
          </w:p>
        </w:tc>
        <w:tc>
          <w:tcPr>
            <w:tcW w:w="189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cs="Times New Roman"/>
                <w:color w:val="auto"/>
                <w:sz w:val="21"/>
                <w:shd w:val="clear" w:color="auto" w:fill="auto"/>
              </w:rPr>
              <w:t>NO</w:t>
            </w:r>
            <w:r>
              <w:rPr>
                <w:rFonts w:cs="Times New Roman"/>
                <w:color w:val="auto"/>
                <w:sz w:val="21"/>
                <w:shd w:val="clear" w:color="auto" w:fill="auto"/>
                <w:vertAlign w:val="subscript"/>
              </w:rPr>
              <w:t>X</w:t>
            </w:r>
          </w:p>
        </w:tc>
        <w:tc>
          <w:tcPr>
            <w:tcW w:w="1665" w:type="dxa"/>
            <w:vAlign w:val="bottom"/>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zCs w:val="21"/>
                <w:shd w:val="clear" w:color="auto" w:fill="auto"/>
                <w:lang w:val="en-US" w:eastAsia="zh-CN"/>
              </w:rPr>
              <w:t>0.018</w:t>
            </w:r>
          </w:p>
        </w:tc>
        <w:tc>
          <w:tcPr>
            <w:tcW w:w="1665" w:type="dxa"/>
            <w:vMerge w:val="continue"/>
            <w:vAlign w:val="center"/>
          </w:tcPr>
          <w:p>
            <w:pPr>
              <w:pStyle w:val="46"/>
              <w:spacing w:line="240" w:lineRule="auto"/>
              <w:ind w:firstLine="0" w:firstLineChars="0"/>
              <w:jc w:val="center"/>
              <w:rPr>
                <w:rFonts w:hint="eastAsia" w:cs="Times New Roman"/>
                <w:color w:val="auto"/>
                <w:sz w:val="21"/>
                <w:shd w:val="clear" w:color="auto" w:fill="auto"/>
                <w:lang w:val="en-US" w:eastAsia="zh-CN"/>
              </w:rPr>
            </w:pPr>
          </w:p>
        </w:tc>
        <w:tc>
          <w:tcPr>
            <w:tcW w:w="1666" w:type="dxa"/>
            <w:vAlign w:val="bottom"/>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zCs w:val="21"/>
                <w:shd w:val="clear" w:color="auto" w:fill="auto"/>
                <w:lang w:val="en-US" w:eastAsia="zh-CN"/>
              </w:rPr>
              <w:t>0.018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36" w:type="dxa"/>
            <w:vMerge w:val="continue"/>
            <w:vAlign w:val="center"/>
          </w:tcPr>
          <w:p>
            <w:pPr>
              <w:pStyle w:val="46"/>
              <w:spacing w:line="240" w:lineRule="auto"/>
              <w:ind w:firstLine="0" w:firstLineChars="0"/>
              <w:jc w:val="center"/>
              <w:rPr>
                <w:rFonts w:hint="eastAsia" w:cs="Times New Roman"/>
                <w:color w:val="auto"/>
                <w:sz w:val="21"/>
                <w:shd w:val="clear" w:color="auto" w:fill="auto"/>
                <w:lang w:val="en-US" w:eastAsia="zh-CN"/>
              </w:rPr>
            </w:pPr>
          </w:p>
        </w:tc>
        <w:tc>
          <w:tcPr>
            <w:tcW w:w="189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cs="Times New Roman"/>
                <w:color w:val="auto"/>
                <w:sz w:val="21"/>
                <w:shd w:val="clear" w:color="auto" w:fill="auto"/>
              </w:rPr>
              <w:t>总烃</w:t>
            </w:r>
          </w:p>
        </w:tc>
        <w:tc>
          <w:tcPr>
            <w:tcW w:w="1665" w:type="dxa"/>
            <w:vAlign w:val="bottom"/>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zCs w:val="21"/>
                <w:shd w:val="clear" w:color="auto" w:fill="auto"/>
                <w:lang w:val="en-US" w:eastAsia="zh-CN"/>
              </w:rPr>
              <w:t>0.003</w:t>
            </w:r>
          </w:p>
        </w:tc>
        <w:tc>
          <w:tcPr>
            <w:tcW w:w="1665" w:type="dxa"/>
            <w:vMerge w:val="continue"/>
            <w:vAlign w:val="center"/>
          </w:tcPr>
          <w:p>
            <w:pPr>
              <w:pStyle w:val="46"/>
              <w:spacing w:line="240" w:lineRule="auto"/>
              <w:ind w:firstLine="0" w:firstLineChars="0"/>
              <w:jc w:val="center"/>
              <w:rPr>
                <w:rFonts w:hint="eastAsia" w:cs="Times New Roman"/>
                <w:color w:val="auto"/>
                <w:sz w:val="21"/>
                <w:shd w:val="clear" w:color="auto" w:fill="auto"/>
                <w:lang w:val="en-US" w:eastAsia="zh-CN"/>
              </w:rPr>
            </w:pPr>
          </w:p>
        </w:tc>
        <w:tc>
          <w:tcPr>
            <w:tcW w:w="1666" w:type="dxa"/>
            <w:vAlign w:val="bottom"/>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zCs w:val="21"/>
                <w:shd w:val="clear" w:color="auto" w:fill="auto"/>
                <w:lang w:val="en-US" w:eastAsia="zh-CN"/>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9" w:hRule="atLeast"/>
          <w:jc w:val="center"/>
        </w:trPr>
        <w:tc>
          <w:tcPr>
            <w:tcW w:w="163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散货装卸扬尘</w:t>
            </w:r>
          </w:p>
        </w:tc>
        <w:tc>
          <w:tcPr>
            <w:tcW w:w="189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粉尘（以TSP计）</w:t>
            </w:r>
          </w:p>
        </w:tc>
        <w:tc>
          <w:tcPr>
            <w:tcW w:w="1665" w:type="dxa"/>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18.25</w:t>
            </w:r>
          </w:p>
        </w:tc>
        <w:tc>
          <w:tcPr>
            <w:tcW w:w="1665"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rPr>
              <w:t>喷雾抑尘装置</w:t>
            </w:r>
          </w:p>
        </w:tc>
        <w:tc>
          <w:tcPr>
            <w:tcW w:w="1666" w:type="dxa"/>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63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码头道路扬尘</w:t>
            </w:r>
          </w:p>
        </w:tc>
        <w:tc>
          <w:tcPr>
            <w:tcW w:w="189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粉尘（以TSP计）</w:t>
            </w:r>
          </w:p>
        </w:tc>
        <w:tc>
          <w:tcPr>
            <w:tcW w:w="1665" w:type="dxa"/>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2.714</w:t>
            </w:r>
          </w:p>
        </w:tc>
        <w:tc>
          <w:tcPr>
            <w:tcW w:w="1665"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洒水抑尘</w:t>
            </w:r>
          </w:p>
        </w:tc>
        <w:tc>
          <w:tcPr>
            <w:tcW w:w="1666" w:type="dxa"/>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0.271</w:t>
            </w:r>
          </w:p>
        </w:tc>
      </w:tr>
    </w:tbl>
    <w:p>
      <w:pPr>
        <w:pStyle w:val="6"/>
        <w:rPr>
          <w:color w:val="auto"/>
          <w:shd w:val="clear" w:color="auto" w:fill="auto"/>
        </w:rPr>
      </w:pPr>
      <w:r>
        <w:rPr>
          <w:rFonts w:hint="eastAsia"/>
          <w:color w:val="auto"/>
          <w:shd w:val="clear" w:color="auto" w:fill="auto"/>
          <w:lang w:val="en-US" w:eastAsia="zh-CN"/>
        </w:rPr>
        <w:t>2.2</w:t>
      </w:r>
      <w:r>
        <w:rPr>
          <w:rFonts w:hint="eastAsia"/>
          <w:color w:val="auto"/>
          <w:shd w:val="clear" w:color="auto" w:fill="auto"/>
        </w:rPr>
        <w:t>.</w:t>
      </w:r>
      <w:r>
        <w:rPr>
          <w:rFonts w:hint="eastAsia"/>
          <w:color w:val="auto"/>
          <w:shd w:val="clear" w:color="auto" w:fill="auto"/>
          <w:lang w:val="en-US" w:eastAsia="zh-CN"/>
        </w:rPr>
        <w:t>3</w:t>
      </w:r>
      <w:r>
        <w:rPr>
          <w:rFonts w:hint="eastAsia"/>
          <w:color w:val="auto"/>
          <w:shd w:val="clear" w:color="auto" w:fill="auto"/>
        </w:rPr>
        <w:t>.2营运期水污染源</w:t>
      </w:r>
    </w:p>
    <w:p>
      <w:pPr>
        <w:rPr>
          <w:b/>
          <w:bCs/>
          <w:color w:val="auto"/>
          <w:shd w:val="clear" w:color="auto" w:fill="auto"/>
        </w:rPr>
      </w:pPr>
      <w:r>
        <w:rPr>
          <w:rFonts w:hint="eastAsia"/>
          <w:b/>
          <w:bCs/>
          <w:color w:val="auto"/>
          <w:shd w:val="clear" w:color="auto" w:fill="auto"/>
          <w:lang w:val="en-US" w:eastAsia="zh-CN"/>
        </w:rPr>
        <w:t>1、</w:t>
      </w:r>
      <w:r>
        <w:rPr>
          <w:rFonts w:hint="eastAsia"/>
          <w:b/>
          <w:bCs/>
          <w:color w:val="auto"/>
          <w:shd w:val="clear" w:color="auto" w:fill="auto"/>
        </w:rPr>
        <w:t>船舶污水</w:t>
      </w:r>
    </w:p>
    <w:p>
      <w:pPr>
        <w:ind w:firstLine="480"/>
        <w:rPr>
          <w:color w:val="auto"/>
          <w:shd w:val="clear" w:color="auto" w:fill="auto"/>
        </w:rPr>
      </w:pPr>
      <w:r>
        <w:rPr>
          <w:rFonts w:hint="eastAsia"/>
          <w:color w:val="auto"/>
          <w:shd w:val="clear" w:color="auto" w:fill="auto"/>
        </w:rPr>
        <w:t>（1）</w:t>
      </w:r>
      <w:r>
        <w:rPr>
          <w:color w:val="auto"/>
          <w:shd w:val="clear" w:color="auto" w:fill="auto"/>
        </w:rPr>
        <w:t>船舶</w:t>
      </w:r>
      <w:r>
        <w:rPr>
          <w:rFonts w:hint="eastAsia"/>
          <w:color w:val="auto"/>
          <w:shd w:val="clear" w:color="auto" w:fill="auto"/>
        </w:rPr>
        <w:t>舱底</w:t>
      </w:r>
      <w:r>
        <w:rPr>
          <w:color w:val="auto"/>
          <w:shd w:val="clear" w:color="auto" w:fill="auto"/>
        </w:rPr>
        <w:t>油</w:t>
      </w:r>
      <w:r>
        <w:rPr>
          <w:rFonts w:hint="eastAsia"/>
          <w:color w:val="auto"/>
          <w:shd w:val="clear" w:color="auto" w:fill="auto"/>
        </w:rPr>
        <w:t>污水</w:t>
      </w:r>
    </w:p>
    <w:p>
      <w:pPr>
        <w:ind w:firstLine="480"/>
        <w:rPr>
          <w:color w:val="FF0000"/>
          <w:spacing w:val="5"/>
          <w:shd w:val="clear" w:color="auto" w:fill="auto"/>
        </w:rPr>
      </w:pPr>
      <w:r>
        <w:rPr>
          <w:rFonts w:hint="eastAsia"/>
          <w:color w:val="auto"/>
          <w:shd w:val="clear" w:color="auto" w:fill="auto"/>
        </w:rPr>
        <w:t>来港船舶机舱底由于机械运转等产生一定量的油污水。</w:t>
      </w:r>
      <w:r>
        <w:rPr>
          <w:rFonts w:hint="eastAsia"/>
          <w:color w:val="auto"/>
          <w:spacing w:val="5"/>
          <w:shd w:val="clear" w:color="auto" w:fill="auto"/>
        </w:rPr>
        <w:t>根据《港口工程环境保护设计规范》（JTS149-1-2007），设计船型</w:t>
      </w:r>
      <w:r>
        <w:rPr>
          <w:rFonts w:hint="eastAsia"/>
          <w:color w:val="auto"/>
          <w:spacing w:val="5"/>
          <w:shd w:val="clear" w:color="auto" w:fill="auto"/>
          <w:lang w:val="en-US" w:eastAsia="zh-CN"/>
        </w:rPr>
        <w:t>10</w:t>
      </w:r>
      <w:r>
        <w:rPr>
          <w:rFonts w:hint="eastAsia"/>
          <w:color w:val="auto"/>
          <w:spacing w:val="5"/>
          <w:shd w:val="clear" w:color="auto" w:fill="auto"/>
        </w:rPr>
        <w:t>00吨级船舶舱底油污水水量为0.</w:t>
      </w:r>
      <w:r>
        <w:rPr>
          <w:rFonts w:hint="eastAsia"/>
          <w:color w:val="auto"/>
          <w:spacing w:val="5"/>
          <w:shd w:val="clear" w:color="auto" w:fill="auto"/>
          <w:lang w:val="en-US" w:eastAsia="zh-CN"/>
        </w:rPr>
        <w:t>27</w:t>
      </w:r>
      <w:r>
        <w:rPr>
          <w:rFonts w:hint="eastAsia"/>
          <w:color w:val="auto"/>
          <w:spacing w:val="5"/>
          <w:shd w:val="clear" w:color="auto" w:fill="auto"/>
          <w:vertAlign w:val="baseline"/>
          <w:lang w:eastAsia="zh-CN"/>
        </w:rPr>
        <w:t>m</w:t>
      </w:r>
      <w:r>
        <w:rPr>
          <w:rFonts w:hint="eastAsia"/>
          <w:color w:val="auto"/>
          <w:spacing w:val="5"/>
          <w:shd w:val="clear" w:color="auto" w:fill="auto"/>
          <w:vertAlign w:val="superscript"/>
          <w:lang w:eastAsia="zh-CN"/>
        </w:rPr>
        <w:t>3</w:t>
      </w:r>
      <w:r>
        <w:rPr>
          <w:rFonts w:hint="eastAsia"/>
          <w:color w:val="auto"/>
          <w:spacing w:val="5"/>
          <w:shd w:val="clear" w:color="auto" w:fill="auto"/>
        </w:rPr>
        <w:t>/d*艘。根据拟建项目年吞吐量</w:t>
      </w:r>
      <w:r>
        <w:rPr>
          <w:rFonts w:hint="eastAsia"/>
          <w:color w:val="auto"/>
          <w:shd w:val="clear" w:color="auto" w:fill="auto"/>
          <w:lang w:val="en-US" w:eastAsia="zh-CN"/>
        </w:rPr>
        <w:t>150</w:t>
      </w:r>
      <w:r>
        <w:rPr>
          <w:rFonts w:hint="eastAsia"/>
          <w:color w:val="auto"/>
          <w:shd w:val="clear" w:color="auto" w:fill="auto"/>
        </w:rPr>
        <w:t>万吨</w:t>
      </w:r>
      <w:r>
        <w:rPr>
          <w:rFonts w:hint="eastAsia"/>
          <w:color w:val="auto"/>
          <w:spacing w:val="5"/>
          <w:shd w:val="clear" w:color="auto" w:fill="auto"/>
        </w:rPr>
        <w:t>计算，年运营天数按3</w:t>
      </w:r>
      <w:r>
        <w:rPr>
          <w:rFonts w:hint="eastAsia"/>
          <w:color w:val="auto"/>
          <w:spacing w:val="5"/>
          <w:shd w:val="clear" w:color="auto" w:fill="auto"/>
          <w:lang w:val="en-US" w:eastAsia="zh-CN"/>
        </w:rPr>
        <w:t>20</w:t>
      </w:r>
      <w:r>
        <w:rPr>
          <w:rFonts w:hint="eastAsia"/>
          <w:color w:val="auto"/>
          <w:spacing w:val="5"/>
          <w:shd w:val="clear" w:color="auto" w:fill="auto"/>
        </w:rPr>
        <w:t>天计，则平均每天到港船舶数量为</w:t>
      </w:r>
      <w:r>
        <w:rPr>
          <w:rFonts w:hint="eastAsia"/>
          <w:color w:val="auto"/>
          <w:spacing w:val="5"/>
          <w:shd w:val="clear" w:color="auto" w:fill="auto"/>
          <w:lang w:val="en-US" w:eastAsia="zh-CN"/>
        </w:rPr>
        <w:t>5</w:t>
      </w:r>
      <w:r>
        <w:rPr>
          <w:rFonts w:hint="eastAsia"/>
          <w:color w:val="auto"/>
          <w:spacing w:val="5"/>
          <w:shd w:val="clear" w:color="auto" w:fill="auto"/>
        </w:rPr>
        <w:t>艘次。</w:t>
      </w:r>
      <w:r>
        <w:rPr>
          <w:rFonts w:hint="eastAsia"/>
          <w:color w:val="auto"/>
          <w:shd w:val="clear" w:color="auto" w:fill="auto"/>
        </w:rPr>
        <w:t>每艘在港停留时间按0.5d估算，则</w:t>
      </w:r>
      <w:r>
        <w:rPr>
          <w:rFonts w:hint="eastAsia"/>
          <w:color w:val="auto"/>
          <w:spacing w:val="5"/>
          <w:shd w:val="clear" w:color="auto" w:fill="auto"/>
        </w:rPr>
        <w:t>到港船舶舱底油污水产生量约为</w:t>
      </w:r>
      <w:r>
        <w:rPr>
          <w:rFonts w:hint="eastAsia"/>
          <w:color w:val="auto"/>
          <w:spacing w:val="5"/>
          <w:shd w:val="clear" w:color="auto" w:fill="auto"/>
          <w:lang w:val="en-US" w:eastAsia="zh-CN"/>
        </w:rPr>
        <w:t>0.675</w:t>
      </w:r>
      <w:r>
        <w:rPr>
          <w:rFonts w:hint="eastAsia"/>
          <w:color w:val="auto"/>
          <w:spacing w:val="5"/>
          <w:shd w:val="clear" w:color="auto" w:fill="auto"/>
          <w:vertAlign w:val="baseline"/>
          <w:lang w:eastAsia="zh-CN"/>
        </w:rPr>
        <w:t>m</w:t>
      </w:r>
      <w:r>
        <w:rPr>
          <w:rFonts w:hint="eastAsia"/>
          <w:color w:val="auto"/>
          <w:spacing w:val="5"/>
          <w:shd w:val="clear" w:color="auto" w:fill="auto"/>
          <w:vertAlign w:val="superscript"/>
          <w:lang w:eastAsia="zh-CN"/>
        </w:rPr>
        <w:t>3</w:t>
      </w:r>
      <w:r>
        <w:rPr>
          <w:rFonts w:hint="eastAsia"/>
          <w:color w:val="auto"/>
          <w:spacing w:val="5"/>
          <w:shd w:val="clear" w:color="auto" w:fill="auto"/>
        </w:rPr>
        <w:t>/d，则船舶舱底油污水的年</w:t>
      </w:r>
      <w:r>
        <w:rPr>
          <w:rFonts w:hint="eastAsia"/>
          <w:color w:val="auto"/>
          <w:spacing w:val="5"/>
          <w:shd w:val="clear" w:color="auto" w:fill="auto"/>
          <w:lang w:val="en-US" w:eastAsia="zh-CN"/>
        </w:rPr>
        <w:t>产生</w:t>
      </w:r>
      <w:r>
        <w:rPr>
          <w:rFonts w:hint="eastAsia"/>
          <w:color w:val="auto"/>
          <w:spacing w:val="5"/>
          <w:shd w:val="clear" w:color="auto" w:fill="auto"/>
        </w:rPr>
        <w:t>量为</w:t>
      </w:r>
      <w:r>
        <w:rPr>
          <w:rFonts w:hint="eastAsia"/>
          <w:color w:val="auto"/>
          <w:spacing w:val="5"/>
          <w:shd w:val="clear" w:color="auto" w:fill="auto"/>
          <w:lang w:val="en-US" w:eastAsia="zh-CN"/>
        </w:rPr>
        <w:t>216</w:t>
      </w:r>
      <w:r>
        <w:rPr>
          <w:rFonts w:hint="eastAsia"/>
          <w:color w:val="auto"/>
          <w:spacing w:val="5"/>
          <w:shd w:val="clear" w:color="auto" w:fill="auto"/>
          <w:vertAlign w:val="baseline"/>
          <w:lang w:eastAsia="zh-CN"/>
        </w:rPr>
        <w:t>m</w:t>
      </w:r>
      <w:r>
        <w:rPr>
          <w:rFonts w:hint="eastAsia"/>
          <w:color w:val="auto"/>
          <w:spacing w:val="5"/>
          <w:shd w:val="clear" w:color="auto" w:fill="auto"/>
          <w:vertAlign w:val="superscript"/>
          <w:lang w:eastAsia="zh-CN"/>
        </w:rPr>
        <w:t>3</w:t>
      </w:r>
      <w:r>
        <w:rPr>
          <w:rFonts w:hint="eastAsia"/>
          <w:color w:val="auto"/>
          <w:spacing w:val="5"/>
          <w:shd w:val="clear" w:color="auto" w:fill="auto"/>
        </w:rPr>
        <w:t>/a，舱底油污水中石油类浓度为6000</w:t>
      </w:r>
      <w:r>
        <w:rPr>
          <w:rFonts w:hint="eastAsia"/>
          <w:color w:val="auto"/>
          <w:spacing w:val="5"/>
          <w:shd w:val="clear" w:color="auto" w:fill="auto"/>
          <w:lang w:eastAsia="zh-CN"/>
        </w:rPr>
        <w:t>m</w:t>
      </w:r>
      <w:r>
        <w:rPr>
          <w:rFonts w:hint="eastAsia"/>
          <w:color w:val="auto"/>
          <w:spacing w:val="5"/>
          <w:shd w:val="clear" w:color="auto" w:fill="auto"/>
        </w:rPr>
        <w:t>g/L。根据《中华人民共和国防治船舶污染内河水域环境管理规定》，船舶排放含有有毒物质的洗舱水，应由有资质的单位按照有关规定接收和处理，不得直接排放进入内河水域。</w:t>
      </w:r>
    </w:p>
    <w:p>
      <w:pPr>
        <w:ind w:firstLine="480"/>
        <w:rPr>
          <w:color w:val="auto"/>
          <w:shd w:val="clear" w:color="auto" w:fill="auto"/>
        </w:rPr>
      </w:pPr>
      <w:r>
        <w:rPr>
          <w:rFonts w:hint="eastAsia"/>
          <w:color w:val="auto"/>
          <w:shd w:val="clear" w:color="auto" w:fill="auto"/>
        </w:rPr>
        <w:t>（2）</w:t>
      </w:r>
      <w:r>
        <w:rPr>
          <w:color w:val="auto"/>
          <w:shd w:val="clear" w:color="auto" w:fill="auto"/>
        </w:rPr>
        <w:t>船舶生活污水</w:t>
      </w:r>
    </w:p>
    <w:p>
      <w:pPr>
        <w:ind w:firstLine="500"/>
        <w:rPr>
          <w:rFonts w:hAnsi="宋体"/>
          <w:color w:val="auto"/>
          <w:shd w:val="clear" w:color="auto" w:fill="auto"/>
        </w:rPr>
      </w:pPr>
      <w:r>
        <w:rPr>
          <w:rFonts w:hint="eastAsia"/>
          <w:color w:val="auto"/>
          <w:spacing w:val="5"/>
          <w:shd w:val="clear" w:color="auto" w:fill="auto"/>
        </w:rPr>
        <w:t>根据设计经验，结合设计船型、到港艘次、实际靠泊时间确定，以每艘</w:t>
      </w:r>
      <w:r>
        <w:rPr>
          <w:rFonts w:hint="eastAsia"/>
          <w:color w:val="auto"/>
          <w:spacing w:val="5"/>
          <w:shd w:val="clear" w:color="auto" w:fill="auto"/>
          <w:lang w:val="en-US" w:eastAsia="zh-CN"/>
        </w:rPr>
        <w:t>10</w:t>
      </w:r>
      <w:r>
        <w:rPr>
          <w:rFonts w:hint="eastAsia"/>
          <w:color w:val="auto"/>
          <w:spacing w:val="5"/>
          <w:shd w:val="clear" w:color="auto" w:fill="auto"/>
        </w:rPr>
        <w:t>00t级船舶</w:t>
      </w:r>
      <w:r>
        <w:rPr>
          <w:rFonts w:hint="eastAsia"/>
          <w:color w:val="auto"/>
          <w:spacing w:val="5"/>
          <w:shd w:val="clear" w:color="auto" w:fill="auto"/>
          <w:lang w:val="en-US" w:eastAsia="zh-CN"/>
        </w:rPr>
        <w:t>10</w:t>
      </w:r>
      <w:r>
        <w:rPr>
          <w:rFonts w:hint="eastAsia"/>
          <w:color w:val="auto"/>
          <w:spacing w:val="5"/>
          <w:shd w:val="clear" w:color="auto" w:fill="auto"/>
        </w:rPr>
        <w:t>人计，</w:t>
      </w:r>
      <w:r>
        <w:rPr>
          <w:rFonts w:hint="eastAsia" w:hAnsi="宋体"/>
          <w:color w:val="auto"/>
          <w:shd w:val="clear" w:color="auto" w:fill="auto"/>
        </w:rPr>
        <w:t>生活用水量按1</w:t>
      </w:r>
      <w:r>
        <w:rPr>
          <w:rFonts w:hint="eastAsia"/>
          <w:color w:val="auto"/>
          <w:shd w:val="clear" w:color="auto" w:fill="auto"/>
        </w:rPr>
        <w:t>2</w:t>
      </w:r>
      <w:r>
        <w:rPr>
          <w:color w:val="auto"/>
          <w:shd w:val="clear" w:color="auto" w:fill="auto"/>
        </w:rPr>
        <w:t>0</w:t>
      </w:r>
      <w:r>
        <w:rPr>
          <w:bCs/>
          <w:color w:val="auto"/>
          <w:shd w:val="clear" w:color="auto" w:fill="auto"/>
        </w:rPr>
        <w:t>L/</w:t>
      </w:r>
      <w:r>
        <w:rPr>
          <w:rFonts w:hint="eastAsia"/>
          <w:bCs/>
          <w:color w:val="auto"/>
          <w:shd w:val="clear" w:color="auto" w:fill="auto"/>
        </w:rPr>
        <w:t>d</w:t>
      </w:r>
      <w:r>
        <w:rPr>
          <w:rFonts w:cs="Times New Roman"/>
          <w:bCs/>
          <w:color w:val="auto"/>
          <w:shd w:val="clear" w:color="auto" w:fill="auto"/>
        </w:rPr>
        <w:t>·</w:t>
      </w:r>
      <w:r>
        <w:rPr>
          <w:bCs/>
          <w:color w:val="auto"/>
          <w:shd w:val="clear" w:color="auto" w:fill="auto"/>
        </w:rPr>
        <w:t>人</w:t>
      </w:r>
      <w:r>
        <w:rPr>
          <w:rFonts w:hint="eastAsia"/>
          <w:bCs/>
          <w:color w:val="auto"/>
          <w:shd w:val="clear" w:color="auto" w:fill="auto"/>
        </w:rPr>
        <w:t>，排污系数取0.8，则船舶员工生活污水量为</w:t>
      </w:r>
      <w:r>
        <w:rPr>
          <w:rFonts w:hint="eastAsia"/>
          <w:bCs/>
          <w:color w:val="auto"/>
          <w:shd w:val="clear" w:color="auto" w:fill="auto"/>
          <w:lang w:val="en-US" w:eastAsia="zh-CN"/>
        </w:rPr>
        <w:t>4.8</w:t>
      </w:r>
      <w:r>
        <w:rPr>
          <w:rFonts w:hint="eastAsia"/>
          <w:bCs/>
          <w:color w:val="auto"/>
          <w:shd w:val="clear" w:color="auto" w:fill="auto"/>
          <w:vertAlign w:val="baseline"/>
          <w:lang w:eastAsia="zh-CN"/>
        </w:rPr>
        <w:t>m</w:t>
      </w:r>
      <w:r>
        <w:rPr>
          <w:rFonts w:hint="eastAsia"/>
          <w:bCs/>
          <w:color w:val="auto"/>
          <w:shd w:val="clear" w:color="auto" w:fill="auto"/>
          <w:vertAlign w:val="superscript"/>
          <w:lang w:eastAsia="zh-CN"/>
        </w:rPr>
        <w:t>3</w:t>
      </w:r>
      <w:r>
        <w:rPr>
          <w:rFonts w:hint="eastAsia"/>
          <w:bCs/>
          <w:color w:val="auto"/>
          <w:shd w:val="clear" w:color="auto" w:fill="auto"/>
        </w:rPr>
        <w:t>/d（</w:t>
      </w:r>
      <w:r>
        <w:rPr>
          <w:rFonts w:hint="eastAsia"/>
          <w:bCs/>
          <w:color w:val="auto"/>
          <w:shd w:val="clear" w:color="auto" w:fill="auto"/>
          <w:lang w:val="en-US" w:eastAsia="zh-CN"/>
        </w:rPr>
        <w:t>1536</w:t>
      </w:r>
      <w:r>
        <w:rPr>
          <w:rFonts w:hint="eastAsia"/>
          <w:bCs/>
          <w:color w:val="auto"/>
          <w:shd w:val="clear" w:color="auto" w:fill="auto"/>
          <w:vertAlign w:val="baseline"/>
          <w:lang w:eastAsia="zh-CN"/>
        </w:rPr>
        <w:t>m</w:t>
      </w:r>
      <w:r>
        <w:rPr>
          <w:rFonts w:hint="eastAsia"/>
          <w:bCs/>
          <w:color w:val="auto"/>
          <w:shd w:val="clear" w:color="auto" w:fill="auto"/>
          <w:vertAlign w:val="superscript"/>
          <w:lang w:eastAsia="zh-CN"/>
        </w:rPr>
        <w:t>3</w:t>
      </w:r>
      <w:r>
        <w:rPr>
          <w:rFonts w:hint="eastAsia"/>
          <w:bCs/>
          <w:color w:val="auto"/>
          <w:shd w:val="clear" w:color="auto" w:fill="auto"/>
        </w:rPr>
        <w:t>/a）。</w:t>
      </w:r>
      <w:r>
        <w:rPr>
          <w:rFonts w:hint="eastAsia" w:hAnsi="宋体"/>
          <w:color w:val="auto"/>
          <w:shd w:val="clear" w:color="auto" w:fill="auto"/>
        </w:rPr>
        <w:t>废水中主要污染物浓度为：COD 30</w:t>
      </w:r>
      <w:r>
        <w:rPr>
          <w:rFonts w:hAnsi="宋体"/>
          <w:color w:val="auto"/>
          <w:shd w:val="clear" w:color="auto" w:fill="auto"/>
        </w:rPr>
        <w:t>0</w:t>
      </w:r>
      <w:r>
        <w:rPr>
          <w:rFonts w:hint="eastAsia" w:hAnsi="宋体"/>
          <w:color w:val="auto"/>
          <w:shd w:val="clear" w:color="auto" w:fill="auto"/>
          <w:lang w:eastAsia="zh-CN"/>
        </w:rPr>
        <w:t>m</w:t>
      </w:r>
      <w:r>
        <w:rPr>
          <w:rFonts w:hAnsi="宋体"/>
          <w:color w:val="auto"/>
          <w:shd w:val="clear" w:color="auto" w:fill="auto"/>
        </w:rPr>
        <w:t>g/</w:t>
      </w:r>
      <w:r>
        <w:rPr>
          <w:rFonts w:hint="eastAsia" w:hAnsi="宋体"/>
          <w:color w:val="auto"/>
          <w:shd w:val="clear" w:color="auto" w:fill="auto"/>
        </w:rPr>
        <w:t>L、</w:t>
      </w:r>
      <w:r>
        <w:rPr>
          <w:rFonts w:hAnsi="宋体"/>
          <w:color w:val="auto"/>
          <w:shd w:val="clear" w:color="auto" w:fill="auto"/>
        </w:rPr>
        <w:t>BOD</w:t>
      </w:r>
      <w:r>
        <w:rPr>
          <w:rFonts w:hAnsi="宋体"/>
          <w:color w:val="auto"/>
          <w:shd w:val="clear" w:color="auto" w:fill="auto"/>
          <w:vertAlign w:val="subscript"/>
        </w:rPr>
        <w:t>5</w:t>
      </w:r>
      <w:r>
        <w:rPr>
          <w:rFonts w:hint="eastAsia" w:hAnsi="宋体"/>
          <w:color w:val="auto"/>
          <w:shd w:val="clear" w:color="auto" w:fill="auto"/>
        </w:rPr>
        <w:t xml:space="preserve"> 180</w:t>
      </w:r>
      <w:r>
        <w:rPr>
          <w:rFonts w:hint="eastAsia" w:hAnsi="宋体"/>
          <w:color w:val="auto"/>
          <w:shd w:val="clear" w:color="auto" w:fill="auto"/>
          <w:lang w:eastAsia="zh-CN"/>
        </w:rPr>
        <w:t>m</w:t>
      </w:r>
      <w:r>
        <w:rPr>
          <w:rFonts w:hAnsi="宋体"/>
          <w:color w:val="auto"/>
          <w:shd w:val="clear" w:color="auto" w:fill="auto"/>
        </w:rPr>
        <w:t>g/</w:t>
      </w:r>
      <w:r>
        <w:rPr>
          <w:rFonts w:hint="eastAsia" w:hAnsi="宋体"/>
          <w:color w:val="auto"/>
          <w:shd w:val="clear" w:color="auto" w:fill="auto"/>
        </w:rPr>
        <w:t>L、</w:t>
      </w:r>
      <w:r>
        <w:rPr>
          <w:rFonts w:hint="eastAsia"/>
          <w:color w:val="auto"/>
          <w:shd w:val="clear" w:color="auto" w:fill="auto"/>
        </w:rPr>
        <w:t>NH</w:t>
      </w:r>
      <w:r>
        <w:rPr>
          <w:rFonts w:hint="eastAsia"/>
          <w:color w:val="auto"/>
          <w:shd w:val="clear" w:color="auto" w:fill="auto"/>
          <w:vertAlign w:val="subscript"/>
        </w:rPr>
        <w:t>3</w:t>
      </w:r>
      <w:r>
        <w:rPr>
          <w:rFonts w:hint="eastAsia"/>
          <w:color w:val="auto"/>
          <w:shd w:val="clear" w:color="auto" w:fill="auto"/>
        </w:rPr>
        <w:t xml:space="preserve">-N </w:t>
      </w:r>
      <w:r>
        <w:rPr>
          <w:rFonts w:hint="eastAsia" w:hAnsi="宋体"/>
          <w:color w:val="auto"/>
          <w:shd w:val="clear" w:color="auto" w:fill="auto"/>
        </w:rPr>
        <w:t>35</w:t>
      </w:r>
      <w:r>
        <w:rPr>
          <w:rFonts w:hint="eastAsia" w:hAnsi="宋体"/>
          <w:color w:val="auto"/>
          <w:shd w:val="clear" w:color="auto" w:fill="auto"/>
          <w:lang w:eastAsia="zh-CN"/>
        </w:rPr>
        <w:t>m</w:t>
      </w:r>
      <w:r>
        <w:rPr>
          <w:rFonts w:hAnsi="宋体"/>
          <w:color w:val="auto"/>
          <w:shd w:val="clear" w:color="auto" w:fill="auto"/>
        </w:rPr>
        <w:t>g/</w:t>
      </w:r>
      <w:r>
        <w:rPr>
          <w:rFonts w:hint="eastAsia" w:hAnsi="宋体"/>
          <w:color w:val="auto"/>
          <w:shd w:val="clear" w:color="auto" w:fill="auto"/>
        </w:rPr>
        <w:t>L，</w:t>
      </w:r>
      <w:r>
        <w:rPr>
          <w:color w:val="auto"/>
          <w:shd w:val="clear" w:color="auto" w:fill="auto"/>
        </w:rPr>
        <w:t>SS</w:t>
      </w:r>
      <w:r>
        <w:rPr>
          <w:rFonts w:hAnsi="宋体"/>
          <w:color w:val="auto"/>
          <w:shd w:val="clear" w:color="auto" w:fill="auto"/>
        </w:rPr>
        <w:t>为</w:t>
      </w:r>
      <w:r>
        <w:rPr>
          <w:rFonts w:hint="eastAsia"/>
          <w:color w:val="auto"/>
          <w:shd w:val="clear" w:color="auto" w:fill="auto"/>
        </w:rPr>
        <w:t>20</w:t>
      </w:r>
      <w:r>
        <w:rPr>
          <w:color w:val="auto"/>
          <w:shd w:val="clear" w:color="auto" w:fill="auto"/>
        </w:rPr>
        <w:t>0</w:t>
      </w:r>
      <w:r>
        <w:rPr>
          <w:rFonts w:hint="eastAsia"/>
          <w:color w:val="auto"/>
          <w:shd w:val="clear" w:color="auto" w:fill="auto"/>
          <w:lang w:eastAsia="zh-CN"/>
        </w:rPr>
        <w:t>m</w:t>
      </w:r>
      <w:r>
        <w:rPr>
          <w:color w:val="auto"/>
          <w:shd w:val="clear" w:color="auto" w:fill="auto"/>
        </w:rPr>
        <w:t>g/</w:t>
      </w:r>
      <w:r>
        <w:rPr>
          <w:rFonts w:hint="eastAsia"/>
          <w:color w:val="auto"/>
          <w:shd w:val="clear" w:color="auto" w:fill="auto"/>
        </w:rPr>
        <w:t>L。</w:t>
      </w:r>
    </w:p>
    <w:p>
      <w:pPr>
        <w:bidi w:val="0"/>
        <w:rPr>
          <w:color w:val="auto"/>
        </w:rPr>
      </w:pPr>
      <w:r>
        <w:rPr>
          <w:rFonts w:hint="eastAsia"/>
          <w:color w:val="auto"/>
        </w:rPr>
        <w:t>本项目到港船舶生活污水</w:t>
      </w:r>
      <w:bookmarkStart w:id="233" w:name="OLE_LINK3"/>
      <w:r>
        <w:rPr>
          <w:rFonts w:hint="eastAsia"/>
          <w:color w:val="auto"/>
        </w:rPr>
        <w:t>由</w:t>
      </w:r>
      <w:bookmarkEnd w:id="233"/>
      <w:r>
        <w:rPr>
          <w:rFonts w:hint="eastAsia"/>
          <w:color w:val="auto"/>
        </w:rPr>
        <w:t>船舶生活污水收集罐车收集，定期外运至</w:t>
      </w:r>
      <w:r>
        <w:rPr>
          <w:rFonts w:hint="eastAsia"/>
          <w:color w:val="auto"/>
          <w:lang w:eastAsia="zh-CN"/>
        </w:rPr>
        <w:t>有资质的</w:t>
      </w:r>
      <w:r>
        <w:rPr>
          <w:rFonts w:hint="eastAsia"/>
          <w:color w:val="auto"/>
        </w:rPr>
        <w:t>接收处理单位，不得随意排放。</w:t>
      </w:r>
    </w:p>
    <w:p>
      <w:pPr>
        <w:rPr>
          <w:b/>
          <w:bCs/>
          <w:color w:val="auto"/>
          <w:shd w:val="clear" w:color="auto" w:fill="auto"/>
        </w:rPr>
      </w:pPr>
      <w:r>
        <w:rPr>
          <w:rFonts w:hint="eastAsia"/>
          <w:b/>
          <w:bCs/>
          <w:color w:val="auto"/>
          <w:shd w:val="clear" w:color="auto" w:fill="auto"/>
          <w:lang w:val="en-US" w:eastAsia="zh-CN"/>
        </w:rPr>
        <w:t>2、</w:t>
      </w:r>
      <w:r>
        <w:rPr>
          <w:rFonts w:hint="eastAsia"/>
          <w:b/>
          <w:bCs/>
          <w:color w:val="auto"/>
          <w:shd w:val="clear" w:color="auto" w:fill="auto"/>
        </w:rPr>
        <w:t>港区生产废水和生活污水</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1</w:t>
      </w:r>
      <w:r>
        <w:rPr>
          <w:rFonts w:hint="eastAsia"/>
          <w:color w:val="auto"/>
          <w:shd w:val="clear" w:color="auto" w:fill="auto"/>
        </w:rPr>
        <w:t>）港区</w:t>
      </w:r>
      <w:r>
        <w:rPr>
          <w:color w:val="auto"/>
          <w:shd w:val="clear" w:color="auto" w:fill="auto"/>
        </w:rPr>
        <w:t>生活污水</w:t>
      </w:r>
    </w:p>
    <w:p>
      <w:pPr>
        <w:ind w:firstLine="480"/>
        <w:rPr>
          <w:rFonts w:hint="eastAsia"/>
          <w:color w:val="FF0000"/>
          <w:shd w:val="clear" w:color="auto" w:fill="auto"/>
        </w:rPr>
      </w:pPr>
      <w:r>
        <w:rPr>
          <w:rFonts w:hint="eastAsia"/>
          <w:color w:val="auto"/>
          <w:shd w:val="clear" w:color="auto" w:fill="auto"/>
        </w:rPr>
        <w:t>本</w:t>
      </w:r>
      <w:r>
        <w:rPr>
          <w:rFonts w:hint="eastAsia"/>
          <w:color w:val="auto"/>
          <w:shd w:val="clear" w:color="auto" w:fill="auto"/>
          <w:lang w:eastAsia="zh-CN"/>
        </w:rPr>
        <w:t>项目</w:t>
      </w:r>
      <w:r>
        <w:rPr>
          <w:rFonts w:hint="eastAsia"/>
          <w:color w:val="auto"/>
          <w:shd w:val="clear" w:color="auto" w:fill="auto"/>
          <w:lang w:val="en-US" w:eastAsia="zh-CN"/>
        </w:rPr>
        <w:t>港区</w:t>
      </w:r>
      <w:r>
        <w:rPr>
          <w:rFonts w:hint="eastAsia"/>
          <w:color w:val="auto"/>
          <w:shd w:val="clear" w:color="auto" w:fill="auto"/>
        </w:rPr>
        <w:t>劳动定员</w:t>
      </w:r>
      <w:r>
        <w:rPr>
          <w:rFonts w:hint="eastAsia"/>
          <w:color w:val="auto"/>
          <w:shd w:val="clear" w:color="auto" w:fill="auto"/>
          <w:lang w:val="en-US" w:eastAsia="zh-CN"/>
        </w:rPr>
        <w:t>11</w:t>
      </w:r>
      <w:r>
        <w:rPr>
          <w:rFonts w:hint="eastAsia"/>
          <w:color w:val="auto"/>
          <w:shd w:val="clear" w:color="auto" w:fill="auto"/>
        </w:rPr>
        <w:t>人，</w:t>
      </w:r>
      <w:r>
        <w:rPr>
          <w:rFonts w:hint="eastAsia"/>
          <w:color w:val="auto"/>
          <w:shd w:val="clear" w:color="auto" w:fill="auto"/>
          <w:lang w:eastAsia="zh-CN"/>
        </w:rPr>
        <w:t>不提供食宿，</w:t>
      </w:r>
      <w:r>
        <w:rPr>
          <w:color w:val="auto"/>
          <w:shd w:val="clear" w:color="auto" w:fill="auto"/>
        </w:rPr>
        <w:t>按人均用水量约</w:t>
      </w:r>
      <w:r>
        <w:rPr>
          <w:rFonts w:hint="eastAsia"/>
          <w:color w:val="auto"/>
          <w:shd w:val="clear" w:color="auto" w:fill="auto"/>
          <w:lang w:val="en-US" w:eastAsia="zh-CN"/>
        </w:rPr>
        <w:t>6</w:t>
      </w:r>
      <w:r>
        <w:rPr>
          <w:color w:val="auto"/>
          <w:shd w:val="clear" w:color="auto" w:fill="auto"/>
        </w:rPr>
        <w:t>0L/d*人计，日用水量</w:t>
      </w:r>
      <w:r>
        <w:rPr>
          <w:rFonts w:hint="eastAsia"/>
          <w:color w:val="auto"/>
          <w:shd w:val="clear" w:color="auto" w:fill="auto"/>
          <w:lang w:val="en-US" w:eastAsia="zh-CN"/>
        </w:rPr>
        <w:t>0.66</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/d</w:t>
      </w:r>
      <w:r>
        <w:rPr>
          <w:rFonts w:hint="eastAsia"/>
          <w:color w:val="auto"/>
          <w:shd w:val="clear" w:color="auto" w:fill="auto"/>
        </w:rPr>
        <w:t>（</w:t>
      </w:r>
      <w:r>
        <w:rPr>
          <w:rFonts w:hint="eastAsia"/>
          <w:color w:val="auto"/>
          <w:shd w:val="clear" w:color="auto" w:fill="auto"/>
          <w:lang w:val="en-US" w:eastAsia="zh-CN"/>
        </w:rPr>
        <w:t>211.2</w:t>
      </w:r>
      <w:r>
        <w:rPr>
          <w:rFonts w:hint="eastAsia"/>
          <w:bCs/>
          <w:color w:val="auto"/>
          <w:shd w:val="clear" w:color="auto" w:fill="auto"/>
          <w:vertAlign w:val="baseline"/>
          <w:lang w:eastAsia="zh-CN"/>
        </w:rPr>
        <w:t>m</w:t>
      </w:r>
      <w:r>
        <w:rPr>
          <w:rFonts w:hint="eastAsia"/>
          <w:bCs/>
          <w:color w:val="auto"/>
          <w:shd w:val="clear" w:color="auto" w:fill="auto"/>
          <w:vertAlign w:val="superscript"/>
          <w:lang w:eastAsia="zh-CN"/>
        </w:rPr>
        <w:t>3</w:t>
      </w:r>
      <w:r>
        <w:rPr>
          <w:rFonts w:hint="eastAsia"/>
          <w:color w:val="auto"/>
          <w:shd w:val="clear" w:color="auto" w:fill="auto"/>
        </w:rPr>
        <w:t>/a）</w:t>
      </w:r>
      <w:r>
        <w:rPr>
          <w:color w:val="auto"/>
          <w:shd w:val="clear" w:color="auto" w:fill="auto"/>
        </w:rPr>
        <w:t>，废水量以用水量80</w:t>
      </w:r>
      <w:r>
        <w:rPr>
          <w:rFonts w:hint="eastAsia"/>
          <w:color w:val="auto"/>
          <w:shd w:val="clear" w:color="auto" w:fill="auto"/>
        </w:rPr>
        <w:t>%</w:t>
      </w:r>
      <w:r>
        <w:rPr>
          <w:color w:val="auto"/>
          <w:shd w:val="clear" w:color="auto" w:fill="auto"/>
        </w:rPr>
        <w:t>计，则</w:t>
      </w:r>
      <w:r>
        <w:rPr>
          <w:rFonts w:hint="eastAsia"/>
          <w:color w:val="auto"/>
          <w:shd w:val="clear" w:color="auto" w:fill="auto"/>
        </w:rPr>
        <w:t>码头生活污水产生量</w:t>
      </w:r>
      <w:r>
        <w:rPr>
          <w:rFonts w:hint="eastAsia"/>
          <w:color w:val="auto"/>
          <w:shd w:val="clear" w:color="auto" w:fill="auto"/>
          <w:lang w:val="en-US" w:eastAsia="zh-CN"/>
        </w:rPr>
        <w:t>0.53</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/d</w:t>
      </w:r>
      <w:r>
        <w:rPr>
          <w:rFonts w:hint="eastAsia"/>
          <w:color w:val="auto"/>
          <w:shd w:val="clear" w:color="auto" w:fill="auto"/>
        </w:rPr>
        <w:t>（</w:t>
      </w:r>
      <w:r>
        <w:rPr>
          <w:rFonts w:hint="eastAsia"/>
          <w:color w:val="auto"/>
          <w:shd w:val="clear" w:color="auto" w:fill="auto"/>
          <w:lang w:val="en-US" w:eastAsia="zh-CN"/>
        </w:rPr>
        <w:t>169</w:t>
      </w:r>
      <w:r>
        <w:rPr>
          <w:rFonts w:hint="eastAsia"/>
          <w:bCs/>
          <w:color w:val="auto"/>
          <w:shd w:val="clear" w:color="auto" w:fill="auto"/>
          <w:vertAlign w:val="baseline"/>
          <w:lang w:eastAsia="zh-CN"/>
        </w:rPr>
        <w:t>m</w:t>
      </w:r>
      <w:r>
        <w:rPr>
          <w:rFonts w:hint="eastAsia"/>
          <w:bCs/>
          <w:color w:val="auto"/>
          <w:shd w:val="clear" w:color="auto" w:fill="auto"/>
          <w:vertAlign w:val="superscript"/>
          <w:lang w:eastAsia="zh-CN"/>
        </w:rPr>
        <w:t>3</w:t>
      </w:r>
      <w:r>
        <w:rPr>
          <w:rFonts w:hint="eastAsia"/>
          <w:color w:val="auto"/>
          <w:shd w:val="clear" w:color="auto" w:fill="auto"/>
        </w:rPr>
        <w:t>/a）。废水中</w:t>
      </w:r>
      <w:r>
        <w:rPr>
          <w:color w:val="auto"/>
          <w:shd w:val="clear" w:color="auto" w:fill="auto"/>
        </w:rPr>
        <w:t>其主要污染物为</w:t>
      </w:r>
      <w:r>
        <w:rPr>
          <w:rFonts w:hint="eastAsia"/>
          <w:color w:val="auto"/>
          <w:shd w:val="clear" w:color="auto" w:fill="auto"/>
        </w:rPr>
        <w:t>COD、BOD</w:t>
      </w:r>
      <w:r>
        <w:rPr>
          <w:rFonts w:hint="eastAsia"/>
          <w:color w:val="auto"/>
          <w:shd w:val="clear" w:color="auto" w:fill="auto"/>
          <w:vertAlign w:val="subscript"/>
        </w:rPr>
        <w:t>5</w:t>
      </w:r>
      <w:r>
        <w:rPr>
          <w:rFonts w:hint="eastAsia"/>
          <w:color w:val="auto"/>
          <w:shd w:val="clear" w:color="auto" w:fill="auto"/>
        </w:rPr>
        <w:t>、NH</w:t>
      </w:r>
      <w:r>
        <w:rPr>
          <w:rFonts w:hint="eastAsia"/>
          <w:color w:val="auto"/>
          <w:shd w:val="clear" w:color="auto" w:fill="auto"/>
          <w:vertAlign w:val="subscript"/>
        </w:rPr>
        <w:t>3</w:t>
      </w:r>
      <w:r>
        <w:rPr>
          <w:rFonts w:hint="eastAsia"/>
          <w:color w:val="auto"/>
          <w:shd w:val="clear" w:color="auto" w:fill="auto"/>
        </w:rPr>
        <w:t>-N和</w:t>
      </w:r>
      <w:r>
        <w:rPr>
          <w:color w:val="auto"/>
          <w:shd w:val="clear" w:color="auto" w:fill="auto"/>
        </w:rPr>
        <w:t>SS等</w:t>
      </w:r>
      <w:r>
        <w:rPr>
          <w:rFonts w:hint="eastAsia"/>
          <w:color w:val="auto"/>
          <w:shd w:val="clear" w:color="auto" w:fill="auto"/>
        </w:rPr>
        <w:t>。</w:t>
      </w:r>
      <w:r>
        <w:rPr>
          <w:color w:val="auto"/>
          <w:shd w:val="clear" w:color="auto" w:fill="auto"/>
        </w:rPr>
        <w:t>通过类比，</w:t>
      </w:r>
      <w:r>
        <w:rPr>
          <w:rFonts w:hint="eastAsia"/>
          <w:color w:val="auto"/>
          <w:shd w:val="clear" w:color="auto" w:fill="auto"/>
        </w:rPr>
        <w:t>废水中主要污染物浓度为：COD 30</w:t>
      </w:r>
      <w:r>
        <w:rPr>
          <w:color w:val="auto"/>
          <w:shd w:val="clear" w:color="auto" w:fill="auto"/>
        </w:rPr>
        <w:t>0</w:t>
      </w:r>
      <w:r>
        <w:rPr>
          <w:rFonts w:hint="eastAsia"/>
          <w:color w:val="auto"/>
          <w:shd w:val="clear" w:color="auto" w:fill="auto"/>
          <w:lang w:eastAsia="zh-CN"/>
        </w:rPr>
        <w:t>m</w:t>
      </w:r>
      <w:r>
        <w:rPr>
          <w:color w:val="auto"/>
          <w:shd w:val="clear" w:color="auto" w:fill="auto"/>
        </w:rPr>
        <w:t>g/</w:t>
      </w:r>
      <w:r>
        <w:rPr>
          <w:rFonts w:hint="eastAsia"/>
          <w:color w:val="auto"/>
          <w:shd w:val="clear" w:color="auto" w:fill="auto"/>
        </w:rPr>
        <w:t>L、</w:t>
      </w:r>
      <w:r>
        <w:rPr>
          <w:color w:val="auto"/>
          <w:shd w:val="clear" w:color="auto" w:fill="auto"/>
        </w:rPr>
        <w:t>BOD</w:t>
      </w:r>
      <w:r>
        <w:rPr>
          <w:color w:val="auto"/>
          <w:shd w:val="clear" w:color="auto" w:fill="auto"/>
          <w:vertAlign w:val="subscript"/>
        </w:rPr>
        <w:t>5</w:t>
      </w:r>
      <w:r>
        <w:rPr>
          <w:rFonts w:hint="eastAsia"/>
          <w:color w:val="auto"/>
          <w:shd w:val="clear" w:color="auto" w:fill="auto"/>
        </w:rPr>
        <w:t xml:space="preserve"> 180</w:t>
      </w:r>
      <w:r>
        <w:rPr>
          <w:rFonts w:hint="eastAsia"/>
          <w:color w:val="auto"/>
          <w:shd w:val="clear" w:color="auto" w:fill="auto"/>
          <w:lang w:eastAsia="zh-CN"/>
        </w:rPr>
        <w:t>m</w:t>
      </w:r>
      <w:r>
        <w:rPr>
          <w:color w:val="auto"/>
          <w:shd w:val="clear" w:color="auto" w:fill="auto"/>
        </w:rPr>
        <w:t>g/</w:t>
      </w:r>
      <w:r>
        <w:rPr>
          <w:rFonts w:hint="eastAsia"/>
          <w:color w:val="auto"/>
          <w:shd w:val="clear" w:color="auto" w:fill="auto"/>
        </w:rPr>
        <w:t>L、NH</w:t>
      </w:r>
      <w:r>
        <w:rPr>
          <w:rFonts w:hint="eastAsia"/>
          <w:color w:val="auto"/>
          <w:shd w:val="clear" w:color="auto" w:fill="auto"/>
          <w:vertAlign w:val="subscript"/>
        </w:rPr>
        <w:t>3</w:t>
      </w:r>
      <w:r>
        <w:rPr>
          <w:rFonts w:hint="eastAsia"/>
          <w:color w:val="auto"/>
          <w:shd w:val="clear" w:color="auto" w:fill="auto"/>
        </w:rPr>
        <w:t>-N 35</w:t>
      </w:r>
      <w:r>
        <w:rPr>
          <w:rFonts w:hint="eastAsia"/>
          <w:color w:val="auto"/>
          <w:shd w:val="clear" w:color="auto" w:fill="auto"/>
          <w:lang w:eastAsia="zh-CN"/>
        </w:rPr>
        <w:t>m</w:t>
      </w:r>
      <w:r>
        <w:rPr>
          <w:color w:val="auto"/>
          <w:shd w:val="clear" w:color="auto" w:fill="auto"/>
        </w:rPr>
        <w:t>g/</w:t>
      </w:r>
      <w:r>
        <w:rPr>
          <w:rFonts w:hint="eastAsia"/>
          <w:color w:val="auto"/>
          <w:shd w:val="clear" w:color="auto" w:fill="auto"/>
        </w:rPr>
        <w:t>L、</w:t>
      </w:r>
      <w:r>
        <w:rPr>
          <w:color w:val="auto"/>
          <w:shd w:val="clear" w:color="auto" w:fill="auto"/>
        </w:rPr>
        <w:t>SS为</w:t>
      </w:r>
      <w:r>
        <w:rPr>
          <w:rFonts w:hint="eastAsia"/>
          <w:color w:val="auto"/>
          <w:shd w:val="clear" w:color="auto" w:fill="auto"/>
        </w:rPr>
        <w:t>20</w:t>
      </w:r>
      <w:r>
        <w:rPr>
          <w:color w:val="auto"/>
          <w:shd w:val="clear" w:color="auto" w:fill="auto"/>
        </w:rPr>
        <w:t>0</w:t>
      </w:r>
      <w:r>
        <w:rPr>
          <w:rFonts w:hint="eastAsia"/>
          <w:color w:val="auto"/>
          <w:shd w:val="clear" w:color="auto" w:fill="auto"/>
          <w:lang w:eastAsia="zh-CN"/>
        </w:rPr>
        <w:t>m</w:t>
      </w:r>
      <w:r>
        <w:rPr>
          <w:color w:val="auto"/>
          <w:shd w:val="clear" w:color="auto" w:fill="auto"/>
        </w:rPr>
        <w:t>g/</w:t>
      </w:r>
      <w:r>
        <w:rPr>
          <w:rFonts w:hint="eastAsia"/>
          <w:color w:val="auto"/>
          <w:shd w:val="clear" w:color="auto" w:fill="auto"/>
        </w:rPr>
        <w:t>L。</w:t>
      </w:r>
    </w:p>
    <w:p>
      <w:pPr>
        <w:numPr>
          <w:ilvl w:val="0"/>
          <w:numId w:val="7"/>
        </w:numPr>
        <w:ind w:left="0" w:leftChars="0" w:firstLine="480" w:firstLineChars="200"/>
        <w:rPr>
          <w:rFonts w:hint="eastAsia"/>
          <w:color w:val="auto"/>
          <w:shd w:val="clear" w:color="auto" w:fill="auto"/>
        </w:rPr>
      </w:pPr>
      <w:r>
        <w:rPr>
          <w:rFonts w:hint="eastAsia"/>
          <w:color w:val="auto"/>
          <w:shd w:val="clear" w:color="auto" w:fill="auto"/>
        </w:rPr>
        <w:t>流动机械冲洗废水</w:t>
      </w:r>
    </w:p>
    <w:p>
      <w:pPr>
        <w:bidi w:val="0"/>
        <w:rPr>
          <w:rFonts w:hint="eastAsia"/>
          <w:color w:val="auto"/>
          <w:lang w:val="en-US" w:eastAsia="zh-CN"/>
        </w:rPr>
      </w:pPr>
      <w:bookmarkStart w:id="234" w:name="OLE_LINK4"/>
      <w:r>
        <w:rPr>
          <w:rFonts w:hint="default"/>
          <w:color w:val="auto"/>
          <w:lang w:val="en-US" w:eastAsia="zh-CN"/>
        </w:rPr>
        <w:t>本项目运输量为平均每天发空车、重载各</w:t>
      </w:r>
      <w:r>
        <w:rPr>
          <w:rFonts w:hint="eastAsia"/>
          <w:color w:val="auto"/>
          <w:lang w:val="en-US" w:eastAsia="zh-CN"/>
        </w:rPr>
        <w:t>157</w:t>
      </w:r>
      <w:r>
        <w:rPr>
          <w:rFonts w:hint="default"/>
          <w:color w:val="auto"/>
          <w:lang w:val="en-US" w:eastAsia="zh-CN"/>
        </w:rPr>
        <w:t>辆次，采用载量为</w:t>
      </w:r>
      <w:r>
        <w:rPr>
          <w:rFonts w:hint="eastAsia"/>
          <w:color w:val="auto"/>
          <w:lang w:val="en-US" w:eastAsia="zh-CN"/>
        </w:rPr>
        <w:t>3</w:t>
      </w:r>
      <w:r>
        <w:rPr>
          <w:rFonts w:hint="default"/>
          <w:color w:val="auto"/>
          <w:lang w:val="en-US" w:eastAsia="zh-CN"/>
        </w:rPr>
        <w:t>0t自卸卡车运输，每天</w:t>
      </w:r>
      <w:r>
        <w:rPr>
          <w:rFonts w:hint="eastAsia"/>
          <w:color w:val="auto"/>
          <w:lang w:val="en-US" w:eastAsia="zh-CN"/>
        </w:rPr>
        <w:t>进出港区</w:t>
      </w:r>
      <w:r>
        <w:rPr>
          <w:rFonts w:hint="default"/>
          <w:color w:val="auto"/>
          <w:lang w:val="en-US" w:eastAsia="zh-CN"/>
        </w:rPr>
        <w:t>车辆</w:t>
      </w:r>
      <w:r>
        <w:rPr>
          <w:rFonts w:hint="eastAsia"/>
          <w:color w:val="auto"/>
          <w:lang w:val="en-US" w:eastAsia="zh-CN"/>
        </w:rPr>
        <w:t>157</w:t>
      </w:r>
      <w:r>
        <w:rPr>
          <w:rFonts w:hint="default"/>
          <w:color w:val="auto"/>
          <w:lang w:val="en-US" w:eastAsia="zh-CN"/>
        </w:rPr>
        <w:t>台，每辆车洗车用水量</w:t>
      </w:r>
      <w:r>
        <w:rPr>
          <w:rFonts w:hint="eastAsia"/>
          <w:color w:val="auto"/>
          <w:lang w:val="en-US" w:eastAsia="zh-CN"/>
        </w:rPr>
        <w:t>按6</w:t>
      </w:r>
      <w:r>
        <w:rPr>
          <w:rFonts w:hint="default"/>
          <w:color w:val="auto"/>
          <w:lang w:val="en-US" w:eastAsia="zh-CN"/>
        </w:rPr>
        <w:t>0L/</w:t>
      </w:r>
      <w:r>
        <w:rPr>
          <w:rFonts w:hint="eastAsia"/>
          <w:color w:val="auto"/>
          <w:lang w:val="en-US" w:eastAsia="zh-CN"/>
        </w:rPr>
        <w:t>台</w:t>
      </w:r>
      <w:r>
        <w:rPr>
          <w:rFonts w:hint="default"/>
          <w:color w:val="auto"/>
          <w:lang w:val="en-US" w:eastAsia="zh-CN"/>
        </w:rPr>
        <w:t>，每天用水量</w:t>
      </w:r>
      <w:r>
        <w:rPr>
          <w:rFonts w:hint="eastAsia"/>
          <w:color w:val="auto"/>
          <w:lang w:val="en-US" w:eastAsia="zh-CN"/>
        </w:rPr>
        <w:t>9.42</w:t>
      </w:r>
      <w:r>
        <w:rPr>
          <w:rFonts w:hint="eastAsia"/>
          <w:color w:val="auto"/>
          <w:vertAlign w:val="baseline"/>
          <w:lang w:val="en-US" w:eastAsia="zh-CN"/>
        </w:rPr>
        <w:t>m</w:t>
      </w:r>
      <w:r>
        <w:rPr>
          <w:rFonts w:hint="eastAsia"/>
          <w:color w:val="auto"/>
          <w:vertAlign w:val="superscript"/>
          <w:lang w:val="en-US" w:eastAsia="zh-CN"/>
        </w:rPr>
        <w:t>3</w:t>
      </w:r>
      <w:r>
        <w:rPr>
          <w:rFonts w:hint="default"/>
          <w:color w:val="auto"/>
          <w:lang w:val="en-US" w:eastAsia="zh-CN"/>
        </w:rPr>
        <w:t>/d，</w:t>
      </w:r>
      <w:r>
        <w:rPr>
          <w:rFonts w:hint="default"/>
          <w:color w:val="auto"/>
          <w:lang w:val="en-US" w:eastAsia="zh-CN"/>
        </w:rPr>
        <w:t>即年用</w:t>
      </w:r>
      <w:r>
        <w:rPr>
          <w:rFonts w:hint="eastAsia"/>
          <w:color w:val="auto"/>
          <w:lang w:val="en-US" w:eastAsia="zh-CN"/>
        </w:rPr>
        <w:t>水</w:t>
      </w:r>
      <w:r>
        <w:rPr>
          <w:rFonts w:hint="default"/>
          <w:color w:val="auto"/>
          <w:lang w:val="en-US" w:eastAsia="zh-CN"/>
        </w:rPr>
        <w:t>量</w:t>
      </w:r>
      <w:r>
        <w:rPr>
          <w:rFonts w:hint="eastAsia"/>
          <w:color w:val="auto"/>
          <w:lang w:val="en-US" w:eastAsia="zh-CN"/>
        </w:rPr>
        <w:t>3014.4</w:t>
      </w:r>
      <w:r>
        <w:rPr>
          <w:rFonts w:hint="eastAsia"/>
          <w:color w:val="auto"/>
          <w:vertAlign w:val="baseline"/>
          <w:lang w:val="en-US" w:eastAsia="zh-CN"/>
        </w:rPr>
        <w:t>m</w:t>
      </w:r>
      <w:r>
        <w:rPr>
          <w:rFonts w:hint="eastAsia"/>
          <w:color w:val="auto"/>
          <w:vertAlign w:val="superscript"/>
          <w:lang w:val="en-US" w:eastAsia="zh-CN"/>
        </w:rPr>
        <w:t>3</w:t>
      </w:r>
      <w:r>
        <w:rPr>
          <w:rFonts w:hint="default"/>
          <w:color w:val="auto"/>
          <w:lang w:val="en-US" w:eastAsia="zh-CN"/>
        </w:rPr>
        <w:t>/a，损耗30%，则洗车</w:t>
      </w:r>
      <w:r>
        <w:rPr>
          <w:rFonts w:hint="eastAsia"/>
          <w:color w:val="auto"/>
          <w:lang w:val="en-US" w:eastAsia="zh-CN"/>
        </w:rPr>
        <w:t>废水</w:t>
      </w:r>
      <w:r>
        <w:rPr>
          <w:rFonts w:hint="default"/>
          <w:color w:val="auto"/>
          <w:lang w:val="en-US" w:eastAsia="zh-CN"/>
        </w:rPr>
        <w:t>产生量</w:t>
      </w:r>
      <w:r>
        <w:rPr>
          <w:rFonts w:hint="eastAsia"/>
          <w:color w:val="auto"/>
          <w:lang w:val="en-US" w:eastAsia="zh-CN"/>
        </w:rPr>
        <w:t>6.59</w:t>
      </w:r>
      <w:r>
        <w:rPr>
          <w:rFonts w:hint="eastAsia"/>
          <w:color w:val="auto"/>
          <w:vertAlign w:val="baseline"/>
          <w:lang w:val="en-US" w:eastAsia="zh-CN"/>
        </w:rPr>
        <w:t>m</w:t>
      </w:r>
      <w:r>
        <w:rPr>
          <w:rFonts w:hint="eastAsia"/>
          <w:color w:val="auto"/>
          <w:vertAlign w:val="superscript"/>
          <w:lang w:val="en-US" w:eastAsia="zh-CN"/>
        </w:rPr>
        <w:t>3</w:t>
      </w:r>
      <w:r>
        <w:rPr>
          <w:rFonts w:hint="default"/>
          <w:color w:val="auto"/>
          <w:lang w:val="en-US" w:eastAsia="zh-CN"/>
        </w:rPr>
        <w:t>/d，即年</w:t>
      </w:r>
      <w:r>
        <w:rPr>
          <w:rFonts w:hint="eastAsia"/>
          <w:color w:val="auto"/>
          <w:lang w:val="en-US" w:eastAsia="zh-CN"/>
        </w:rPr>
        <w:t>废水</w:t>
      </w:r>
      <w:r>
        <w:rPr>
          <w:rFonts w:hint="default"/>
          <w:color w:val="auto"/>
          <w:lang w:val="en-US" w:eastAsia="zh-CN"/>
        </w:rPr>
        <w:t>产生量</w:t>
      </w:r>
      <w:r>
        <w:rPr>
          <w:rFonts w:hint="eastAsia"/>
          <w:color w:val="auto"/>
          <w:lang w:val="en-US" w:eastAsia="zh-CN"/>
        </w:rPr>
        <w:t>2110.08</w:t>
      </w:r>
      <w:r>
        <w:rPr>
          <w:rFonts w:hint="eastAsia"/>
          <w:color w:val="auto"/>
          <w:vertAlign w:val="baseline"/>
          <w:lang w:val="en-US" w:eastAsia="zh-CN"/>
        </w:rPr>
        <w:t>m</w:t>
      </w:r>
      <w:r>
        <w:rPr>
          <w:rFonts w:hint="eastAsia"/>
          <w:color w:val="auto"/>
          <w:vertAlign w:val="superscript"/>
          <w:lang w:val="en-US" w:eastAsia="zh-CN"/>
        </w:rPr>
        <w:t>3</w:t>
      </w:r>
      <w:r>
        <w:rPr>
          <w:rFonts w:hint="default"/>
          <w:color w:val="auto"/>
          <w:lang w:val="en-US" w:eastAsia="zh-CN"/>
        </w:rPr>
        <w:t>/a。</w:t>
      </w:r>
      <w:r>
        <w:rPr>
          <w:rFonts w:hint="eastAsia"/>
          <w:color w:val="auto"/>
        </w:rPr>
        <w:t>流动机械冲洗废水</w:t>
      </w:r>
      <w:r>
        <w:rPr>
          <w:rFonts w:hint="default"/>
          <w:color w:val="auto"/>
          <w:lang w:val="en-US" w:eastAsia="zh-CN"/>
        </w:rPr>
        <w:t>经</w:t>
      </w:r>
      <w:r>
        <w:rPr>
          <w:rFonts w:hint="eastAsia"/>
          <w:color w:val="auto"/>
          <w:lang w:val="en-US" w:eastAsia="zh-CN"/>
        </w:rPr>
        <w:t>1个10</w:t>
      </w:r>
      <w:r>
        <w:rPr>
          <w:rFonts w:hint="eastAsia"/>
          <w:color w:val="auto"/>
          <w:vertAlign w:val="baseline"/>
          <w:lang w:val="en-US" w:eastAsia="zh-CN"/>
        </w:rPr>
        <w:t>m</w:t>
      </w:r>
      <w:r>
        <w:rPr>
          <w:rFonts w:hint="eastAsia"/>
          <w:color w:val="auto"/>
          <w:vertAlign w:val="superscript"/>
          <w:lang w:val="en-US" w:eastAsia="zh-CN"/>
        </w:rPr>
        <w:t>3</w:t>
      </w:r>
      <w:r>
        <w:rPr>
          <w:rFonts w:hint="eastAsia"/>
          <w:color w:val="auto"/>
          <w:lang w:val="en-US" w:eastAsia="zh-CN"/>
        </w:rPr>
        <w:t>隔油</w:t>
      </w:r>
      <w:r>
        <w:rPr>
          <w:rFonts w:hint="default"/>
          <w:color w:val="auto"/>
          <w:lang w:val="en-US" w:eastAsia="zh-CN"/>
        </w:rPr>
        <w:t>沉淀池处理后回用，不外排。</w:t>
      </w:r>
      <w:bookmarkEnd w:id="234"/>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3</w:t>
      </w:r>
      <w:r>
        <w:rPr>
          <w:rFonts w:hint="eastAsia"/>
          <w:color w:val="auto"/>
          <w:shd w:val="clear" w:color="auto" w:fill="auto"/>
        </w:rPr>
        <w:t>）</w:t>
      </w:r>
      <w:r>
        <w:rPr>
          <w:color w:val="auto"/>
          <w:shd w:val="clear" w:color="auto" w:fill="auto"/>
        </w:rPr>
        <w:t>码头</w:t>
      </w:r>
      <w:r>
        <w:rPr>
          <w:rFonts w:hint="eastAsia"/>
          <w:color w:val="auto"/>
          <w:shd w:val="clear" w:color="auto" w:fill="auto"/>
          <w:lang w:val="en-US" w:eastAsia="zh-CN"/>
        </w:rPr>
        <w:t>地</w:t>
      </w:r>
      <w:r>
        <w:rPr>
          <w:color w:val="auto"/>
          <w:shd w:val="clear" w:color="auto" w:fill="auto"/>
        </w:rPr>
        <w:t>面冲洗水</w:t>
      </w:r>
    </w:p>
    <w:p>
      <w:pPr>
        <w:ind w:firstLine="480"/>
        <w:rPr>
          <w:rFonts w:hint="eastAsia"/>
          <w:color w:val="auto"/>
          <w:shd w:val="clear" w:color="auto" w:fill="auto"/>
          <w:lang w:val="en-US" w:eastAsia="zh-CN"/>
        </w:rPr>
      </w:pPr>
      <w:r>
        <w:rPr>
          <w:color w:val="auto"/>
        </w:rPr>
        <w:t>据《港口建设项目环境影响评价规范》（JTS 105-1-2011），码头面冲洗水量取每次5L/</w:t>
      </w:r>
      <w:r>
        <w:rPr>
          <w:rFonts w:hint="eastAsia"/>
          <w:color w:val="auto"/>
          <w:vertAlign w:val="baseline"/>
          <w:lang w:eastAsia="zh-CN"/>
        </w:rPr>
        <w:t>m</w:t>
      </w:r>
      <w:r>
        <w:rPr>
          <w:rFonts w:hint="eastAsia"/>
          <w:color w:val="auto"/>
          <w:vertAlign w:val="superscript"/>
          <w:lang w:eastAsia="zh-CN"/>
        </w:rPr>
        <w:t>2</w:t>
      </w:r>
      <w:r>
        <w:rPr>
          <w:color w:val="auto"/>
        </w:rPr>
        <w:t>。根据工可，码头面</w:t>
      </w:r>
      <w:r>
        <w:rPr>
          <w:rFonts w:hint="eastAsia"/>
          <w:color w:val="auto"/>
          <w:lang w:eastAsia="zh-CN"/>
        </w:rPr>
        <w:t>面</w:t>
      </w:r>
      <w:r>
        <w:rPr>
          <w:color w:val="auto"/>
        </w:rPr>
        <w:t>积为</w:t>
      </w:r>
      <w:r>
        <w:rPr>
          <w:rFonts w:hint="eastAsia"/>
          <w:color w:val="auto"/>
          <w:lang w:val="en-US" w:eastAsia="zh-CN"/>
        </w:rPr>
        <w:t>550</w:t>
      </w:r>
      <w:r>
        <w:rPr>
          <w:rFonts w:hint="eastAsia"/>
          <w:color w:val="auto"/>
        </w:rPr>
        <w:t>0</w:t>
      </w:r>
      <w:r>
        <w:rPr>
          <w:rFonts w:hint="eastAsia"/>
          <w:color w:val="auto"/>
          <w:vertAlign w:val="baseline"/>
          <w:lang w:eastAsia="zh-CN"/>
        </w:rPr>
        <w:t>m</w:t>
      </w:r>
      <w:r>
        <w:rPr>
          <w:rFonts w:hint="eastAsia"/>
          <w:color w:val="auto"/>
          <w:vertAlign w:val="superscript"/>
          <w:lang w:eastAsia="zh-CN"/>
        </w:rPr>
        <w:t>2</w:t>
      </w:r>
      <w:r>
        <w:rPr>
          <w:color w:val="auto"/>
        </w:rPr>
        <w:t>，则每次冲洗水用量为</w:t>
      </w:r>
      <w:r>
        <w:rPr>
          <w:rFonts w:hint="eastAsia"/>
          <w:color w:val="auto"/>
          <w:lang w:val="en-US" w:eastAsia="zh-CN"/>
        </w:rPr>
        <w:t>27.5</w:t>
      </w:r>
      <w:r>
        <w:rPr>
          <w:rFonts w:hint="eastAsia"/>
          <w:color w:val="auto"/>
          <w:vertAlign w:val="baseline"/>
          <w:lang w:eastAsia="zh-CN"/>
        </w:rPr>
        <w:t>m</w:t>
      </w:r>
      <w:r>
        <w:rPr>
          <w:rFonts w:hint="eastAsia"/>
          <w:color w:val="auto"/>
          <w:vertAlign w:val="superscript"/>
          <w:lang w:eastAsia="zh-CN"/>
        </w:rPr>
        <w:t>3</w:t>
      </w:r>
      <w:r>
        <w:rPr>
          <w:color w:val="auto"/>
        </w:rPr>
        <w:t>。按</w:t>
      </w:r>
      <w:r>
        <w:rPr>
          <w:rFonts w:hint="eastAsia"/>
          <w:color w:val="auto"/>
          <w:lang w:val="en-US" w:eastAsia="zh-CN"/>
        </w:rPr>
        <w:t>3</w:t>
      </w:r>
      <w:r>
        <w:rPr>
          <w:rFonts w:hint="eastAsia"/>
          <w:color w:val="auto"/>
        </w:rPr>
        <w:t>天</w:t>
      </w:r>
      <w:r>
        <w:rPr>
          <w:color w:val="auto"/>
        </w:rPr>
        <w:t>冲洗1次计算，年平均码头面冲洗水用量为</w:t>
      </w:r>
      <w:r>
        <w:rPr>
          <w:rFonts w:hint="eastAsia"/>
          <w:color w:val="auto"/>
          <w:lang w:val="en-US" w:eastAsia="zh-CN"/>
        </w:rPr>
        <w:t>2933.33</w:t>
      </w:r>
      <w:r>
        <w:rPr>
          <w:rFonts w:hint="eastAsia"/>
          <w:color w:val="auto"/>
          <w:vertAlign w:val="baseline"/>
          <w:lang w:eastAsia="zh-CN"/>
        </w:rPr>
        <w:t>m</w:t>
      </w:r>
      <w:r>
        <w:rPr>
          <w:rFonts w:hint="eastAsia"/>
          <w:color w:val="auto"/>
          <w:vertAlign w:val="superscript"/>
          <w:lang w:eastAsia="zh-CN"/>
        </w:rPr>
        <w:t>3</w:t>
      </w:r>
      <w:r>
        <w:rPr>
          <w:color w:val="auto"/>
        </w:rPr>
        <w:t>/a，污水产生系数取0.8，码头面冲洗废水的产生量为</w:t>
      </w:r>
      <w:r>
        <w:rPr>
          <w:rFonts w:hint="eastAsia"/>
          <w:color w:val="auto"/>
          <w:lang w:val="en-US" w:eastAsia="zh-CN"/>
        </w:rPr>
        <w:t>2346.67</w:t>
      </w:r>
      <w:r>
        <w:rPr>
          <w:rFonts w:hint="eastAsia"/>
          <w:color w:val="auto"/>
          <w:vertAlign w:val="baseline"/>
          <w:lang w:eastAsia="zh-CN"/>
        </w:rPr>
        <w:t>m</w:t>
      </w:r>
      <w:r>
        <w:rPr>
          <w:rFonts w:hint="eastAsia"/>
          <w:color w:val="auto"/>
          <w:vertAlign w:val="superscript"/>
          <w:lang w:eastAsia="zh-CN"/>
        </w:rPr>
        <w:t>3</w:t>
      </w:r>
      <w:r>
        <w:rPr>
          <w:color w:val="auto"/>
        </w:rPr>
        <w:t>/a。SS浓度均值按</w:t>
      </w:r>
      <w:r>
        <w:rPr>
          <w:rFonts w:hint="eastAsia"/>
          <w:color w:val="auto"/>
        </w:rPr>
        <w:t>2</w:t>
      </w:r>
      <w:r>
        <w:rPr>
          <w:color w:val="auto"/>
        </w:rPr>
        <w:t>000</w:t>
      </w:r>
      <w:r>
        <w:rPr>
          <w:rFonts w:hint="eastAsia"/>
          <w:color w:val="auto"/>
          <w:lang w:eastAsia="zh-CN"/>
        </w:rPr>
        <w:t>m</w:t>
      </w:r>
      <w:r>
        <w:rPr>
          <w:color w:val="auto"/>
        </w:rPr>
        <w:t>g/L取，则</w:t>
      </w:r>
      <w:r>
        <w:rPr>
          <w:rFonts w:hint="eastAsia"/>
          <w:color w:val="auto"/>
          <w:lang w:eastAsia="zh-CN"/>
        </w:rPr>
        <w:t>SS</w:t>
      </w:r>
      <w:r>
        <w:rPr>
          <w:color w:val="auto"/>
        </w:rPr>
        <w:t>年产生量为</w:t>
      </w:r>
      <w:r>
        <w:rPr>
          <w:rFonts w:hint="eastAsia"/>
          <w:color w:val="auto"/>
          <w:lang w:val="en-US" w:eastAsia="zh-CN"/>
        </w:rPr>
        <w:t>4.69</w:t>
      </w:r>
      <w:r>
        <w:rPr>
          <w:color w:val="auto"/>
        </w:rPr>
        <w:t>t/a。</w:t>
      </w:r>
      <w:r>
        <w:rPr>
          <w:rFonts w:hint="eastAsia"/>
          <w:color w:val="auto"/>
          <w:shd w:val="clear" w:color="auto" w:fill="auto"/>
        </w:rPr>
        <w:t>本项目</w:t>
      </w:r>
      <w:r>
        <w:rPr>
          <w:color w:val="auto"/>
          <w:shd w:val="clear" w:color="auto" w:fill="auto"/>
        </w:rPr>
        <w:t>码头面冲洗</w:t>
      </w:r>
      <w:r>
        <w:rPr>
          <w:rFonts w:hint="eastAsia"/>
          <w:color w:val="auto"/>
          <w:shd w:val="clear" w:color="auto" w:fill="auto"/>
        </w:rPr>
        <w:t>废水经</w:t>
      </w:r>
      <w:r>
        <w:rPr>
          <w:rFonts w:hint="eastAsia"/>
          <w:color w:val="auto"/>
          <w:shd w:val="clear" w:color="auto" w:fill="auto"/>
          <w:lang w:eastAsia="zh-CN"/>
        </w:rPr>
        <w:t>三级</w:t>
      </w:r>
      <w:r>
        <w:rPr>
          <w:rFonts w:hint="eastAsia"/>
          <w:color w:val="auto"/>
          <w:shd w:val="clear" w:color="auto" w:fill="auto"/>
        </w:rPr>
        <w:t>沉淀池沉淀后，用于</w:t>
      </w:r>
      <w:r>
        <w:rPr>
          <w:rFonts w:hint="eastAsia"/>
          <w:color w:val="auto"/>
          <w:shd w:val="clear" w:color="auto" w:fill="auto"/>
          <w:lang w:val="en-US" w:eastAsia="zh-CN"/>
        </w:rPr>
        <w:t>港区</w:t>
      </w:r>
      <w:r>
        <w:rPr>
          <w:rFonts w:hint="eastAsia"/>
          <w:color w:val="auto"/>
          <w:shd w:val="clear" w:color="auto" w:fill="auto"/>
        </w:rPr>
        <w:t>抑尘。</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装卸</w:t>
      </w:r>
      <w:r>
        <w:rPr>
          <w:rFonts w:hint="eastAsia"/>
          <w:color w:val="auto"/>
          <w:shd w:val="clear" w:color="auto" w:fill="auto"/>
        </w:rPr>
        <w:t>抑尘用水</w:t>
      </w:r>
    </w:p>
    <w:p>
      <w:pPr>
        <w:ind w:firstLine="480"/>
        <w:rPr>
          <w:rFonts w:hint="eastAsia" w:cs="Times New Roman"/>
          <w:color w:val="auto"/>
          <w:shd w:val="clear" w:color="auto" w:fill="auto"/>
        </w:rPr>
      </w:pPr>
      <w:r>
        <w:rPr>
          <w:rFonts w:hint="eastAsia" w:ascii="Times New Roman" w:hAnsi="Times New Roman" w:cs="Times New Roman"/>
          <w:color w:val="auto"/>
          <w:szCs w:val="21"/>
          <w:shd w:val="clear" w:color="auto" w:fill="auto"/>
          <w:lang w:val="en-US" w:eastAsia="zh-CN"/>
        </w:rPr>
        <w:t>港区</w:t>
      </w:r>
      <w:r>
        <w:rPr>
          <w:rFonts w:hint="default" w:ascii="Times New Roman" w:hAnsi="Times New Roman" w:cs="Times New Roman"/>
          <w:color w:val="auto"/>
          <w:szCs w:val="21"/>
          <w:shd w:val="clear" w:color="auto" w:fill="auto"/>
        </w:rPr>
        <w:t>装卸抑尘水按10L/</w:t>
      </w:r>
      <w:r>
        <w:rPr>
          <w:rFonts w:hint="eastAsia" w:cs="Times New Roman"/>
          <w:color w:val="auto"/>
          <w:szCs w:val="21"/>
          <w:shd w:val="clear" w:color="auto" w:fill="auto"/>
          <w:lang w:eastAsia="zh-CN"/>
        </w:rPr>
        <w:t>m</w:t>
      </w:r>
      <w:r>
        <w:rPr>
          <w:rFonts w:hint="default" w:ascii="Times New Roman" w:hAnsi="Times New Roman" w:cs="Times New Roman"/>
          <w:color w:val="auto"/>
          <w:szCs w:val="21"/>
          <w:shd w:val="clear" w:color="auto" w:fill="auto"/>
        </w:rPr>
        <w:t>in·台，按3台雾炮机考虑，供水时间按10h计；</w:t>
      </w:r>
      <w:r>
        <w:rPr>
          <w:rFonts w:hint="eastAsia" w:cs="Times New Roman"/>
          <w:color w:val="auto"/>
          <w:shd w:val="clear" w:color="auto" w:fill="auto"/>
        </w:rPr>
        <w:t>故抑尘用水量</w:t>
      </w:r>
      <w:r>
        <w:rPr>
          <w:rFonts w:hint="eastAsia" w:cs="Times New Roman"/>
          <w:color w:val="auto"/>
          <w:shd w:val="clear" w:color="auto" w:fill="auto"/>
          <w:lang w:val="en-US" w:eastAsia="zh-CN"/>
        </w:rPr>
        <w:t>为18</w:t>
      </w:r>
      <w:r>
        <w:rPr>
          <w:rFonts w:hint="eastAsia"/>
          <w:bCs/>
          <w:color w:val="auto"/>
          <w:shd w:val="clear" w:color="auto" w:fill="auto"/>
          <w:vertAlign w:val="baseline"/>
          <w:lang w:eastAsia="zh-CN"/>
        </w:rPr>
        <w:t>m</w:t>
      </w:r>
      <w:r>
        <w:rPr>
          <w:rFonts w:hint="eastAsia"/>
          <w:bCs/>
          <w:color w:val="auto"/>
          <w:shd w:val="clear" w:color="auto" w:fill="auto"/>
          <w:vertAlign w:val="superscript"/>
          <w:lang w:eastAsia="zh-CN"/>
        </w:rPr>
        <w:t>3</w:t>
      </w:r>
      <w:r>
        <w:rPr>
          <w:rFonts w:hint="eastAsia" w:cs="Times New Roman"/>
          <w:color w:val="auto"/>
          <w:shd w:val="clear" w:color="auto" w:fill="auto"/>
        </w:rPr>
        <w:t>/d，</w:t>
      </w:r>
      <w:r>
        <w:rPr>
          <w:rFonts w:hint="eastAsia" w:cs="Times New Roman"/>
          <w:color w:val="auto"/>
          <w:shd w:val="clear" w:color="auto" w:fill="auto"/>
          <w:lang w:val="en-US" w:eastAsia="zh-CN"/>
        </w:rPr>
        <w:t>5760</w:t>
      </w:r>
      <w:r>
        <w:rPr>
          <w:rFonts w:hint="eastAsia"/>
          <w:bCs/>
          <w:color w:val="auto"/>
          <w:shd w:val="clear" w:color="auto" w:fill="auto"/>
          <w:vertAlign w:val="baseline"/>
          <w:lang w:eastAsia="zh-CN"/>
        </w:rPr>
        <w:t>m</w:t>
      </w:r>
      <w:r>
        <w:rPr>
          <w:rFonts w:hint="eastAsia"/>
          <w:bCs/>
          <w:color w:val="auto"/>
          <w:shd w:val="clear" w:color="auto" w:fill="auto"/>
          <w:vertAlign w:val="superscript"/>
          <w:lang w:eastAsia="zh-CN"/>
        </w:rPr>
        <w:t>3</w:t>
      </w:r>
      <w:r>
        <w:rPr>
          <w:rFonts w:hint="eastAsia" w:cs="Times New Roman"/>
          <w:color w:val="auto"/>
          <w:shd w:val="clear" w:color="auto" w:fill="auto"/>
        </w:rPr>
        <w:t>/a。</w:t>
      </w:r>
    </w:p>
    <w:p>
      <w:pPr>
        <w:ind w:firstLine="480"/>
        <w:rPr>
          <w:rFonts w:hint="default" w:cs="Times New Roman"/>
          <w:color w:val="auto"/>
          <w:shd w:val="clear" w:color="auto" w:fill="auto"/>
        </w:rPr>
      </w:pPr>
      <w:r>
        <w:rPr>
          <w:rFonts w:hint="eastAsia" w:cs="Times New Roman"/>
          <w:color w:val="auto"/>
          <w:shd w:val="clear" w:color="auto" w:fill="auto"/>
        </w:rPr>
        <w:t>抑尘用水全部被地表、货物吸收或蒸发，不外排。</w:t>
      </w:r>
    </w:p>
    <w:p>
      <w:pPr>
        <w:ind w:firstLine="480"/>
        <w:rPr>
          <w:rFonts w:hint="eastAsia" w:cs="Times New Roman"/>
          <w:color w:val="auto"/>
          <w:highlight w:val="none"/>
          <w:shd w:val="clear" w:color="auto" w:fill="auto"/>
          <w:lang w:eastAsia="zh-CN"/>
        </w:rPr>
      </w:pPr>
      <w:r>
        <w:rPr>
          <w:rFonts w:hint="eastAsia" w:cs="Times New Roman"/>
          <w:color w:val="auto"/>
          <w:highlight w:val="none"/>
          <w:shd w:val="clear" w:color="auto" w:fill="auto"/>
          <w:lang w:eastAsia="zh-CN"/>
        </w:rPr>
        <w:t>（</w:t>
      </w:r>
      <w:r>
        <w:rPr>
          <w:rFonts w:hint="eastAsia" w:cs="Times New Roman"/>
          <w:color w:val="auto"/>
          <w:highlight w:val="none"/>
          <w:shd w:val="clear" w:color="auto" w:fill="auto"/>
          <w:lang w:val="en-US" w:eastAsia="zh-CN"/>
        </w:rPr>
        <w:t>5</w:t>
      </w:r>
      <w:r>
        <w:rPr>
          <w:rFonts w:hint="eastAsia" w:cs="Times New Roman"/>
          <w:color w:val="auto"/>
          <w:highlight w:val="none"/>
          <w:shd w:val="clear" w:color="auto" w:fill="auto"/>
          <w:lang w:eastAsia="zh-CN"/>
        </w:rPr>
        <w:t>）</w:t>
      </w:r>
      <w:r>
        <w:rPr>
          <w:rFonts w:hint="eastAsia"/>
          <w:color w:val="auto"/>
          <w:highlight w:val="none"/>
          <w:shd w:val="clear" w:color="auto" w:fill="auto"/>
          <w:lang w:val="en-US" w:eastAsia="zh-CN"/>
        </w:rPr>
        <w:t>初期</w:t>
      </w:r>
      <w:r>
        <w:rPr>
          <w:rFonts w:hint="eastAsia"/>
          <w:color w:val="auto"/>
          <w:highlight w:val="none"/>
          <w:shd w:val="clear" w:color="auto" w:fill="auto"/>
        </w:rPr>
        <w:t>用水</w:t>
      </w:r>
    </w:p>
    <w:p>
      <w:pPr>
        <w:bidi w:val="0"/>
        <w:rPr>
          <w:rFonts w:hint="eastAsia"/>
          <w:color w:val="auto"/>
          <w:shd w:val="clear" w:color="auto" w:fill="auto"/>
        </w:rPr>
      </w:pPr>
      <w:r>
        <w:rPr>
          <w:rFonts w:hint="eastAsia" w:hAnsiTheme="minorEastAsia" w:eastAsiaTheme="minorEastAsia"/>
          <w:color w:val="auto"/>
          <w:sz w:val="24"/>
          <w:shd w:val="clear" w:color="auto" w:fill="auto"/>
        </w:rPr>
        <w:fldChar w:fldCharType="begin"/>
      </w:r>
      <w:r>
        <w:rPr>
          <w:rFonts w:hint="eastAsia" w:hAnsiTheme="minorEastAsia" w:eastAsiaTheme="minorEastAsia"/>
          <w:color w:val="auto"/>
          <w:sz w:val="24"/>
          <w:shd w:val="clear" w:color="auto" w:fill="auto"/>
        </w:rPr>
        <w:instrText xml:space="preserve"> = 1 \* GB3 \* MERGEFORMAT </w:instrText>
      </w:r>
      <w:r>
        <w:rPr>
          <w:rFonts w:hint="eastAsia" w:hAnsiTheme="minorEastAsia" w:eastAsiaTheme="minorEastAsia"/>
          <w:color w:val="auto"/>
          <w:sz w:val="24"/>
          <w:shd w:val="clear" w:color="auto" w:fill="auto"/>
        </w:rPr>
        <w:fldChar w:fldCharType="separate"/>
      </w:r>
      <w:r>
        <w:t>①</w:t>
      </w:r>
      <w:r>
        <w:rPr>
          <w:rFonts w:hint="eastAsia" w:hAnsiTheme="minorEastAsia" w:eastAsiaTheme="minorEastAsia"/>
          <w:color w:val="auto"/>
          <w:sz w:val="24"/>
          <w:shd w:val="clear" w:color="auto" w:fill="auto"/>
        </w:rPr>
        <w:fldChar w:fldCharType="end"/>
      </w:r>
      <w:r>
        <w:rPr>
          <w:rFonts w:hint="eastAsia" w:hAnsiTheme="minorEastAsia" w:eastAsiaTheme="minorEastAsia"/>
          <w:color w:val="auto"/>
          <w:sz w:val="24"/>
          <w:shd w:val="clear" w:color="auto" w:fill="auto"/>
        </w:rPr>
        <w:t>本工程初期雨水参照</w:t>
      </w:r>
      <w:r>
        <w:rPr>
          <w:rFonts w:hint="eastAsia" w:hAnsiTheme="minorEastAsia" w:eastAsiaTheme="minorEastAsia"/>
          <w:color w:val="auto"/>
          <w:sz w:val="24"/>
          <w:shd w:val="clear" w:color="auto" w:fill="auto"/>
          <w:lang w:val="en-US" w:eastAsia="zh-CN"/>
        </w:rPr>
        <w:t>阜阳市</w:t>
      </w:r>
      <w:r>
        <w:rPr>
          <w:rFonts w:hint="eastAsia"/>
          <w:color w:val="auto"/>
          <w:shd w:val="clear" w:color="auto" w:fill="auto"/>
        </w:rPr>
        <w:t>暴雨强度公式：</w:t>
      </w:r>
    </w:p>
    <w:p>
      <w:pPr>
        <w:bidi w:val="0"/>
        <w:rPr>
          <w:rFonts w:hint="default" w:eastAsia="宋体"/>
          <w:color w:val="auto"/>
          <w:shd w:val="clear" w:color="auto" w:fill="auto"/>
          <w:lang w:val="en-US" w:eastAsia="zh-CN"/>
        </w:rPr>
      </w:pPr>
      <w:r>
        <w:rPr>
          <w:rFonts w:hint="eastAsia"/>
          <w:color w:val="auto"/>
          <w:shd w:val="clear" w:color="auto" w:fill="auto"/>
          <w:lang w:val="en-US" w:eastAsia="zh-CN"/>
        </w:rPr>
        <w:t>i</w:t>
      </w:r>
      <w:r>
        <w:rPr>
          <w:rFonts w:hint="eastAsia"/>
          <w:color w:val="auto"/>
          <w:shd w:val="clear" w:color="auto" w:fill="auto"/>
        </w:rPr>
        <w:t>=</w:t>
      </w:r>
      <w:r>
        <w:rPr>
          <w:rFonts w:hint="eastAsia"/>
          <w:color w:val="auto"/>
          <w:shd w:val="clear" w:color="auto" w:fill="auto"/>
          <w:lang w:eastAsia="zh-CN"/>
        </w:rPr>
        <w:t>（</w:t>
      </w:r>
      <w:r>
        <w:rPr>
          <w:rFonts w:hint="eastAsia"/>
          <w:color w:val="auto"/>
          <w:shd w:val="clear" w:color="auto" w:fill="auto"/>
          <w:lang w:val="en-US" w:eastAsia="zh-CN"/>
        </w:rPr>
        <w:t>8.751+5.34361</w:t>
      </w:r>
      <w:r>
        <w:rPr>
          <w:rFonts w:hint="eastAsia"/>
          <w:color w:val="auto"/>
          <w:shd w:val="clear" w:color="auto" w:fill="auto"/>
        </w:rPr>
        <w:t>lg</w:t>
      </w:r>
      <w:r>
        <w:rPr>
          <w:rFonts w:hint="eastAsia"/>
          <w:color w:val="auto"/>
          <w:shd w:val="clear" w:color="auto" w:fill="auto"/>
          <w:lang w:val="en-US" w:eastAsia="zh-CN"/>
        </w:rPr>
        <w:t>T</w:t>
      </w:r>
      <w:r>
        <w:rPr>
          <w:rFonts w:hint="eastAsia"/>
          <w:color w:val="auto"/>
          <w:shd w:val="clear" w:color="auto" w:fill="auto"/>
          <w:lang w:eastAsia="zh-CN"/>
        </w:rPr>
        <w:t>）</w:t>
      </w:r>
      <w:r>
        <w:rPr>
          <w:rFonts w:hint="eastAsia"/>
          <w:color w:val="auto"/>
          <w:shd w:val="clear" w:color="auto" w:fill="auto"/>
        </w:rPr>
        <w:t>/(t+</w:t>
      </w:r>
      <w:r>
        <w:rPr>
          <w:rFonts w:hint="eastAsia"/>
          <w:color w:val="auto"/>
          <w:shd w:val="clear" w:color="auto" w:fill="auto"/>
          <w:lang w:val="en-US" w:eastAsia="zh-CN"/>
        </w:rPr>
        <w:t>11.1895</w:t>
      </w:r>
      <w:r>
        <w:rPr>
          <w:rFonts w:hint="eastAsia"/>
          <w:color w:val="auto"/>
          <w:shd w:val="clear" w:color="auto" w:fill="auto"/>
        </w:rPr>
        <w:t>)^0.</w:t>
      </w:r>
      <w:r>
        <w:rPr>
          <w:rFonts w:hint="eastAsia"/>
          <w:color w:val="auto"/>
          <w:shd w:val="clear" w:color="auto" w:fill="auto"/>
          <w:lang w:val="en-US" w:eastAsia="zh-CN"/>
        </w:rPr>
        <w:t>6263</w:t>
      </w:r>
    </w:p>
    <w:p>
      <w:pPr>
        <w:widowControl/>
        <w:spacing w:line="360" w:lineRule="auto"/>
        <w:ind w:firstLine="480" w:firstLineChars="200"/>
        <w:jc w:val="left"/>
        <w:rPr>
          <w:rFonts w:hAnsiTheme="minorEastAsia" w:eastAsiaTheme="minorEastAsia"/>
          <w:color w:val="auto"/>
          <w:sz w:val="24"/>
          <w:shd w:val="clear" w:color="auto" w:fill="auto"/>
        </w:rPr>
      </w:pPr>
      <w:r>
        <w:rPr>
          <w:rFonts w:hint="eastAsia" w:hAnsiTheme="minorEastAsia" w:eastAsiaTheme="minorEastAsia"/>
          <w:color w:val="auto"/>
          <w:sz w:val="24"/>
          <w:shd w:val="clear" w:color="auto" w:fill="auto"/>
        </w:rPr>
        <w:t>式中：</w:t>
      </w:r>
      <w:r>
        <w:rPr>
          <w:rFonts w:hint="eastAsia" w:hAnsiTheme="minorEastAsia" w:eastAsiaTheme="minorEastAsia"/>
          <w:color w:val="auto"/>
          <w:sz w:val="24"/>
          <w:shd w:val="clear" w:color="auto" w:fill="auto"/>
          <w:lang w:val="en-US" w:eastAsia="zh-CN"/>
        </w:rPr>
        <w:t>i</w:t>
      </w:r>
      <w:r>
        <w:rPr>
          <w:rFonts w:hint="eastAsia" w:hAnsiTheme="minorEastAsia" w:eastAsiaTheme="minorEastAsia"/>
          <w:color w:val="auto"/>
          <w:sz w:val="24"/>
          <w:shd w:val="clear" w:color="auto" w:fill="auto"/>
        </w:rPr>
        <w:t>：设计暴雨流量；</w:t>
      </w:r>
      <w:r>
        <w:rPr>
          <w:rFonts w:hint="eastAsia" w:hAnsiTheme="minorEastAsia" w:eastAsiaTheme="minorEastAsia"/>
          <w:color w:val="auto"/>
          <w:sz w:val="24"/>
          <w:shd w:val="clear" w:color="auto" w:fill="auto"/>
          <w:lang w:eastAsia="zh-CN"/>
        </w:rPr>
        <w:t>（</w:t>
      </w:r>
      <w:r>
        <w:rPr>
          <w:rFonts w:hint="eastAsia" w:hAnsiTheme="minorEastAsia" w:eastAsiaTheme="minorEastAsia"/>
          <w:color w:val="auto"/>
          <w:sz w:val="24"/>
          <w:shd w:val="clear" w:color="auto" w:fill="auto"/>
          <w:lang w:val="en-US" w:eastAsia="zh-CN"/>
        </w:rPr>
        <w:t>mm/min</w:t>
      </w:r>
      <w:r>
        <w:rPr>
          <w:rFonts w:hint="eastAsia" w:hAnsiTheme="minorEastAsia" w:eastAsiaTheme="minorEastAsia"/>
          <w:color w:val="auto"/>
          <w:sz w:val="24"/>
          <w:shd w:val="clear" w:color="auto" w:fill="auto"/>
          <w:lang w:eastAsia="zh-CN"/>
        </w:rPr>
        <w:t>）</w:t>
      </w:r>
      <w:r>
        <w:rPr>
          <w:rFonts w:hint="eastAsia" w:hAnsiTheme="minorEastAsia" w:eastAsiaTheme="minorEastAsia"/>
          <w:color w:val="auto"/>
          <w:sz w:val="24"/>
          <w:shd w:val="clear" w:color="auto" w:fill="auto"/>
        </w:rPr>
        <w:t>；</w:t>
      </w:r>
    </w:p>
    <w:p>
      <w:pPr>
        <w:widowControl/>
        <w:spacing w:line="360" w:lineRule="auto"/>
        <w:ind w:firstLine="1200" w:firstLineChars="500"/>
        <w:jc w:val="left"/>
        <w:rPr>
          <w:rFonts w:hAnsiTheme="minorEastAsia" w:eastAsiaTheme="minorEastAsia"/>
          <w:color w:val="auto"/>
          <w:sz w:val="24"/>
          <w:shd w:val="clear" w:color="auto" w:fill="auto"/>
        </w:rPr>
      </w:pPr>
      <w:r>
        <w:rPr>
          <w:rFonts w:hint="eastAsia" w:hAnsiTheme="minorEastAsia" w:eastAsiaTheme="minorEastAsia"/>
          <w:color w:val="auto"/>
          <w:sz w:val="24"/>
          <w:shd w:val="clear" w:color="auto" w:fill="auto"/>
        </w:rPr>
        <w:t>P：设计降雨重现期，取2年；</w:t>
      </w:r>
    </w:p>
    <w:p>
      <w:pPr>
        <w:pStyle w:val="2"/>
        <w:ind w:firstLine="1200" w:firstLineChars="500"/>
        <w:rPr>
          <w:rFonts w:hint="eastAsia" w:hAnsiTheme="minorEastAsia" w:eastAsiaTheme="minorEastAsia"/>
          <w:color w:val="auto"/>
          <w:sz w:val="24"/>
          <w:shd w:val="clear" w:color="auto" w:fill="auto"/>
        </w:rPr>
      </w:pPr>
      <w:r>
        <w:rPr>
          <w:rFonts w:hint="eastAsia" w:hAnsiTheme="minorEastAsia" w:eastAsiaTheme="minorEastAsia"/>
          <w:color w:val="auto"/>
          <w:sz w:val="24"/>
          <w:shd w:val="clear" w:color="auto" w:fill="auto"/>
          <w:lang w:val="en-US" w:eastAsia="zh-CN"/>
        </w:rPr>
        <w:t>t</w:t>
      </w:r>
      <w:r>
        <w:rPr>
          <w:rFonts w:hint="eastAsia" w:hAnsiTheme="minorEastAsia" w:eastAsiaTheme="minorEastAsia"/>
          <w:color w:val="auto"/>
          <w:sz w:val="24"/>
          <w:shd w:val="clear" w:color="auto" w:fill="auto"/>
        </w:rPr>
        <w:t>：</w:t>
      </w:r>
      <w:r>
        <w:rPr>
          <w:rFonts w:hint="eastAsia" w:hAnsiTheme="minorEastAsia" w:eastAsiaTheme="minorEastAsia"/>
          <w:color w:val="auto"/>
          <w:sz w:val="24"/>
          <w:shd w:val="clear" w:color="auto" w:fill="auto"/>
          <w:lang w:val="en-US" w:eastAsia="zh-CN"/>
        </w:rPr>
        <w:t>降雨历时（min）</w:t>
      </w:r>
      <w:r>
        <w:rPr>
          <w:rFonts w:hint="eastAsia" w:hAnsiTheme="minorEastAsia" w:eastAsiaTheme="minorEastAsia"/>
          <w:color w:val="auto"/>
          <w:sz w:val="24"/>
          <w:shd w:val="clear" w:color="auto" w:fill="auto"/>
        </w:rPr>
        <w:t>。</w:t>
      </w:r>
    </w:p>
    <w:p>
      <w:pPr>
        <w:pStyle w:val="2"/>
        <w:ind w:firstLine="1200" w:firstLineChars="500"/>
        <w:rPr>
          <w:rFonts w:hint="eastAsia" w:hAnsiTheme="minorEastAsia" w:eastAsiaTheme="minorEastAsia"/>
          <w:color w:val="auto"/>
          <w:sz w:val="24"/>
          <w:shd w:val="clear" w:color="auto" w:fill="auto"/>
          <w:lang w:val="en-US" w:eastAsia="zh-CN"/>
        </w:rPr>
      </w:pPr>
      <w:r>
        <w:rPr>
          <w:rFonts w:hint="eastAsia" w:hAnsiTheme="minorEastAsia" w:eastAsiaTheme="minorEastAsia"/>
          <w:color w:val="auto"/>
          <w:sz w:val="24"/>
          <w:shd w:val="clear" w:color="auto" w:fill="auto"/>
          <w:lang w:val="en-US" w:eastAsia="zh-CN"/>
        </w:rPr>
        <w:t>t=t1+t2</w:t>
      </w:r>
    </w:p>
    <w:p>
      <w:pPr>
        <w:pStyle w:val="2"/>
        <w:ind w:firstLine="1200" w:firstLineChars="500"/>
        <w:rPr>
          <w:rFonts w:hint="default" w:hAnsiTheme="minorEastAsia" w:eastAsiaTheme="minorEastAsia"/>
          <w:color w:val="auto"/>
          <w:sz w:val="24"/>
          <w:shd w:val="clear" w:color="auto" w:fill="auto"/>
          <w:lang w:val="en-US" w:eastAsia="zh-CN"/>
        </w:rPr>
      </w:pPr>
      <w:r>
        <w:rPr>
          <w:rFonts w:hint="default" w:hAnsiTheme="minorEastAsia" w:eastAsiaTheme="minorEastAsia"/>
          <w:color w:val="auto"/>
          <w:sz w:val="24"/>
          <w:shd w:val="clear" w:color="auto" w:fill="auto"/>
          <w:lang w:val="en-US" w:eastAsia="zh-CN"/>
        </w:rPr>
        <w:t>t1</w:t>
      </w:r>
      <w:r>
        <w:rPr>
          <w:rFonts w:hint="eastAsia" w:hAnsiTheme="minorEastAsia" w:eastAsiaTheme="minorEastAsia"/>
          <w:color w:val="auto"/>
          <w:sz w:val="24"/>
          <w:shd w:val="clear" w:color="auto" w:fill="auto"/>
          <w:lang w:val="en-US" w:eastAsia="zh-CN"/>
        </w:rPr>
        <w:t>：</w:t>
      </w:r>
      <w:r>
        <w:rPr>
          <w:rFonts w:hint="default" w:hAnsiTheme="minorEastAsia" w:eastAsiaTheme="minorEastAsia"/>
          <w:color w:val="auto"/>
          <w:sz w:val="24"/>
          <w:shd w:val="clear" w:color="auto" w:fill="auto"/>
          <w:lang w:val="en-US" w:eastAsia="zh-CN"/>
        </w:rPr>
        <w:t>地面集水时间(</w:t>
      </w:r>
      <w:r>
        <w:rPr>
          <w:rFonts w:hint="eastAsia" w:hAnsiTheme="minorEastAsia" w:eastAsiaTheme="minorEastAsia"/>
          <w:color w:val="auto"/>
          <w:sz w:val="24"/>
          <w:shd w:val="clear" w:color="auto" w:fill="auto"/>
          <w:lang w:val="en-US" w:eastAsia="zh-CN"/>
        </w:rPr>
        <w:t>m</w:t>
      </w:r>
      <w:r>
        <w:rPr>
          <w:rFonts w:hint="default" w:hAnsiTheme="minorEastAsia" w:eastAsiaTheme="minorEastAsia"/>
          <w:color w:val="auto"/>
          <w:sz w:val="24"/>
          <w:shd w:val="clear" w:color="auto" w:fill="auto"/>
          <w:lang w:val="en-US" w:eastAsia="zh-CN"/>
        </w:rPr>
        <w:t>in)，取5</w:t>
      </w:r>
      <w:r>
        <w:rPr>
          <w:rFonts w:hint="eastAsia" w:hAnsiTheme="minorEastAsia" w:eastAsiaTheme="minorEastAsia"/>
          <w:color w:val="auto"/>
          <w:sz w:val="24"/>
          <w:shd w:val="clear" w:color="auto" w:fill="auto"/>
          <w:lang w:val="en-US" w:eastAsia="zh-CN"/>
        </w:rPr>
        <w:t>m</w:t>
      </w:r>
      <w:r>
        <w:rPr>
          <w:rFonts w:hint="default" w:hAnsiTheme="minorEastAsia" w:eastAsiaTheme="minorEastAsia"/>
          <w:color w:val="auto"/>
          <w:sz w:val="24"/>
          <w:shd w:val="clear" w:color="auto" w:fill="auto"/>
          <w:lang w:val="en-US" w:eastAsia="zh-CN"/>
        </w:rPr>
        <w:t>in;</w:t>
      </w:r>
    </w:p>
    <w:p>
      <w:pPr>
        <w:pStyle w:val="2"/>
        <w:ind w:firstLine="1200" w:firstLineChars="500"/>
        <w:rPr>
          <w:rFonts w:hint="default" w:hAnsiTheme="minorEastAsia" w:eastAsiaTheme="minorEastAsia"/>
          <w:color w:val="auto"/>
          <w:sz w:val="24"/>
          <w:shd w:val="clear" w:color="auto" w:fill="auto"/>
          <w:lang w:val="en-US" w:eastAsia="zh-CN"/>
        </w:rPr>
      </w:pPr>
      <w:r>
        <w:rPr>
          <w:rFonts w:hint="default" w:hAnsiTheme="minorEastAsia" w:eastAsiaTheme="minorEastAsia"/>
          <w:color w:val="auto"/>
          <w:sz w:val="24"/>
          <w:shd w:val="clear" w:color="auto" w:fill="auto"/>
          <w:lang w:val="en-US" w:eastAsia="zh-CN"/>
        </w:rPr>
        <w:t>t2</w:t>
      </w:r>
      <w:r>
        <w:rPr>
          <w:rFonts w:hint="eastAsia" w:hAnsiTheme="minorEastAsia" w:eastAsiaTheme="minorEastAsia"/>
          <w:color w:val="auto"/>
          <w:sz w:val="24"/>
          <w:shd w:val="clear" w:color="auto" w:fill="auto"/>
          <w:lang w:val="en-US" w:eastAsia="zh-CN"/>
        </w:rPr>
        <w:t>：</w:t>
      </w:r>
      <w:r>
        <w:rPr>
          <w:rFonts w:hint="default" w:hAnsiTheme="minorEastAsia" w:eastAsiaTheme="minorEastAsia"/>
          <w:color w:val="auto"/>
          <w:sz w:val="24"/>
          <w:shd w:val="clear" w:color="auto" w:fill="auto"/>
          <w:lang w:val="en-US" w:eastAsia="zh-CN"/>
        </w:rPr>
        <w:t>管渠内雨水流行时间(</w:t>
      </w:r>
      <w:r>
        <w:rPr>
          <w:rFonts w:hint="eastAsia" w:hAnsiTheme="minorEastAsia" w:eastAsiaTheme="minorEastAsia"/>
          <w:color w:val="auto"/>
          <w:sz w:val="24"/>
          <w:shd w:val="clear" w:color="auto" w:fill="auto"/>
          <w:lang w:val="en-US" w:eastAsia="zh-CN"/>
        </w:rPr>
        <w:t>m</w:t>
      </w:r>
      <w:r>
        <w:rPr>
          <w:rFonts w:hint="default" w:hAnsiTheme="minorEastAsia" w:eastAsiaTheme="minorEastAsia"/>
          <w:color w:val="auto"/>
          <w:sz w:val="24"/>
          <w:shd w:val="clear" w:color="auto" w:fill="auto"/>
          <w:lang w:val="en-US" w:eastAsia="zh-CN"/>
        </w:rPr>
        <w:t>in)</w:t>
      </w:r>
    </w:p>
    <w:p>
      <w:pPr>
        <w:widowControl/>
        <w:spacing w:line="360" w:lineRule="auto"/>
        <w:jc w:val="left"/>
        <w:rPr>
          <w:rFonts w:hAnsiTheme="minorEastAsia" w:eastAsiaTheme="minorEastAsia"/>
          <w:color w:val="auto"/>
          <w:sz w:val="24"/>
          <w:shd w:val="clear" w:color="auto" w:fill="auto"/>
        </w:rPr>
      </w:pPr>
      <w:r>
        <w:rPr>
          <w:rFonts w:hint="eastAsia" w:hAnsiTheme="minorEastAsia" w:eastAsiaTheme="minorEastAsia"/>
          <w:color w:val="auto"/>
          <w:sz w:val="24"/>
          <w:shd w:val="clear" w:color="auto" w:fill="auto"/>
        </w:rPr>
        <w:fldChar w:fldCharType="begin"/>
      </w:r>
      <w:r>
        <w:rPr>
          <w:rFonts w:hint="eastAsia" w:hAnsiTheme="minorEastAsia" w:eastAsiaTheme="minorEastAsia"/>
          <w:color w:val="auto"/>
          <w:sz w:val="24"/>
          <w:shd w:val="clear" w:color="auto" w:fill="auto"/>
        </w:rPr>
        <w:instrText xml:space="preserve"> = 2 \* GB3 \* MERGEFORMAT </w:instrText>
      </w:r>
      <w:r>
        <w:rPr>
          <w:rFonts w:hint="eastAsia" w:hAnsiTheme="minorEastAsia" w:eastAsiaTheme="minorEastAsia"/>
          <w:color w:val="auto"/>
          <w:sz w:val="24"/>
          <w:shd w:val="clear" w:color="auto" w:fill="auto"/>
        </w:rPr>
        <w:fldChar w:fldCharType="separate"/>
      </w:r>
      <w:r>
        <w:t>②</w:t>
      </w:r>
      <w:r>
        <w:rPr>
          <w:rFonts w:hint="eastAsia" w:hAnsiTheme="minorEastAsia" w:eastAsiaTheme="minorEastAsia"/>
          <w:color w:val="auto"/>
          <w:sz w:val="24"/>
          <w:shd w:val="clear" w:color="auto" w:fill="auto"/>
        </w:rPr>
        <w:fldChar w:fldCharType="end"/>
      </w:r>
      <w:r>
        <w:rPr>
          <w:rFonts w:hint="eastAsia" w:hAnsiTheme="minorEastAsia" w:eastAsiaTheme="minorEastAsia"/>
          <w:color w:val="auto"/>
          <w:sz w:val="24"/>
          <w:shd w:val="clear" w:color="auto" w:fill="auto"/>
        </w:rPr>
        <w:t>雨水</w:t>
      </w:r>
      <w:r>
        <w:rPr>
          <w:rFonts w:hint="eastAsia" w:hAnsiTheme="minorEastAsia" w:eastAsiaTheme="minorEastAsia"/>
          <w:color w:val="auto"/>
          <w:sz w:val="24"/>
          <w:shd w:val="clear" w:color="auto" w:fill="auto"/>
          <w:lang w:val="en-US" w:eastAsia="zh-CN"/>
        </w:rPr>
        <w:t>流</w:t>
      </w:r>
      <w:r>
        <w:rPr>
          <w:rFonts w:hint="eastAsia" w:hAnsiTheme="minorEastAsia" w:eastAsiaTheme="minorEastAsia"/>
          <w:color w:val="auto"/>
          <w:sz w:val="24"/>
          <w:shd w:val="clear" w:color="auto" w:fill="auto"/>
        </w:rPr>
        <w:t>量公式：</w:t>
      </w:r>
    </w:p>
    <w:p>
      <w:pPr>
        <w:bidi w:val="0"/>
        <w:rPr>
          <w:color w:val="auto"/>
          <w:shd w:val="clear" w:color="auto" w:fill="auto"/>
        </w:rPr>
      </w:pPr>
      <w:r>
        <w:rPr>
          <w:rFonts w:hint="eastAsia"/>
          <w:color w:val="auto"/>
          <w:shd w:val="clear" w:color="auto" w:fill="auto"/>
        </w:rPr>
        <w:t>Q</w:t>
      </w:r>
      <w:r>
        <w:rPr>
          <w:rFonts w:hint="eastAsia"/>
          <w:color w:val="auto"/>
          <w:shd w:val="clear" w:color="auto" w:fill="auto"/>
          <w:lang w:val="en-US" w:eastAsia="zh-CN"/>
        </w:rPr>
        <w:t>s</w:t>
      </w:r>
      <w:r>
        <w:rPr>
          <w:rFonts w:hint="eastAsia"/>
          <w:color w:val="auto"/>
          <w:shd w:val="clear" w:color="auto" w:fill="auto"/>
        </w:rPr>
        <w:t>=</w:t>
      </w:r>
      <w:r>
        <w:rPr>
          <w:rFonts w:hint="eastAsia"/>
          <w:color w:val="auto"/>
          <w:shd w:val="clear" w:color="auto" w:fill="auto"/>
          <w:lang w:val="en-US" w:eastAsia="zh-CN"/>
        </w:rPr>
        <w:t>166.7</w:t>
      </w:r>
      <w:r>
        <w:rPr>
          <w:rFonts w:hint="default" w:ascii="Arial" w:hAnsi="Arial" w:cs="Arial"/>
          <w:color w:val="auto"/>
          <w:shd w:val="clear" w:color="auto" w:fill="auto"/>
          <w:lang w:val="en-US" w:eastAsia="zh-CN"/>
        </w:rPr>
        <w:t>×</w:t>
      </w:r>
      <w:r>
        <w:rPr>
          <w:rFonts w:hint="eastAsia"/>
          <w:color w:val="auto"/>
          <w:shd w:val="clear" w:color="auto" w:fill="auto"/>
          <w:lang w:val="en-US" w:eastAsia="zh-CN"/>
        </w:rPr>
        <w:t>i</w:t>
      </w:r>
      <w:r>
        <w:rPr>
          <w:rFonts w:hint="default" w:ascii="Arial" w:hAnsi="Arial" w:cs="Arial"/>
          <w:color w:val="auto"/>
          <w:shd w:val="clear" w:color="auto" w:fill="auto"/>
          <w:lang w:val="en-US" w:eastAsia="zh-CN"/>
        </w:rPr>
        <w:t>×</w:t>
      </w:r>
      <w:r>
        <w:rPr>
          <w:rFonts w:hint="eastAsia"/>
          <w:color w:val="auto"/>
          <w:shd w:val="clear" w:color="auto" w:fill="auto"/>
        </w:rPr>
        <w:t>ψ</w:t>
      </w:r>
      <w:r>
        <w:rPr>
          <w:rFonts w:hint="default" w:ascii="Arial" w:hAnsi="Arial" w:cs="Arial"/>
          <w:color w:val="auto"/>
          <w:shd w:val="clear" w:color="auto" w:fill="auto"/>
          <w:lang w:val="en-US" w:eastAsia="zh-CN"/>
        </w:rPr>
        <w:t>×</w:t>
      </w:r>
      <w:r>
        <w:rPr>
          <w:rFonts w:hint="eastAsia"/>
          <w:color w:val="auto"/>
          <w:shd w:val="clear" w:color="auto" w:fill="auto"/>
        </w:rPr>
        <w:t>f</w:t>
      </w:r>
    </w:p>
    <w:p>
      <w:pPr>
        <w:widowControl/>
        <w:spacing w:line="360" w:lineRule="auto"/>
        <w:ind w:firstLine="480" w:firstLineChars="200"/>
        <w:jc w:val="left"/>
        <w:rPr>
          <w:rFonts w:hint="eastAsia" w:hAnsiTheme="minorEastAsia" w:eastAsiaTheme="minorEastAsia"/>
          <w:color w:val="auto"/>
          <w:sz w:val="24"/>
          <w:shd w:val="clear" w:color="auto" w:fill="auto"/>
        </w:rPr>
      </w:pPr>
      <w:r>
        <w:rPr>
          <w:rFonts w:hint="eastAsia" w:hAnsiTheme="minorEastAsia" w:eastAsiaTheme="minorEastAsia"/>
          <w:color w:val="auto"/>
          <w:sz w:val="24"/>
          <w:shd w:val="clear" w:color="auto" w:fill="auto"/>
        </w:rPr>
        <w:t>式中：</w:t>
      </w:r>
      <w:r>
        <w:rPr>
          <w:rFonts w:hint="eastAsia"/>
          <w:color w:val="auto"/>
          <w:shd w:val="clear" w:color="auto" w:fill="auto"/>
        </w:rPr>
        <w:t>Q</w:t>
      </w:r>
      <w:r>
        <w:rPr>
          <w:rFonts w:hint="eastAsia"/>
          <w:color w:val="auto"/>
          <w:shd w:val="clear" w:color="auto" w:fill="auto"/>
          <w:lang w:val="en-US" w:eastAsia="zh-CN"/>
        </w:rPr>
        <w:t>s：雨水设计流量(Ls)</w:t>
      </w:r>
    </w:p>
    <w:p>
      <w:pPr>
        <w:widowControl/>
        <w:spacing w:line="360" w:lineRule="auto"/>
        <w:ind w:firstLine="1200" w:firstLineChars="500"/>
        <w:jc w:val="left"/>
        <w:rPr>
          <w:rFonts w:hint="eastAsia" w:hAnsiTheme="minorEastAsia" w:eastAsiaTheme="minorEastAsia"/>
          <w:color w:val="auto"/>
          <w:sz w:val="24"/>
          <w:shd w:val="clear" w:color="auto" w:fill="auto"/>
        </w:rPr>
      </w:pPr>
      <w:r>
        <w:rPr>
          <w:rFonts w:hint="eastAsia" w:hAnsiTheme="minorEastAsia" w:eastAsiaTheme="minorEastAsia"/>
          <w:color w:val="auto"/>
          <w:sz w:val="24"/>
          <w:shd w:val="clear" w:color="auto" w:fill="auto"/>
          <w:lang w:val="en-US" w:eastAsia="zh-CN"/>
        </w:rPr>
        <w:t>i</w:t>
      </w:r>
      <w:r>
        <w:rPr>
          <w:rFonts w:hint="eastAsia" w:hAnsiTheme="minorEastAsia" w:eastAsiaTheme="minorEastAsia"/>
          <w:color w:val="auto"/>
          <w:sz w:val="24"/>
          <w:shd w:val="clear" w:color="auto" w:fill="auto"/>
          <w:lang w:eastAsia="zh-CN"/>
        </w:rPr>
        <w:t>：</w:t>
      </w:r>
      <w:r>
        <w:rPr>
          <w:rFonts w:hint="eastAsia" w:hAnsiTheme="minorEastAsia" w:eastAsiaTheme="minorEastAsia"/>
          <w:color w:val="auto"/>
          <w:sz w:val="24"/>
          <w:shd w:val="clear" w:color="auto" w:fill="auto"/>
        </w:rPr>
        <w:t>为暴雨强度；</w:t>
      </w:r>
    </w:p>
    <w:p>
      <w:pPr>
        <w:widowControl/>
        <w:spacing w:line="360" w:lineRule="auto"/>
        <w:ind w:firstLine="1200" w:firstLineChars="500"/>
        <w:jc w:val="left"/>
        <w:rPr>
          <w:rFonts w:hint="eastAsia" w:hAnsiTheme="minorEastAsia" w:eastAsiaTheme="minorEastAsia"/>
          <w:color w:val="auto"/>
          <w:sz w:val="24"/>
          <w:shd w:val="clear" w:color="auto" w:fill="auto"/>
        </w:rPr>
      </w:pPr>
      <w:r>
        <w:rPr>
          <w:rFonts w:hint="eastAsia" w:hAnsiTheme="minorEastAsia" w:eastAsiaTheme="minorEastAsia"/>
          <w:color w:val="auto"/>
          <w:sz w:val="24"/>
          <w:shd w:val="clear" w:color="auto" w:fill="auto"/>
        </w:rPr>
        <w:t>Ψ</w:t>
      </w:r>
      <w:r>
        <w:rPr>
          <w:rFonts w:hint="eastAsia" w:hAnsiTheme="minorEastAsia" w:eastAsiaTheme="minorEastAsia"/>
          <w:color w:val="auto"/>
          <w:sz w:val="24"/>
          <w:shd w:val="clear" w:color="auto" w:fill="auto"/>
          <w:lang w:eastAsia="zh-CN"/>
        </w:rPr>
        <w:t>：</w:t>
      </w:r>
      <w:r>
        <w:rPr>
          <w:rFonts w:hint="eastAsia" w:hAnsiTheme="minorEastAsia" w:eastAsiaTheme="minorEastAsia"/>
          <w:color w:val="auto"/>
          <w:sz w:val="24"/>
          <w:shd w:val="clear" w:color="auto" w:fill="auto"/>
        </w:rPr>
        <w:t>径流系数，本项目</w:t>
      </w:r>
      <w:r>
        <w:rPr>
          <w:rFonts w:hint="eastAsia" w:hAnsiTheme="minorEastAsia" w:eastAsiaTheme="minorEastAsia"/>
          <w:color w:val="auto"/>
          <w:sz w:val="24"/>
          <w:shd w:val="clear" w:color="auto" w:fill="auto"/>
          <w:lang w:val="en-US" w:eastAsia="zh-CN"/>
        </w:rPr>
        <w:t>混凝土堆场、道路取</w:t>
      </w:r>
      <w:r>
        <w:rPr>
          <w:rFonts w:hint="eastAsia" w:hAnsiTheme="minorEastAsia" w:eastAsiaTheme="minorEastAsia"/>
          <w:color w:val="auto"/>
          <w:sz w:val="24"/>
          <w:shd w:val="clear" w:color="auto" w:fill="auto"/>
        </w:rPr>
        <w:t>取0.</w:t>
      </w:r>
      <w:r>
        <w:rPr>
          <w:rFonts w:hint="eastAsia" w:hAnsiTheme="minorEastAsia" w:eastAsiaTheme="minorEastAsia"/>
          <w:color w:val="auto"/>
          <w:sz w:val="24"/>
          <w:shd w:val="clear" w:color="auto" w:fill="auto"/>
          <w:lang w:val="en-US" w:eastAsia="zh-CN"/>
        </w:rPr>
        <w:t>9</w:t>
      </w:r>
      <w:r>
        <w:rPr>
          <w:rFonts w:hint="eastAsia" w:hAnsiTheme="minorEastAsia" w:eastAsiaTheme="minorEastAsia"/>
          <w:color w:val="auto"/>
          <w:sz w:val="24"/>
          <w:shd w:val="clear" w:color="auto" w:fill="auto"/>
          <w:lang w:eastAsia="zh-CN"/>
        </w:rPr>
        <w:t>，</w:t>
      </w:r>
      <w:r>
        <w:rPr>
          <w:rFonts w:hint="eastAsia" w:hAnsiTheme="minorEastAsia" w:eastAsiaTheme="minorEastAsia"/>
          <w:color w:val="auto"/>
          <w:sz w:val="24"/>
          <w:shd w:val="clear" w:color="auto" w:fill="auto"/>
          <w:lang w:val="en-US" w:eastAsia="zh-CN"/>
        </w:rPr>
        <w:t>绿化取0.15</w:t>
      </w:r>
      <w:r>
        <w:rPr>
          <w:rFonts w:hint="eastAsia" w:hAnsiTheme="minorEastAsia" w:eastAsiaTheme="minorEastAsia"/>
          <w:color w:val="auto"/>
          <w:sz w:val="24"/>
          <w:shd w:val="clear" w:color="auto" w:fill="auto"/>
        </w:rPr>
        <w:t>；</w:t>
      </w:r>
    </w:p>
    <w:p>
      <w:pPr>
        <w:widowControl/>
        <w:spacing w:line="360" w:lineRule="auto"/>
        <w:ind w:firstLine="1200" w:firstLineChars="500"/>
        <w:jc w:val="left"/>
        <w:rPr>
          <w:rFonts w:hAnsiTheme="minorEastAsia" w:eastAsiaTheme="minorEastAsia"/>
          <w:color w:val="auto"/>
          <w:sz w:val="24"/>
          <w:shd w:val="clear" w:color="auto" w:fill="auto"/>
        </w:rPr>
      </w:pPr>
      <w:r>
        <w:rPr>
          <w:rFonts w:hint="eastAsia" w:hAnsiTheme="minorEastAsia" w:eastAsiaTheme="minorEastAsia"/>
          <w:color w:val="auto"/>
          <w:sz w:val="24"/>
          <w:shd w:val="clear" w:color="auto" w:fill="auto"/>
          <w:lang w:val="en-US" w:eastAsia="zh-CN"/>
        </w:rPr>
        <w:t>f：</w:t>
      </w:r>
      <w:r>
        <w:rPr>
          <w:rFonts w:hint="eastAsia" w:hAnsiTheme="minorEastAsia" w:eastAsiaTheme="minorEastAsia"/>
          <w:color w:val="auto"/>
          <w:sz w:val="24"/>
          <w:shd w:val="clear" w:color="auto" w:fill="auto"/>
        </w:rPr>
        <w:t>汇水面积</w:t>
      </w:r>
      <w:r>
        <w:rPr>
          <w:rFonts w:hint="eastAsia" w:hAnsiTheme="minorEastAsia" w:eastAsiaTheme="minorEastAsia"/>
          <w:color w:val="auto"/>
          <w:sz w:val="24"/>
          <w:shd w:val="clear" w:color="auto" w:fill="auto"/>
          <w:lang w:eastAsia="zh-CN"/>
        </w:rPr>
        <w:t>（</w:t>
      </w:r>
      <w:r>
        <w:rPr>
          <w:rFonts w:hint="eastAsia" w:hAnsiTheme="minorEastAsia" w:eastAsiaTheme="minorEastAsia"/>
          <w:color w:val="auto"/>
          <w:sz w:val="24"/>
          <w:shd w:val="clear" w:color="auto" w:fill="auto"/>
          <w:lang w:val="en-US" w:eastAsia="zh-CN"/>
        </w:rPr>
        <w:t>h</w:t>
      </w:r>
      <w:r>
        <w:rPr>
          <w:rFonts w:hint="eastAsia" w:hAnsiTheme="minorEastAsia" w:eastAsiaTheme="minorEastAsia"/>
          <w:color w:val="auto"/>
          <w:sz w:val="24"/>
          <w:shd w:val="clear" w:color="auto" w:fill="auto"/>
          <w:vertAlign w:val="baseline"/>
          <w:lang w:val="en-US" w:eastAsia="zh-CN"/>
        </w:rPr>
        <w:t>m</w:t>
      </w:r>
      <w:r>
        <w:rPr>
          <w:rFonts w:hint="eastAsia" w:hAnsiTheme="minorEastAsia" w:eastAsiaTheme="minorEastAsia"/>
          <w:color w:val="auto"/>
          <w:sz w:val="24"/>
          <w:shd w:val="clear" w:color="auto" w:fill="auto"/>
          <w:vertAlign w:val="superscript"/>
          <w:lang w:val="en-US" w:eastAsia="zh-CN"/>
        </w:rPr>
        <w:t>2</w:t>
      </w:r>
      <w:r>
        <w:rPr>
          <w:rFonts w:hint="eastAsia" w:hAnsiTheme="minorEastAsia" w:eastAsiaTheme="minorEastAsia"/>
          <w:color w:val="auto"/>
          <w:sz w:val="24"/>
          <w:shd w:val="clear" w:color="auto" w:fill="auto"/>
          <w:lang w:eastAsia="zh-CN"/>
        </w:rPr>
        <w:t>）</w:t>
      </w:r>
      <w:r>
        <w:rPr>
          <w:rFonts w:hint="eastAsia" w:hAnsiTheme="minorEastAsia" w:eastAsiaTheme="minorEastAsia"/>
          <w:color w:val="auto"/>
          <w:sz w:val="24"/>
          <w:shd w:val="clear" w:color="auto" w:fill="auto"/>
        </w:rPr>
        <w:t>；</w:t>
      </w:r>
    </w:p>
    <w:p>
      <w:pPr>
        <w:ind w:firstLine="480"/>
        <w:rPr>
          <w:rFonts w:hint="eastAsia" w:hAnsiTheme="minorEastAsia" w:eastAsiaTheme="minorEastAsia"/>
          <w:color w:val="auto"/>
          <w:sz w:val="24"/>
          <w:shd w:val="clear" w:color="auto" w:fill="auto"/>
        </w:rPr>
      </w:pPr>
      <w:r>
        <w:rPr>
          <w:rFonts w:hint="eastAsia" w:hAnsiTheme="minorEastAsia" w:eastAsiaTheme="minorEastAsia"/>
          <w:color w:val="auto"/>
          <w:sz w:val="24"/>
          <w:shd w:val="clear" w:color="auto" w:fill="auto"/>
        </w:rPr>
        <w:t>③码头面、散货堆场雨污水按照收集最大日降雨厚度86.I</w:t>
      </w:r>
      <w:r>
        <w:rPr>
          <w:rFonts w:hint="eastAsia" w:hAnsiTheme="minorEastAsia" w:eastAsiaTheme="minorEastAsia"/>
          <w:color w:val="auto"/>
          <w:sz w:val="24"/>
          <w:shd w:val="clear" w:color="auto" w:fill="auto"/>
          <w:lang w:eastAsia="zh-CN"/>
        </w:rPr>
        <w:t>mm</w:t>
      </w:r>
      <w:r>
        <w:rPr>
          <w:rFonts w:hint="eastAsia" w:hAnsiTheme="minorEastAsia" w:eastAsiaTheme="minorEastAsia"/>
          <w:color w:val="auto"/>
          <w:sz w:val="24"/>
          <w:shd w:val="clear" w:color="auto" w:fill="auto"/>
        </w:rPr>
        <w:t>收集。雨水量计算公式:Q</w:t>
      </w:r>
      <w:r>
        <w:rPr>
          <w:rFonts w:hint="eastAsia" w:hAnsiTheme="minorEastAsia" w:eastAsiaTheme="minorEastAsia"/>
          <w:color w:val="auto"/>
          <w:sz w:val="24"/>
          <w:shd w:val="clear" w:color="auto" w:fill="auto"/>
          <w:lang w:val="en-US" w:eastAsia="zh-CN"/>
        </w:rPr>
        <w:t>s</w:t>
      </w:r>
      <w:r>
        <w:rPr>
          <w:rFonts w:hint="eastAsia" w:hAnsiTheme="minorEastAsia" w:eastAsiaTheme="minorEastAsia"/>
          <w:color w:val="auto"/>
          <w:sz w:val="24"/>
          <w:shd w:val="clear" w:color="auto" w:fill="auto"/>
        </w:rPr>
        <w:t>=</w:t>
      </w:r>
      <w:r>
        <w:rPr>
          <w:rFonts w:hint="eastAsia"/>
          <w:color w:val="auto"/>
          <w:shd w:val="clear" w:color="auto" w:fill="auto"/>
        </w:rPr>
        <w:t>ψ</w:t>
      </w:r>
      <w:r>
        <w:rPr>
          <w:rFonts w:hint="default" w:ascii="Arial" w:hAnsi="Arial" w:cs="Arial"/>
          <w:color w:val="auto"/>
          <w:shd w:val="clear" w:color="auto" w:fill="auto"/>
          <w:lang w:val="en-US" w:eastAsia="zh-CN"/>
        </w:rPr>
        <w:t>×</w:t>
      </w:r>
      <w:r>
        <w:rPr>
          <w:rFonts w:hint="eastAsia" w:hAnsiTheme="minorEastAsia" w:eastAsiaTheme="minorEastAsia"/>
          <w:color w:val="auto"/>
          <w:sz w:val="24"/>
          <w:shd w:val="clear" w:color="auto" w:fill="auto"/>
        </w:rPr>
        <w:t>H×F</w:t>
      </w:r>
    </w:p>
    <w:p>
      <w:pPr>
        <w:rPr>
          <w:rFonts w:hint="eastAsia" w:hAnsiTheme="minorEastAsia" w:eastAsiaTheme="minorEastAsia"/>
          <w:color w:val="auto"/>
          <w:sz w:val="24"/>
          <w:shd w:val="clear" w:color="auto" w:fill="auto"/>
        </w:rPr>
      </w:pPr>
      <w:r>
        <w:rPr>
          <w:rFonts w:hint="eastAsia" w:hAnsiTheme="minorEastAsia" w:eastAsiaTheme="minorEastAsia"/>
          <w:color w:val="auto"/>
          <w:sz w:val="24"/>
          <w:shd w:val="clear" w:color="auto" w:fill="auto"/>
        </w:rPr>
        <w:t>Qs</w:t>
      </w:r>
      <w:r>
        <w:rPr>
          <w:rFonts w:hint="eastAsia" w:hAnsiTheme="minorEastAsia" w:eastAsiaTheme="minorEastAsia"/>
          <w:color w:val="auto"/>
          <w:sz w:val="24"/>
          <w:shd w:val="clear" w:color="auto" w:fill="auto"/>
          <w:lang w:eastAsia="zh-CN"/>
        </w:rPr>
        <w:t>：</w:t>
      </w:r>
      <w:r>
        <w:rPr>
          <w:rFonts w:hint="eastAsia" w:hAnsiTheme="minorEastAsia" w:eastAsiaTheme="minorEastAsia"/>
          <w:color w:val="auto"/>
          <w:sz w:val="24"/>
          <w:shd w:val="clear" w:color="auto" w:fill="auto"/>
        </w:rPr>
        <w:t>雨水设计流量(Ls)</w:t>
      </w:r>
    </w:p>
    <w:p>
      <w:pPr>
        <w:rPr>
          <w:rFonts w:hint="eastAsia" w:hAnsiTheme="minorEastAsia" w:eastAsiaTheme="minorEastAsia"/>
          <w:color w:val="auto"/>
          <w:sz w:val="24"/>
          <w:shd w:val="clear" w:color="auto" w:fill="auto"/>
        </w:rPr>
      </w:pPr>
      <w:r>
        <w:rPr>
          <w:rFonts w:hint="eastAsia"/>
          <w:color w:val="auto"/>
          <w:shd w:val="clear" w:color="auto" w:fill="auto"/>
        </w:rPr>
        <w:t>Ψ</w:t>
      </w:r>
      <w:r>
        <w:rPr>
          <w:rFonts w:hint="eastAsia" w:hAnsiTheme="minorEastAsia" w:eastAsiaTheme="minorEastAsia"/>
          <w:color w:val="auto"/>
          <w:sz w:val="24"/>
          <w:shd w:val="clear" w:color="auto" w:fill="auto"/>
          <w:lang w:eastAsia="zh-CN"/>
        </w:rPr>
        <w:t>：</w:t>
      </w:r>
      <w:r>
        <w:rPr>
          <w:rFonts w:hint="eastAsia" w:hAnsiTheme="minorEastAsia" w:eastAsiaTheme="minorEastAsia"/>
          <w:color w:val="auto"/>
          <w:sz w:val="24"/>
          <w:shd w:val="clear" w:color="auto" w:fill="auto"/>
        </w:rPr>
        <w:t>径流系数，散货堆场取0.15，道路取0.9，绿化取0.15</w:t>
      </w:r>
    </w:p>
    <w:p>
      <w:pPr>
        <w:ind w:firstLine="480"/>
        <w:rPr>
          <w:rFonts w:hint="eastAsia" w:hAnsiTheme="minorEastAsia" w:eastAsiaTheme="minorEastAsia"/>
          <w:color w:val="auto"/>
          <w:sz w:val="24"/>
          <w:shd w:val="clear" w:color="auto" w:fill="auto"/>
        </w:rPr>
      </w:pPr>
      <w:r>
        <w:rPr>
          <w:rFonts w:hint="eastAsia" w:hAnsiTheme="minorEastAsia" w:eastAsiaTheme="minorEastAsia"/>
          <w:color w:val="auto"/>
          <w:sz w:val="24"/>
          <w:shd w:val="clear" w:color="auto" w:fill="auto"/>
        </w:rPr>
        <w:t>F</w:t>
      </w:r>
      <w:r>
        <w:rPr>
          <w:rFonts w:hint="eastAsia" w:hAnsiTheme="minorEastAsia" w:eastAsiaTheme="minorEastAsia"/>
          <w:color w:val="auto"/>
          <w:sz w:val="24"/>
          <w:shd w:val="clear" w:color="auto" w:fill="auto"/>
          <w:lang w:eastAsia="zh-CN"/>
        </w:rPr>
        <w:t>：</w:t>
      </w:r>
      <w:r>
        <w:rPr>
          <w:rFonts w:hint="eastAsia" w:hAnsiTheme="minorEastAsia" w:eastAsiaTheme="minorEastAsia"/>
          <w:color w:val="auto"/>
          <w:sz w:val="24"/>
          <w:shd w:val="clear" w:color="auto" w:fill="auto"/>
        </w:rPr>
        <w:t>汇水面积(h</w:t>
      </w:r>
      <w:r>
        <w:rPr>
          <w:rFonts w:hint="eastAsia" w:hAnsiTheme="minorEastAsia" w:eastAsiaTheme="minorEastAsia"/>
          <w:color w:val="auto"/>
          <w:sz w:val="24"/>
          <w:shd w:val="clear" w:color="auto" w:fill="auto"/>
          <w:vertAlign w:val="baseline"/>
          <w:lang w:eastAsia="zh-CN"/>
        </w:rPr>
        <w:t>m</w:t>
      </w:r>
      <w:r>
        <w:rPr>
          <w:rFonts w:hint="eastAsia" w:hAnsiTheme="minorEastAsia" w:eastAsiaTheme="minorEastAsia"/>
          <w:color w:val="auto"/>
          <w:sz w:val="24"/>
          <w:shd w:val="clear" w:color="auto" w:fill="auto"/>
          <w:vertAlign w:val="superscript"/>
          <w:lang w:eastAsia="zh-CN"/>
        </w:rPr>
        <w:t>2</w:t>
      </w:r>
      <w:r>
        <w:rPr>
          <w:rFonts w:hint="eastAsia" w:hAnsiTheme="minorEastAsia" w:eastAsiaTheme="minorEastAsia"/>
          <w:color w:val="auto"/>
          <w:sz w:val="24"/>
          <w:shd w:val="clear" w:color="auto" w:fill="auto"/>
        </w:rPr>
        <w:t>)</w:t>
      </w:r>
    </w:p>
    <w:p>
      <w:pPr>
        <w:ind w:firstLine="480"/>
        <w:rPr>
          <w:rFonts w:hint="eastAsia" w:hAnsiTheme="minorEastAsia" w:eastAsiaTheme="minorEastAsia"/>
          <w:color w:val="auto"/>
          <w:sz w:val="24"/>
          <w:shd w:val="clear" w:color="auto" w:fill="auto"/>
        </w:rPr>
      </w:pPr>
      <w:r>
        <w:rPr>
          <w:rFonts w:hint="eastAsia" w:hAnsiTheme="minorEastAsia" w:eastAsiaTheme="minorEastAsia"/>
          <w:color w:val="auto"/>
          <w:sz w:val="24"/>
          <w:shd w:val="clear" w:color="auto" w:fill="auto"/>
        </w:rPr>
        <w:t>H</w:t>
      </w:r>
      <w:r>
        <w:rPr>
          <w:rFonts w:hint="eastAsia" w:hAnsiTheme="minorEastAsia" w:eastAsiaTheme="minorEastAsia"/>
          <w:color w:val="auto"/>
          <w:sz w:val="24"/>
          <w:shd w:val="clear" w:color="auto" w:fill="auto"/>
          <w:lang w:eastAsia="zh-CN"/>
        </w:rPr>
        <w:t>：</w:t>
      </w:r>
      <w:r>
        <w:rPr>
          <w:rFonts w:hint="eastAsia" w:hAnsiTheme="minorEastAsia" w:eastAsiaTheme="minorEastAsia"/>
          <w:color w:val="auto"/>
          <w:sz w:val="24"/>
          <w:shd w:val="clear" w:color="auto" w:fill="auto"/>
        </w:rPr>
        <w:t>最大日降雨厚度</w:t>
      </w:r>
      <w:r>
        <w:rPr>
          <w:rFonts w:hint="eastAsia" w:hAnsiTheme="minorEastAsia" w:eastAsiaTheme="minorEastAsia"/>
          <w:color w:val="auto"/>
          <w:sz w:val="24"/>
          <w:shd w:val="clear" w:color="auto" w:fill="auto"/>
          <w:lang w:eastAsia="zh-CN"/>
        </w:rPr>
        <w:t>mm</w:t>
      </w:r>
      <w:r>
        <w:rPr>
          <w:rFonts w:hint="eastAsia" w:hAnsiTheme="minorEastAsia" w:eastAsiaTheme="minorEastAsia"/>
          <w:color w:val="auto"/>
          <w:sz w:val="24"/>
          <w:shd w:val="clear" w:color="auto" w:fill="auto"/>
        </w:rPr>
        <w:t>:</w:t>
      </w:r>
    </w:p>
    <w:p>
      <w:pPr>
        <w:ind w:firstLine="480"/>
        <w:rPr>
          <w:rFonts w:hint="eastAsia" w:hAnsiTheme="minorEastAsia" w:eastAsiaTheme="minorEastAsia"/>
          <w:color w:val="auto"/>
          <w:sz w:val="24"/>
          <w:shd w:val="clear" w:color="auto" w:fill="auto"/>
        </w:rPr>
      </w:pPr>
      <w:r>
        <w:rPr>
          <w:rFonts w:hint="eastAsia" w:hAnsiTheme="minorEastAsia" w:eastAsiaTheme="minorEastAsia"/>
          <w:color w:val="auto"/>
          <w:sz w:val="24"/>
          <w:shd w:val="clear" w:color="auto" w:fill="auto"/>
        </w:rPr>
        <w:t>Q=0.15*86</w:t>
      </w:r>
      <w:r>
        <w:rPr>
          <w:rFonts w:hint="eastAsia" w:hAnsiTheme="minorEastAsia" w:eastAsiaTheme="minorEastAsia"/>
          <w:color w:val="auto"/>
          <w:sz w:val="24"/>
          <w:shd w:val="clear" w:color="auto" w:fill="auto"/>
          <w:lang w:val="en-US" w:eastAsia="zh-CN"/>
        </w:rPr>
        <w:t>.</w:t>
      </w:r>
      <w:r>
        <w:rPr>
          <w:rFonts w:hint="eastAsia" w:hAnsiTheme="minorEastAsia" w:eastAsiaTheme="minorEastAsia"/>
          <w:color w:val="auto"/>
          <w:sz w:val="24"/>
          <w:shd w:val="clear" w:color="auto" w:fill="auto"/>
        </w:rPr>
        <w:t>1*5</w:t>
      </w:r>
      <w:r>
        <w:rPr>
          <w:rFonts w:hint="eastAsia" w:hAnsiTheme="minorEastAsia" w:eastAsiaTheme="minorEastAsia"/>
          <w:color w:val="auto"/>
          <w:sz w:val="24"/>
          <w:shd w:val="clear" w:color="auto" w:fill="auto"/>
          <w:lang w:val="en-US" w:eastAsia="zh-CN"/>
        </w:rPr>
        <w:t>.</w:t>
      </w:r>
      <w:r>
        <w:rPr>
          <w:rFonts w:hint="eastAsia" w:hAnsiTheme="minorEastAsia" w:eastAsiaTheme="minorEastAsia"/>
          <w:color w:val="auto"/>
          <w:sz w:val="24"/>
          <w:shd w:val="clear" w:color="auto" w:fill="auto"/>
        </w:rPr>
        <w:t>56+0.9*86.1*1.4</w:t>
      </w:r>
      <w:r>
        <w:rPr>
          <w:rFonts w:hint="eastAsia" w:hAnsiTheme="minorEastAsia" w:eastAsiaTheme="minorEastAsia"/>
          <w:color w:val="auto"/>
          <w:sz w:val="24"/>
          <w:shd w:val="clear" w:color="auto" w:fill="auto"/>
          <w:lang w:val="en-US" w:eastAsia="zh-CN"/>
        </w:rPr>
        <w:t>=</w:t>
      </w:r>
      <w:r>
        <w:rPr>
          <w:rFonts w:hint="eastAsia" w:hAnsiTheme="minorEastAsia" w:eastAsiaTheme="minorEastAsia"/>
          <w:color w:val="auto"/>
          <w:sz w:val="24"/>
          <w:shd w:val="clear" w:color="auto" w:fill="auto"/>
        </w:rPr>
        <w:t>180.3Ls，10</w:t>
      </w:r>
      <w:r>
        <w:rPr>
          <w:rFonts w:hint="eastAsia" w:hAnsiTheme="minorEastAsia" w:eastAsiaTheme="minorEastAsia"/>
          <w:color w:val="auto"/>
          <w:sz w:val="24"/>
          <w:shd w:val="clear" w:color="auto" w:fill="auto"/>
          <w:lang w:eastAsia="zh-CN"/>
        </w:rPr>
        <w:t>m</w:t>
      </w:r>
      <w:r>
        <w:rPr>
          <w:rFonts w:hint="eastAsia" w:hAnsiTheme="minorEastAsia" w:eastAsiaTheme="minorEastAsia"/>
          <w:color w:val="auto"/>
          <w:sz w:val="24"/>
          <w:shd w:val="clear" w:color="auto" w:fill="auto"/>
        </w:rPr>
        <w:t>in产生108.2</w:t>
      </w:r>
      <w:r>
        <w:rPr>
          <w:rFonts w:hint="eastAsia" w:hAnsiTheme="minorEastAsia" w:eastAsiaTheme="minorEastAsia"/>
          <w:color w:val="auto"/>
          <w:sz w:val="24"/>
          <w:shd w:val="clear" w:color="auto" w:fill="auto"/>
          <w:vertAlign w:val="baseline"/>
          <w:lang w:eastAsia="zh-CN"/>
        </w:rPr>
        <w:t>m</w:t>
      </w:r>
      <w:r>
        <w:rPr>
          <w:rFonts w:hint="eastAsia" w:hAnsiTheme="minorEastAsia" w:eastAsiaTheme="minorEastAsia"/>
          <w:color w:val="auto"/>
          <w:sz w:val="24"/>
          <w:shd w:val="clear" w:color="auto" w:fill="auto"/>
          <w:vertAlign w:val="superscript"/>
          <w:lang w:eastAsia="zh-CN"/>
        </w:rPr>
        <w:t>3</w:t>
      </w:r>
      <w:r>
        <w:rPr>
          <w:rFonts w:hint="eastAsia" w:hAnsiTheme="minorEastAsia" w:eastAsiaTheme="minorEastAsia"/>
          <w:color w:val="auto"/>
          <w:sz w:val="24"/>
          <w:shd w:val="clear" w:color="auto" w:fill="auto"/>
        </w:rPr>
        <w:t>/次初期雨水。年暴雨頻次按30次a计，则年收集雨水量3246</w:t>
      </w:r>
      <w:r>
        <w:rPr>
          <w:rFonts w:hint="eastAsia" w:hAnsiTheme="minorEastAsia" w:eastAsiaTheme="minorEastAsia"/>
          <w:color w:val="auto"/>
          <w:sz w:val="24"/>
          <w:shd w:val="clear" w:color="auto" w:fill="auto"/>
          <w:vertAlign w:val="baseline"/>
          <w:lang w:eastAsia="zh-CN"/>
        </w:rPr>
        <w:t>m</w:t>
      </w:r>
      <w:r>
        <w:rPr>
          <w:rFonts w:hint="eastAsia" w:hAnsiTheme="minorEastAsia" w:eastAsiaTheme="minorEastAsia"/>
          <w:color w:val="auto"/>
          <w:sz w:val="24"/>
          <w:shd w:val="clear" w:color="auto" w:fill="auto"/>
          <w:vertAlign w:val="superscript"/>
          <w:lang w:eastAsia="zh-CN"/>
        </w:rPr>
        <w:t>3</w:t>
      </w:r>
      <w:r>
        <w:rPr>
          <w:rFonts w:hint="eastAsia" w:hAnsiTheme="minorEastAsia" w:eastAsiaTheme="minorEastAsia"/>
          <w:color w:val="auto"/>
          <w:sz w:val="24"/>
          <w:shd w:val="clear" w:color="auto" w:fill="auto"/>
        </w:rPr>
        <w:t>a。经沉淀池处理后暂存于回用水池，回用于道路酒水等。</w:t>
      </w:r>
    </w:p>
    <w:p>
      <w:pPr>
        <w:numPr>
          <w:ilvl w:val="0"/>
          <w:numId w:val="0"/>
        </w:numPr>
        <w:ind w:leftChars="200"/>
        <w:rPr>
          <w:rFonts w:hint="eastAsia"/>
          <w:b/>
          <w:bCs/>
          <w:color w:val="auto"/>
          <w:shd w:val="clear" w:color="auto" w:fill="auto"/>
          <w:lang w:val="en-US" w:eastAsia="zh-CN"/>
        </w:rPr>
      </w:pPr>
      <w:r>
        <w:rPr>
          <w:rFonts w:hint="eastAsia"/>
          <w:b/>
          <w:bCs/>
          <w:color w:val="auto"/>
          <w:shd w:val="clear" w:color="auto" w:fill="auto"/>
          <w:lang w:val="en-US" w:eastAsia="zh-CN"/>
        </w:rPr>
        <w:t>3、陆域生活污水</w:t>
      </w:r>
    </w:p>
    <w:p>
      <w:pPr>
        <w:rPr>
          <w:rFonts w:hint="eastAsia"/>
          <w:lang w:val="en-US" w:eastAsia="zh-CN"/>
        </w:rPr>
      </w:pPr>
      <w:r>
        <w:rPr>
          <w:rFonts w:hint="eastAsia"/>
          <w:lang w:val="en-US" w:eastAsia="zh-CN"/>
        </w:rPr>
        <w:t>本项目陆域工作人员为20人，不提供食宿，按人均用水量约60L/d*人计，日用水量1.2</w:t>
      </w:r>
      <w:r>
        <w:rPr>
          <w:rFonts w:hint="eastAsia"/>
          <w:vertAlign w:val="baseline"/>
          <w:lang w:val="en-US" w:eastAsia="zh-CN"/>
        </w:rPr>
        <w:t>m</w:t>
      </w:r>
      <w:r>
        <w:rPr>
          <w:rFonts w:hint="eastAsia"/>
          <w:vertAlign w:val="superscript"/>
          <w:lang w:val="en-US" w:eastAsia="zh-CN"/>
        </w:rPr>
        <w:t>3</w:t>
      </w:r>
      <w:r>
        <w:rPr>
          <w:rFonts w:hint="eastAsia"/>
          <w:lang w:val="en-US" w:eastAsia="zh-CN"/>
        </w:rPr>
        <w:t>/d（384</w:t>
      </w:r>
      <w:r>
        <w:rPr>
          <w:rFonts w:hint="eastAsia"/>
          <w:vertAlign w:val="baseline"/>
          <w:lang w:val="en-US" w:eastAsia="zh-CN"/>
        </w:rPr>
        <w:t>m</w:t>
      </w:r>
      <w:r>
        <w:rPr>
          <w:rFonts w:hint="eastAsia"/>
          <w:vertAlign w:val="superscript"/>
          <w:lang w:val="en-US" w:eastAsia="zh-CN"/>
        </w:rPr>
        <w:t>3</w:t>
      </w:r>
      <w:r>
        <w:rPr>
          <w:rFonts w:hint="eastAsia"/>
          <w:lang w:val="en-US" w:eastAsia="zh-CN"/>
        </w:rPr>
        <w:t>/a），废水量以用水量80%计，则陆域生活污水产生量0.96</w:t>
      </w:r>
      <w:r>
        <w:rPr>
          <w:rFonts w:hint="eastAsia"/>
          <w:vertAlign w:val="baseline"/>
          <w:lang w:val="en-US" w:eastAsia="zh-CN"/>
        </w:rPr>
        <w:t>m</w:t>
      </w:r>
      <w:r>
        <w:rPr>
          <w:rFonts w:hint="eastAsia"/>
          <w:vertAlign w:val="superscript"/>
          <w:lang w:val="en-US" w:eastAsia="zh-CN"/>
        </w:rPr>
        <w:t>3</w:t>
      </w:r>
      <w:r>
        <w:rPr>
          <w:rFonts w:hint="eastAsia"/>
          <w:lang w:val="en-US" w:eastAsia="zh-CN"/>
        </w:rPr>
        <w:t>/d（307.2</w:t>
      </w:r>
      <w:r>
        <w:rPr>
          <w:rFonts w:hint="eastAsia"/>
          <w:vertAlign w:val="baseline"/>
          <w:lang w:val="en-US" w:eastAsia="zh-CN"/>
        </w:rPr>
        <w:t>m</w:t>
      </w:r>
      <w:r>
        <w:rPr>
          <w:rFonts w:hint="eastAsia"/>
          <w:vertAlign w:val="superscript"/>
          <w:lang w:val="en-US" w:eastAsia="zh-CN"/>
        </w:rPr>
        <w:t>3</w:t>
      </w:r>
      <w:r>
        <w:rPr>
          <w:rFonts w:hint="eastAsia"/>
          <w:lang w:val="en-US" w:eastAsia="zh-CN"/>
        </w:rPr>
        <w:t>/a）。废水中其主要污染物为COD、BOD</w:t>
      </w:r>
      <w:r>
        <w:rPr>
          <w:rFonts w:hint="eastAsia"/>
          <w:vertAlign w:val="subscript"/>
          <w:lang w:val="en-US" w:eastAsia="zh-CN"/>
        </w:rPr>
        <w:t>5</w:t>
      </w:r>
      <w:r>
        <w:rPr>
          <w:rFonts w:hint="eastAsia"/>
          <w:lang w:val="en-US" w:eastAsia="zh-CN"/>
        </w:rPr>
        <w:t>、NH</w:t>
      </w:r>
      <w:r>
        <w:rPr>
          <w:rFonts w:hint="eastAsia"/>
          <w:vertAlign w:val="subscript"/>
          <w:lang w:val="en-US" w:eastAsia="zh-CN"/>
        </w:rPr>
        <w:t>3</w:t>
      </w:r>
      <w:r>
        <w:rPr>
          <w:rFonts w:hint="eastAsia"/>
          <w:lang w:val="en-US" w:eastAsia="zh-CN"/>
        </w:rPr>
        <w:t>-N和SS等。通过类比，废水中主要污染物浓度为：COD 300mg/L、BOD</w:t>
      </w:r>
      <w:r>
        <w:rPr>
          <w:rFonts w:hint="eastAsia"/>
          <w:vertAlign w:val="subscript"/>
          <w:lang w:val="en-US" w:eastAsia="zh-CN"/>
        </w:rPr>
        <w:t>5</w:t>
      </w:r>
      <w:r>
        <w:rPr>
          <w:rFonts w:hint="eastAsia"/>
          <w:lang w:val="en-US" w:eastAsia="zh-CN"/>
        </w:rPr>
        <w:t xml:space="preserve"> 180mg/L、NH</w:t>
      </w:r>
      <w:r>
        <w:rPr>
          <w:rFonts w:hint="eastAsia"/>
          <w:vertAlign w:val="subscript"/>
          <w:lang w:val="en-US" w:eastAsia="zh-CN"/>
        </w:rPr>
        <w:t>3</w:t>
      </w:r>
      <w:r>
        <w:rPr>
          <w:rFonts w:hint="eastAsia"/>
          <w:lang w:val="en-US" w:eastAsia="zh-CN"/>
        </w:rPr>
        <w:t>-N 35mg/L、SS为200mg/L。</w:t>
      </w:r>
    </w:p>
    <w:p>
      <w:pPr>
        <w:rPr>
          <w:b/>
          <w:bCs/>
          <w:color w:val="auto"/>
          <w:shd w:val="clear" w:color="auto" w:fill="auto"/>
        </w:rPr>
      </w:pPr>
      <w:r>
        <w:rPr>
          <w:rFonts w:hint="eastAsia"/>
          <w:b/>
          <w:bCs/>
          <w:color w:val="auto"/>
          <w:shd w:val="clear" w:color="auto" w:fill="auto"/>
          <w:lang w:val="en-US" w:eastAsia="zh-CN"/>
        </w:rPr>
        <w:t>4、</w:t>
      </w:r>
      <w:r>
        <w:rPr>
          <w:rFonts w:hint="eastAsia"/>
          <w:b/>
          <w:bCs/>
          <w:color w:val="auto"/>
          <w:shd w:val="clear" w:color="auto" w:fill="auto"/>
        </w:rPr>
        <w:t>废水排放情况汇总</w:t>
      </w:r>
    </w:p>
    <w:p>
      <w:pPr>
        <w:snapToGrid w:val="0"/>
        <w:ind w:firstLine="480"/>
        <w:rPr>
          <w:color w:val="auto"/>
          <w:sz w:val="24"/>
          <w:shd w:val="clear" w:color="auto" w:fill="auto"/>
        </w:rPr>
      </w:pPr>
      <w:r>
        <w:rPr>
          <w:rFonts w:hAnsi="宋体"/>
          <w:color w:val="auto"/>
          <w:shd w:val="clear" w:color="auto" w:fill="auto"/>
        </w:rPr>
        <w:t>运营期废水污染源强汇总见表</w:t>
      </w:r>
      <w:r>
        <w:rPr>
          <w:rFonts w:hint="eastAsia"/>
          <w:color w:val="auto"/>
          <w:shd w:val="clear" w:color="auto" w:fill="auto"/>
          <w:lang w:val="en-US" w:eastAsia="zh-CN"/>
        </w:rPr>
        <w:t>2</w:t>
      </w:r>
      <w:r>
        <w:rPr>
          <w:rFonts w:hint="eastAsia"/>
          <w:color w:val="auto"/>
          <w:shd w:val="clear" w:color="auto" w:fill="auto"/>
        </w:rPr>
        <w:t>.2-</w:t>
      </w:r>
      <w:r>
        <w:rPr>
          <w:rFonts w:hint="eastAsia"/>
          <w:color w:val="auto"/>
          <w:shd w:val="clear" w:color="auto" w:fill="auto"/>
          <w:lang w:val="en-US" w:eastAsia="zh-CN"/>
        </w:rPr>
        <w:t>13；</w:t>
      </w:r>
      <w:r>
        <w:rPr>
          <w:rFonts w:hint="eastAsia" w:hAnsi="宋体"/>
          <w:color w:val="auto"/>
          <w:sz w:val="24"/>
          <w:shd w:val="clear" w:color="auto" w:fill="auto"/>
          <w:lang w:val="en-US" w:eastAsia="zh-CN"/>
        </w:rPr>
        <w:t>本项目水</w:t>
      </w:r>
      <w:r>
        <w:rPr>
          <w:rFonts w:hAnsi="宋体"/>
          <w:color w:val="auto"/>
          <w:sz w:val="24"/>
          <w:shd w:val="clear" w:color="auto" w:fill="auto"/>
        </w:rPr>
        <w:t>平衡情况见图</w:t>
      </w:r>
      <w:r>
        <w:rPr>
          <w:rFonts w:hint="eastAsia"/>
          <w:color w:val="auto"/>
          <w:sz w:val="24"/>
          <w:shd w:val="clear" w:color="auto" w:fill="auto"/>
          <w:lang w:val="en-US" w:eastAsia="zh-CN"/>
        </w:rPr>
        <w:t>2.2-3</w:t>
      </w:r>
      <w:r>
        <w:rPr>
          <w:rFonts w:hAnsi="宋体"/>
          <w:color w:val="auto"/>
          <w:sz w:val="24"/>
          <w:shd w:val="clear" w:color="auto" w:fill="auto"/>
        </w:rPr>
        <w:t>。</w:t>
      </w:r>
    </w:p>
    <w:p>
      <w:pPr>
        <w:snapToGrid w:val="0"/>
        <w:ind w:firstLine="480"/>
        <w:rPr>
          <w:rFonts w:hAnsi="宋体"/>
          <w:color w:val="auto"/>
          <w:shd w:val="clear" w:color="auto" w:fill="auto"/>
        </w:rPr>
        <w:sectPr>
          <w:footerReference r:id="rId9"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before="157" w:beforeLines="50" w:line="240" w:lineRule="auto"/>
        <w:ind w:firstLine="315" w:firstLineChars="150"/>
        <w:jc w:val="center"/>
        <w:textAlignment w:val="auto"/>
        <w:rPr>
          <w:rFonts w:eastAsia="黑体"/>
          <w:color w:val="auto"/>
          <w:kern w:val="24"/>
          <w:sz w:val="21"/>
          <w:szCs w:val="21"/>
          <w:shd w:val="clear" w:color="auto" w:fill="auto"/>
        </w:rPr>
      </w:pPr>
      <w:r>
        <w:rPr>
          <w:rFonts w:hint="eastAsia" w:eastAsia="黑体"/>
          <w:color w:val="auto"/>
          <w:kern w:val="24"/>
          <w:sz w:val="21"/>
          <w:szCs w:val="21"/>
          <w:shd w:val="clear" w:color="auto" w:fill="auto"/>
        </w:rPr>
        <w:t>表</w:t>
      </w:r>
      <w:r>
        <w:rPr>
          <w:rFonts w:hint="eastAsia" w:eastAsia="黑体"/>
          <w:color w:val="auto"/>
          <w:kern w:val="24"/>
          <w:sz w:val="21"/>
          <w:szCs w:val="21"/>
          <w:shd w:val="clear" w:color="auto" w:fill="auto"/>
          <w:lang w:val="en-US" w:eastAsia="zh-CN"/>
        </w:rPr>
        <w:t>2</w:t>
      </w:r>
      <w:r>
        <w:rPr>
          <w:rFonts w:hint="eastAsia" w:eastAsia="黑体"/>
          <w:color w:val="auto"/>
          <w:kern w:val="24"/>
          <w:sz w:val="21"/>
          <w:szCs w:val="21"/>
          <w:shd w:val="clear" w:color="auto" w:fill="auto"/>
        </w:rPr>
        <w:t>.2-</w:t>
      </w:r>
      <w:r>
        <w:rPr>
          <w:rFonts w:hint="eastAsia" w:eastAsia="黑体"/>
          <w:color w:val="auto"/>
          <w:kern w:val="24"/>
          <w:sz w:val="21"/>
          <w:szCs w:val="21"/>
          <w:shd w:val="clear" w:color="auto" w:fill="auto"/>
          <w:lang w:val="en-US" w:eastAsia="zh-CN"/>
        </w:rPr>
        <w:t>13</w:t>
      </w:r>
      <w:r>
        <w:rPr>
          <w:rFonts w:hint="eastAsia" w:eastAsia="黑体"/>
          <w:color w:val="auto"/>
          <w:kern w:val="24"/>
          <w:sz w:val="21"/>
          <w:szCs w:val="21"/>
          <w:shd w:val="clear" w:color="auto" w:fill="auto"/>
        </w:rPr>
        <w:t xml:space="preserve"> </w:t>
      </w:r>
      <w:r>
        <w:rPr>
          <w:rFonts w:eastAsia="黑体"/>
          <w:color w:val="auto"/>
          <w:kern w:val="24"/>
          <w:sz w:val="21"/>
          <w:szCs w:val="21"/>
          <w:shd w:val="clear" w:color="auto" w:fill="auto"/>
        </w:rPr>
        <w:t>运营期</w:t>
      </w:r>
      <w:r>
        <w:rPr>
          <w:rFonts w:hint="eastAsia" w:eastAsia="黑体"/>
          <w:color w:val="auto"/>
          <w:kern w:val="24"/>
          <w:sz w:val="21"/>
          <w:szCs w:val="21"/>
          <w:shd w:val="clear" w:color="auto" w:fill="auto"/>
        </w:rPr>
        <w:t>拟建项目</w:t>
      </w:r>
      <w:r>
        <w:rPr>
          <w:rFonts w:eastAsia="黑体"/>
          <w:color w:val="auto"/>
          <w:kern w:val="24"/>
          <w:sz w:val="21"/>
          <w:szCs w:val="21"/>
          <w:shd w:val="clear" w:color="auto" w:fill="auto"/>
        </w:rPr>
        <w:t>废水污染产生</w:t>
      </w:r>
      <w:r>
        <w:rPr>
          <w:rFonts w:hint="eastAsia" w:eastAsia="黑体"/>
          <w:color w:val="auto"/>
          <w:kern w:val="24"/>
          <w:sz w:val="21"/>
          <w:szCs w:val="21"/>
          <w:shd w:val="clear" w:color="auto" w:fill="auto"/>
        </w:rPr>
        <w:t>及排放</w:t>
      </w:r>
      <w:r>
        <w:rPr>
          <w:rFonts w:eastAsia="黑体"/>
          <w:color w:val="auto"/>
          <w:kern w:val="24"/>
          <w:sz w:val="21"/>
          <w:szCs w:val="21"/>
          <w:shd w:val="clear" w:color="auto" w:fill="auto"/>
        </w:rPr>
        <w:t>情况</w:t>
      </w:r>
    </w:p>
    <w:tbl>
      <w:tblPr>
        <w:tblStyle w:val="26"/>
        <w:tblW w:w="134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7"/>
        <w:gridCol w:w="1740"/>
        <w:gridCol w:w="1065"/>
        <w:gridCol w:w="1080"/>
        <w:gridCol w:w="1080"/>
        <w:gridCol w:w="1080"/>
        <w:gridCol w:w="2423"/>
        <w:gridCol w:w="975"/>
        <w:gridCol w:w="855"/>
        <w:gridCol w:w="907"/>
        <w:gridCol w:w="1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vMerge w:val="restart"/>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序号</w:t>
            </w:r>
          </w:p>
        </w:tc>
        <w:tc>
          <w:tcPr>
            <w:tcW w:w="1740" w:type="dxa"/>
            <w:vMerge w:val="restart"/>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废水名称</w:t>
            </w:r>
          </w:p>
        </w:tc>
        <w:tc>
          <w:tcPr>
            <w:tcW w:w="1065" w:type="dxa"/>
            <w:vMerge w:val="restart"/>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废水量</w:t>
            </w:r>
          </w:p>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vertAlign w:val="baseline"/>
                <w:lang w:eastAsia="zh-CN"/>
              </w:rPr>
              <w:t>m</w:t>
            </w:r>
            <w:r>
              <w:rPr>
                <w:rFonts w:hint="eastAsia" w:cs="Times New Roman"/>
                <w:color w:val="auto"/>
                <w:sz w:val="21"/>
                <w:shd w:val="clear" w:color="auto" w:fill="auto"/>
                <w:vertAlign w:val="superscript"/>
                <w:lang w:eastAsia="zh-CN"/>
              </w:rPr>
              <w:t>3</w:t>
            </w:r>
            <w:r>
              <w:rPr>
                <w:rFonts w:hint="eastAsia" w:cs="Times New Roman"/>
                <w:color w:val="auto"/>
                <w:sz w:val="21"/>
                <w:shd w:val="clear" w:color="auto" w:fill="auto"/>
              </w:rPr>
              <w:t>/a</w:t>
            </w:r>
          </w:p>
        </w:tc>
        <w:tc>
          <w:tcPr>
            <w:tcW w:w="3240" w:type="dxa"/>
            <w:gridSpan w:val="3"/>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污染物产生情况</w:t>
            </w:r>
          </w:p>
        </w:tc>
        <w:tc>
          <w:tcPr>
            <w:tcW w:w="2423" w:type="dxa"/>
            <w:vMerge w:val="restart"/>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处理</w:t>
            </w:r>
          </w:p>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方式</w:t>
            </w:r>
          </w:p>
        </w:tc>
        <w:tc>
          <w:tcPr>
            <w:tcW w:w="2737" w:type="dxa"/>
            <w:gridSpan w:val="3"/>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排放情况</w:t>
            </w:r>
          </w:p>
        </w:tc>
        <w:tc>
          <w:tcPr>
            <w:tcW w:w="1522" w:type="dxa"/>
            <w:vMerge w:val="restart"/>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排放</w:t>
            </w:r>
          </w:p>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740"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65"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污染物</w:t>
            </w: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浓度</w:t>
            </w:r>
            <w:r>
              <w:rPr>
                <w:rFonts w:hint="eastAsia" w:cs="Times New Roman"/>
                <w:color w:val="auto"/>
                <w:sz w:val="21"/>
                <w:shd w:val="clear" w:color="auto" w:fill="auto"/>
              </w:rPr>
              <w:br w:type="textWrapping"/>
            </w:r>
            <w:r>
              <w:rPr>
                <w:rFonts w:hint="eastAsia" w:cs="Times New Roman"/>
                <w:color w:val="auto"/>
                <w:sz w:val="21"/>
                <w:shd w:val="clear" w:color="auto" w:fill="auto"/>
                <w:lang w:eastAsia="zh-CN"/>
              </w:rPr>
              <w:t>m</w:t>
            </w:r>
            <w:r>
              <w:rPr>
                <w:rFonts w:hint="eastAsia" w:cs="Times New Roman"/>
                <w:color w:val="auto"/>
                <w:sz w:val="21"/>
                <w:shd w:val="clear" w:color="auto" w:fill="auto"/>
              </w:rPr>
              <w:t>g/L</w:t>
            </w: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产生量</w:t>
            </w:r>
            <w:r>
              <w:rPr>
                <w:rFonts w:hint="eastAsia" w:cs="Times New Roman"/>
                <w:color w:val="auto"/>
                <w:sz w:val="21"/>
                <w:shd w:val="clear" w:color="auto" w:fill="auto"/>
              </w:rPr>
              <w:br w:type="textWrapping"/>
            </w:r>
            <w:r>
              <w:rPr>
                <w:rFonts w:hint="eastAsia" w:cs="Times New Roman"/>
                <w:color w:val="auto"/>
                <w:sz w:val="21"/>
                <w:shd w:val="clear" w:color="auto" w:fill="auto"/>
              </w:rPr>
              <w:t>t/a</w:t>
            </w:r>
          </w:p>
        </w:tc>
        <w:tc>
          <w:tcPr>
            <w:tcW w:w="2423"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97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污染物</w:t>
            </w:r>
          </w:p>
        </w:tc>
        <w:tc>
          <w:tcPr>
            <w:tcW w:w="85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浓度</w:t>
            </w:r>
            <w:r>
              <w:rPr>
                <w:rFonts w:hint="eastAsia" w:cs="Times New Roman"/>
                <w:color w:val="auto"/>
                <w:sz w:val="21"/>
                <w:shd w:val="clear" w:color="auto" w:fill="auto"/>
              </w:rPr>
              <w:br w:type="textWrapping"/>
            </w:r>
            <w:r>
              <w:rPr>
                <w:rFonts w:hint="eastAsia" w:cs="Times New Roman"/>
                <w:color w:val="auto"/>
                <w:sz w:val="21"/>
                <w:shd w:val="clear" w:color="auto" w:fill="auto"/>
                <w:lang w:eastAsia="zh-CN"/>
              </w:rPr>
              <w:t>m</w:t>
            </w:r>
            <w:r>
              <w:rPr>
                <w:rFonts w:hint="eastAsia" w:cs="Times New Roman"/>
                <w:color w:val="auto"/>
                <w:sz w:val="21"/>
                <w:shd w:val="clear" w:color="auto" w:fill="auto"/>
              </w:rPr>
              <w:t>g/L</w:t>
            </w:r>
          </w:p>
        </w:tc>
        <w:tc>
          <w:tcPr>
            <w:tcW w:w="907"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排放量</w:t>
            </w:r>
            <w:r>
              <w:rPr>
                <w:rFonts w:hint="eastAsia" w:cs="Times New Roman"/>
                <w:color w:val="auto"/>
                <w:sz w:val="21"/>
                <w:shd w:val="clear" w:color="auto" w:fill="auto"/>
              </w:rPr>
              <w:br w:type="textWrapping"/>
            </w:r>
            <w:r>
              <w:rPr>
                <w:rFonts w:hint="eastAsia" w:cs="Times New Roman"/>
                <w:color w:val="auto"/>
                <w:sz w:val="21"/>
                <w:shd w:val="clear" w:color="auto" w:fill="auto"/>
              </w:rPr>
              <w:t>t/a</w:t>
            </w:r>
          </w:p>
        </w:tc>
        <w:tc>
          <w:tcPr>
            <w:tcW w:w="1522" w:type="dxa"/>
            <w:vMerge w:val="continue"/>
            <w:vAlign w:val="center"/>
          </w:tcPr>
          <w:p>
            <w:pPr>
              <w:pStyle w:val="46"/>
              <w:spacing w:line="240" w:lineRule="auto"/>
              <w:ind w:firstLine="0" w:firstLineChars="0"/>
              <w:jc w:val="center"/>
              <w:rPr>
                <w:rFonts w:cs="Times New Roman"/>
                <w:color w:val="auto"/>
                <w:sz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1</w:t>
            </w:r>
          </w:p>
        </w:tc>
        <w:tc>
          <w:tcPr>
            <w:tcW w:w="174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船舶舱底油污水</w:t>
            </w:r>
          </w:p>
        </w:tc>
        <w:tc>
          <w:tcPr>
            <w:tcW w:w="1065" w:type="dxa"/>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olor w:val="auto"/>
                <w:spacing w:val="5"/>
                <w:sz w:val="21"/>
                <w:shd w:val="clear" w:color="auto" w:fill="auto"/>
                <w:lang w:val="en-US" w:eastAsia="zh-CN"/>
              </w:rPr>
              <w:t>216</w:t>
            </w: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石油类</w:t>
            </w: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6000</w:t>
            </w:r>
          </w:p>
        </w:tc>
        <w:tc>
          <w:tcPr>
            <w:tcW w:w="1080"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1.3</w:t>
            </w:r>
          </w:p>
        </w:tc>
        <w:tc>
          <w:tcPr>
            <w:tcW w:w="2423" w:type="dxa"/>
            <w:vAlign w:val="center"/>
          </w:tcPr>
          <w:p>
            <w:pPr>
              <w:tabs>
                <w:tab w:val="left" w:pos="1232"/>
              </w:tabs>
              <w:autoSpaceDE w:val="0"/>
              <w:autoSpaceDN w:val="0"/>
              <w:spacing w:line="240" w:lineRule="auto"/>
              <w:ind w:left="0" w:leftChars="0" w:firstLine="0" w:firstLineChars="0"/>
              <w:jc w:val="center"/>
              <w:rPr>
                <w:rFonts w:hint="eastAsia" w:cs="Times New Roman"/>
                <w:color w:val="auto"/>
                <w:sz w:val="21"/>
                <w:shd w:val="clear" w:color="auto" w:fill="auto"/>
              </w:rPr>
            </w:pPr>
            <w:r>
              <w:rPr>
                <w:rFonts w:hint="eastAsia" w:ascii="Times New Roman" w:hAnsi="Times New Roman" w:eastAsia="宋体" w:cs="Times New Roman"/>
                <w:color w:val="auto"/>
                <w:kern w:val="0"/>
                <w:sz w:val="21"/>
                <w:szCs w:val="21"/>
                <w:shd w:val="clear" w:color="auto" w:fill="auto"/>
                <w:lang w:val="en-US" w:eastAsia="zh-CN" w:bidi="ar-SA"/>
              </w:rPr>
              <w:t>由船舶油污水收集罐车收集后，定期外运至</w:t>
            </w:r>
            <w:r>
              <w:rPr>
                <w:rFonts w:hint="eastAsia" w:cs="Times New Roman"/>
                <w:color w:val="auto"/>
                <w:kern w:val="0"/>
                <w:sz w:val="21"/>
                <w:szCs w:val="21"/>
                <w:shd w:val="clear" w:color="auto" w:fill="auto"/>
                <w:lang w:val="en-US" w:eastAsia="zh-CN" w:bidi="ar-SA"/>
              </w:rPr>
              <w:t>有资质</w:t>
            </w:r>
            <w:r>
              <w:rPr>
                <w:rFonts w:hint="eastAsia" w:ascii="Times New Roman" w:hAnsi="Times New Roman" w:eastAsia="宋体" w:cs="Times New Roman"/>
                <w:color w:val="auto"/>
                <w:kern w:val="0"/>
                <w:sz w:val="21"/>
                <w:szCs w:val="21"/>
                <w:shd w:val="clear" w:color="auto" w:fill="auto"/>
                <w:lang w:val="en-US" w:eastAsia="zh-CN" w:bidi="ar-SA"/>
              </w:rPr>
              <w:t>接收处理单位</w:t>
            </w:r>
          </w:p>
        </w:tc>
        <w:tc>
          <w:tcPr>
            <w:tcW w:w="97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石油类</w:t>
            </w:r>
          </w:p>
        </w:tc>
        <w:tc>
          <w:tcPr>
            <w:tcW w:w="855" w:type="dxa"/>
            <w:vAlign w:val="center"/>
          </w:tcPr>
          <w:p>
            <w:pPr>
              <w:pStyle w:val="46"/>
              <w:spacing w:line="240" w:lineRule="auto"/>
              <w:ind w:firstLine="0" w:firstLineChars="0"/>
              <w:jc w:val="center"/>
              <w:rPr>
                <w:rFonts w:hint="eastAsia" w:eastAsia="宋体" w:cs="Times New Roman"/>
                <w:color w:val="auto"/>
                <w:sz w:val="21"/>
                <w:shd w:val="clear" w:color="auto" w:fill="auto"/>
                <w:lang w:eastAsia="zh-CN"/>
              </w:rPr>
            </w:pPr>
            <w:r>
              <w:rPr>
                <w:rFonts w:hint="eastAsia" w:cs="Times New Roman"/>
                <w:color w:val="auto"/>
                <w:sz w:val="21"/>
                <w:shd w:val="clear" w:color="auto" w:fill="auto"/>
                <w:lang w:val="en-US" w:eastAsia="zh-CN"/>
              </w:rPr>
              <w:t>0</w:t>
            </w:r>
          </w:p>
        </w:tc>
        <w:tc>
          <w:tcPr>
            <w:tcW w:w="907" w:type="dxa"/>
            <w:vAlign w:val="center"/>
          </w:tcPr>
          <w:p>
            <w:pPr>
              <w:pStyle w:val="46"/>
              <w:spacing w:line="240" w:lineRule="auto"/>
              <w:ind w:firstLine="0" w:firstLineChars="0"/>
              <w:jc w:val="center"/>
              <w:rPr>
                <w:rFonts w:hint="eastAsia" w:eastAsia="宋体" w:cs="Times New Roman"/>
                <w:color w:val="auto"/>
                <w:sz w:val="21"/>
                <w:shd w:val="clear" w:color="auto" w:fill="auto"/>
                <w:lang w:eastAsia="zh-CN"/>
              </w:rPr>
            </w:pPr>
            <w:r>
              <w:rPr>
                <w:rFonts w:hint="eastAsia" w:cs="Times New Roman"/>
                <w:color w:val="auto"/>
                <w:sz w:val="21"/>
                <w:shd w:val="clear" w:color="auto" w:fill="auto"/>
                <w:lang w:val="en-US" w:eastAsia="zh-CN"/>
              </w:rPr>
              <w:t>0</w:t>
            </w:r>
          </w:p>
        </w:tc>
        <w:tc>
          <w:tcPr>
            <w:tcW w:w="1522" w:type="dxa"/>
            <w:vMerge w:val="restart"/>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委托处理不外排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vMerge w:val="restart"/>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2</w:t>
            </w:r>
          </w:p>
        </w:tc>
        <w:tc>
          <w:tcPr>
            <w:tcW w:w="1740" w:type="dxa"/>
            <w:vMerge w:val="restart"/>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船舶生活污水</w:t>
            </w:r>
          </w:p>
        </w:tc>
        <w:tc>
          <w:tcPr>
            <w:tcW w:w="1065" w:type="dxa"/>
            <w:vMerge w:val="restart"/>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1536</w:t>
            </w: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COD</w:t>
            </w: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300</w:t>
            </w:r>
          </w:p>
        </w:tc>
        <w:tc>
          <w:tcPr>
            <w:tcW w:w="1080" w:type="dxa"/>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0.46</w:t>
            </w:r>
          </w:p>
        </w:tc>
        <w:tc>
          <w:tcPr>
            <w:tcW w:w="2423" w:type="dxa"/>
            <w:vMerge w:val="restart"/>
            <w:vAlign w:val="center"/>
          </w:tcPr>
          <w:p>
            <w:pPr>
              <w:pStyle w:val="46"/>
              <w:spacing w:line="240" w:lineRule="auto"/>
              <w:ind w:firstLine="0" w:firstLineChars="0"/>
              <w:jc w:val="center"/>
              <w:rPr>
                <w:rFonts w:cs="Times New Roman"/>
                <w:color w:val="auto"/>
                <w:sz w:val="21"/>
                <w:shd w:val="clear" w:color="auto" w:fill="auto"/>
              </w:rPr>
            </w:pPr>
            <w:r>
              <w:rPr>
                <w:rFonts w:hint="eastAsia" w:ascii="Times New Roman" w:hAnsi="Times New Roman" w:eastAsia="宋体" w:cs="Times New Roman"/>
                <w:color w:val="auto"/>
                <w:kern w:val="0"/>
                <w:sz w:val="21"/>
                <w:szCs w:val="21"/>
                <w:shd w:val="clear" w:color="auto" w:fill="auto"/>
                <w:lang w:val="en-US" w:eastAsia="zh-CN" w:bidi="ar-SA"/>
              </w:rPr>
              <w:t>由船舶生活污水收集罐车收集，定期由外运至相关接收处理单位</w:t>
            </w:r>
          </w:p>
        </w:tc>
        <w:tc>
          <w:tcPr>
            <w:tcW w:w="97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COD</w:t>
            </w:r>
          </w:p>
        </w:tc>
        <w:tc>
          <w:tcPr>
            <w:tcW w:w="85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0</w:t>
            </w:r>
          </w:p>
        </w:tc>
        <w:tc>
          <w:tcPr>
            <w:tcW w:w="907"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0</w:t>
            </w:r>
          </w:p>
        </w:tc>
        <w:tc>
          <w:tcPr>
            <w:tcW w:w="1522" w:type="dxa"/>
            <w:vMerge w:val="continue"/>
            <w:vAlign w:val="center"/>
          </w:tcPr>
          <w:p>
            <w:pPr>
              <w:pStyle w:val="46"/>
              <w:spacing w:line="240" w:lineRule="auto"/>
              <w:ind w:firstLine="0" w:firstLineChars="0"/>
              <w:jc w:val="center"/>
              <w:rPr>
                <w:rFonts w:cs="Times New Roman"/>
                <w:color w:val="auto"/>
                <w:sz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740"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65"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BOD</w:t>
            </w:r>
            <w:r>
              <w:rPr>
                <w:rFonts w:hint="eastAsia" w:cs="Times New Roman"/>
                <w:color w:val="auto"/>
                <w:sz w:val="21"/>
                <w:shd w:val="clear" w:color="auto" w:fill="auto"/>
                <w:vertAlign w:val="subscript"/>
              </w:rPr>
              <w:t>5</w:t>
            </w: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180</w:t>
            </w:r>
          </w:p>
        </w:tc>
        <w:tc>
          <w:tcPr>
            <w:tcW w:w="1080" w:type="dxa"/>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0.28</w:t>
            </w:r>
          </w:p>
        </w:tc>
        <w:tc>
          <w:tcPr>
            <w:tcW w:w="2423"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97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BOD</w:t>
            </w:r>
            <w:r>
              <w:rPr>
                <w:rFonts w:hint="eastAsia" w:cs="Times New Roman"/>
                <w:color w:val="auto"/>
                <w:sz w:val="21"/>
                <w:shd w:val="clear" w:color="auto" w:fill="auto"/>
                <w:vertAlign w:val="subscript"/>
              </w:rPr>
              <w:t>5</w:t>
            </w:r>
          </w:p>
        </w:tc>
        <w:tc>
          <w:tcPr>
            <w:tcW w:w="85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0</w:t>
            </w:r>
          </w:p>
        </w:tc>
        <w:tc>
          <w:tcPr>
            <w:tcW w:w="907"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0</w:t>
            </w:r>
          </w:p>
        </w:tc>
        <w:tc>
          <w:tcPr>
            <w:tcW w:w="1522" w:type="dxa"/>
            <w:vMerge w:val="continue"/>
            <w:vAlign w:val="center"/>
          </w:tcPr>
          <w:p>
            <w:pPr>
              <w:pStyle w:val="46"/>
              <w:spacing w:line="240" w:lineRule="auto"/>
              <w:ind w:firstLine="0" w:firstLineChars="0"/>
              <w:jc w:val="center"/>
              <w:rPr>
                <w:rFonts w:cs="Times New Roman"/>
                <w:color w:val="auto"/>
                <w:sz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740"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65"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氨氮</w:t>
            </w: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35</w:t>
            </w:r>
          </w:p>
        </w:tc>
        <w:tc>
          <w:tcPr>
            <w:tcW w:w="1080" w:type="dxa"/>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0.05</w:t>
            </w:r>
          </w:p>
        </w:tc>
        <w:tc>
          <w:tcPr>
            <w:tcW w:w="2423"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97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氨氮</w:t>
            </w:r>
          </w:p>
        </w:tc>
        <w:tc>
          <w:tcPr>
            <w:tcW w:w="85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0</w:t>
            </w:r>
          </w:p>
        </w:tc>
        <w:tc>
          <w:tcPr>
            <w:tcW w:w="907"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0</w:t>
            </w:r>
          </w:p>
        </w:tc>
        <w:tc>
          <w:tcPr>
            <w:tcW w:w="1522" w:type="dxa"/>
            <w:vMerge w:val="continue"/>
            <w:vAlign w:val="center"/>
          </w:tcPr>
          <w:p>
            <w:pPr>
              <w:pStyle w:val="46"/>
              <w:spacing w:line="240" w:lineRule="auto"/>
              <w:ind w:firstLine="0" w:firstLineChars="0"/>
              <w:jc w:val="center"/>
              <w:rPr>
                <w:rFonts w:cs="Times New Roman"/>
                <w:color w:val="auto"/>
                <w:sz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740"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65"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SS</w:t>
            </w: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200</w:t>
            </w:r>
          </w:p>
        </w:tc>
        <w:tc>
          <w:tcPr>
            <w:tcW w:w="1080"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rPr>
              <w:t>0.</w:t>
            </w:r>
            <w:r>
              <w:rPr>
                <w:rFonts w:hint="eastAsia" w:cs="Times New Roman"/>
                <w:color w:val="auto"/>
                <w:sz w:val="21"/>
                <w:shd w:val="clear" w:color="auto" w:fill="auto"/>
                <w:lang w:val="en-US" w:eastAsia="zh-CN"/>
              </w:rPr>
              <w:t>31</w:t>
            </w:r>
          </w:p>
        </w:tc>
        <w:tc>
          <w:tcPr>
            <w:tcW w:w="2423"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97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SS</w:t>
            </w:r>
          </w:p>
        </w:tc>
        <w:tc>
          <w:tcPr>
            <w:tcW w:w="85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0</w:t>
            </w:r>
          </w:p>
        </w:tc>
        <w:tc>
          <w:tcPr>
            <w:tcW w:w="907"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0</w:t>
            </w:r>
          </w:p>
        </w:tc>
        <w:tc>
          <w:tcPr>
            <w:tcW w:w="1522" w:type="dxa"/>
            <w:vMerge w:val="continue"/>
            <w:vAlign w:val="center"/>
          </w:tcPr>
          <w:p>
            <w:pPr>
              <w:pStyle w:val="46"/>
              <w:spacing w:line="240" w:lineRule="auto"/>
              <w:ind w:firstLine="0" w:firstLineChars="0"/>
              <w:jc w:val="center"/>
              <w:rPr>
                <w:rFonts w:cs="Times New Roman"/>
                <w:color w:val="auto"/>
                <w:sz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727" w:type="dxa"/>
            <w:vMerge w:val="restart"/>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3</w:t>
            </w:r>
          </w:p>
        </w:tc>
        <w:tc>
          <w:tcPr>
            <w:tcW w:w="1740" w:type="dxa"/>
            <w:vMerge w:val="restart"/>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流动机械冲洗废水</w:t>
            </w:r>
          </w:p>
        </w:tc>
        <w:tc>
          <w:tcPr>
            <w:tcW w:w="1065" w:type="dxa"/>
            <w:vMerge w:val="restart"/>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2110.08</w:t>
            </w: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SS</w:t>
            </w: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200</w:t>
            </w:r>
          </w:p>
        </w:tc>
        <w:tc>
          <w:tcPr>
            <w:tcW w:w="1080" w:type="dxa"/>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rPr>
              <w:t>0.</w:t>
            </w:r>
            <w:r>
              <w:rPr>
                <w:rFonts w:hint="eastAsia" w:cs="Times New Roman"/>
                <w:color w:val="auto"/>
                <w:sz w:val="21"/>
                <w:shd w:val="clear" w:color="auto" w:fill="auto"/>
                <w:lang w:val="en-US" w:eastAsia="zh-CN"/>
              </w:rPr>
              <w:t>42</w:t>
            </w:r>
          </w:p>
        </w:tc>
        <w:tc>
          <w:tcPr>
            <w:tcW w:w="2423" w:type="dxa"/>
            <w:vMerge w:val="restart"/>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经隔油沉淀池处理后回用</w:t>
            </w:r>
          </w:p>
        </w:tc>
        <w:tc>
          <w:tcPr>
            <w:tcW w:w="97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SS</w:t>
            </w:r>
          </w:p>
        </w:tc>
        <w:tc>
          <w:tcPr>
            <w:tcW w:w="85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0</w:t>
            </w:r>
          </w:p>
        </w:tc>
        <w:tc>
          <w:tcPr>
            <w:tcW w:w="907"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0</w:t>
            </w:r>
          </w:p>
        </w:tc>
        <w:tc>
          <w:tcPr>
            <w:tcW w:w="1522" w:type="dxa"/>
            <w:vMerge w:val="restart"/>
            <w:vAlign w:val="center"/>
          </w:tcPr>
          <w:p>
            <w:pPr>
              <w:pStyle w:val="46"/>
              <w:spacing w:line="240" w:lineRule="auto"/>
              <w:ind w:firstLine="0" w:firstLineChars="0"/>
              <w:jc w:val="center"/>
              <w:rPr>
                <w:rFonts w:hint="eastAsia" w:eastAsia="宋体" w:cs="Times New Roman"/>
                <w:color w:val="auto"/>
                <w:sz w:val="21"/>
                <w:shd w:val="clear" w:color="auto" w:fill="auto"/>
                <w:lang w:eastAsia="zh-CN"/>
              </w:rPr>
            </w:pPr>
            <w:r>
              <w:rPr>
                <w:rFonts w:hint="eastAsia" w:cs="Times New Roman"/>
                <w:color w:val="auto"/>
                <w:sz w:val="21"/>
                <w:shd w:val="clear" w:color="auto" w:fill="auto"/>
                <w:lang w:eastAsia="zh-CN"/>
              </w:rPr>
              <w:t>循环使用，不外排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727"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740"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65"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石油类</w:t>
            </w: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50</w:t>
            </w:r>
          </w:p>
        </w:tc>
        <w:tc>
          <w:tcPr>
            <w:tcW w:w="1080" w:type="dxa"/>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rPr>
              <w:t>0.</w:t>
            </w:r>
            <w:r>
              <w:rPr>
                <w:rFonts w:hint="eastAsia" w:cs="Times New Roman"/>
                <w:color w:val="auto"/>
                <w:sz w:val="21"/>
                <w:shd w:val="clear" w:color="auto" w:fill="auto"/>
                <w:lang w:val="en-US" w:eastAsia="zh-CN"/>
              </w:rPr>
              <w:t>11</w:t>
            </w:r>
          </w:p>
        </w:tc>
        <w:tc>
          <w:tcPr>
            <w:tcW w:w="2423"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97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石油类</w:t>
            </w:r>
          </w:p>
        </w:tc>
        <w:tc>
          <w:tcPr>
            <w:tcW w:w="85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0</w:t>
            </w:r>
          </w:p>
        </w:tc>
        <w:tc>
          <w:tcPr>
            <w:tcW w:w="907"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0</w:t>
            </w:r>
          </w:p>
        </w:tc>
        <w:tc>
          <w:tcPr>
            <w:tcW w:w="1522" w:type="dxa"/>
            <w:vMerge w:val="continue"/>
            <w:vAlign w:val="center"/>
          </w:tcPr>
          <w:p>
            <w:pPr>
              <w:pStyle w:val="46"/>
              <w:spacing w:line="240" w:lineRule="auto"/>
              <w:ind w:firstLine="0" w:firstLineChars="0"/>
              <w:jc w:val="center"/>
              <w:rPr>
                <w:rFonts w:cs="Times New Roman"/>
                <w:color w:val="auto"/>
                <w:sz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727"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4</w:t>
            </w:r>
          </w:p>
        </w:tc>
        <w:tc>
          <w:tcPr>
            <w:tcW w:w="174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码头面冲洗水</w:t>
            </w:r>
          </w:p>
        </w:tc>
        <w:tc>
          <w:tcPr>
            <w:tcW w:w="1065" w:type="dxa"/>
            <w:vAlign w:val="center"/>
          </w:tcPr>
          <w:p>
            <w:pPr>
              <w:pStyle w:val="46"/>
              <w:spacing w:line="240" w:lineRule="auto"/>
              <w:ind w:firstLine="0" w:firstLineChars="0"/>
              <w:jc w:val="center"/>
              <w:rPr>
                <w:rFonts w:hint="default" w:cs="Times New Roman"/>
                <w:color w:val="auto"/>
                <w:sz w:val="21"/>
                <w:shd w:val="clear" w:color="auto" w:fill="auto"/>
                <w:lang w:val="en-US"/>
              </w:rPr>
            </w:pPr>
            <w:r>
              <w:rPr>
                <w:rFonts w:hint="eastAsia"/>
                <w:color w:val="auto"/>
                <w:sz w:val="21"/>
                <w:shd w:val="clear" w:color="auto" w:fill="auto"/>
                <w:lang w:val="en-US" w:eastAsia="zh-CN"/>
              </w:rPr>
              <w:t>2346.67</w:t>
            </w:r>
          </w:p>
        </w:tc>
        <w:tc>
          <w:tcPr>
            <w:tcW w:w="1080" w:type="dxa"/>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hd w:val="clear" w:color="auto" w:fill="auto"/>
              </w:rPr>
              <w:t>SS</w:t>
            </w:r>
          </w:p>
        </w:tc>
        <w:tc>
          <w:tcPr>
            <w:tcW w:w="1080" w:type="dxa"/>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hd w:val="clear" w:color="auto" w:fill="auto"/>
              </w:rPr>
              <w:t>2000</w:t>
            </w:r>
          </w:p>
        </w:tc>
        <w:tc>
          <w:tcPr>
            <w:tcW w:w="1080" w:type="dxa"/>
            <w:vAlign w:val="center"/>
          </w:tcPr>
          <w:p>
            <w:pPr>
              <w:pStyle w:val="46"/>
              <w:spacing w:line="240" w:lineRule="auto"/>
              <w:ind w:firstLine="0" w:firstLineChars="0"/>
              <w:jc w:val="center"/>
              <w:rPr>
                <w:rFonts w:hint="default" w:cs="Times New Roman"/>
                <w:color w:val="auto"/>
                <w:sz w:val="21"/>
                <w:shd w:val="clear" w:color="auto" w:fill="auto"/>
                <w:lang w:val="en-US"/>
              </w:rPr>
            </w:pPr>
            <w:r>
              <w:rPr>
                <w:rFonts w:hint="eastAsia" w:cs="Times New Roman"/>
                <w:color w:val="auto"/>
                <w:sz w:val="21"/>
                <w:shd w:val="clear" w:color="auto" w:fill="auto"/>
                <w:lang w:val="en-US" w:eastAsia="zh-CN"/>
              </w:rPr>
              <w:t>4.69</w:t>
            </w:r>
          </w:p>
        </w:tc>
        <w:tc>
          <w:tcPr>
            <w:tcW w:w="2423"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经</w:t>
            </w:r>
            <w:r>
              <w:rPr>
                <w:rFonts w:hint="eastAsia" w:cs="Times New Roman"/>
                <w:color w:val="auto"/>
                <w:sz w:val="21"/>
                <w:shd w:val="clear" w:color="auto" w:fill="auto"/>
                <w:lang w:eastAsia="zh-CN"/>
              </w:rPr>
              <w:t>三级</w:t>
            </w:r>
            <w:r>
              <w:rPr>
                <w:rFonts w:hint="eastAsia" w:cs="Times New Roman"/>
                <w:color w:val="auto"/>
                <w:sz w:val="21"/>
                <w:shd w:val="clear" w:color="auto" w:fill="auto"/>
              </w:rPr>
              <w:t>沉淀池处理后</w:t>
            </w:r>
            <w:r>
              <w:rPr>
                <w:rFonts w:hint="eastAsia" w:cs="Times New Roman"/>
                <w:color w:val="auto"/>
                <w:sz w:val="21"/>
                <w:shd w:val="clear" w:color="auto" w:fill="auto"/>
                <w:lang w:val="en-US" w:eastAsia="zh-CN"/>
              </w:rPr>
              <w:t>回用</w:t>
            </w:r>
          </w:p>
        </w:tc>
        <w:tc>
          <w:tcPr>
            <w:tcW w:w="975" w:type="dxa"/>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hd w:val="clear" w:color="auto" w:fill="auto"/>
              </w:rPr>
              <w:t>SS</w:t>
            </w:r>
          </w:p>
        </w:tc>
        <w:tc>
          <w:tcPr>
            <w:tcW w:w="855" w:type="dxa"/>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hd w:val="clear" w:color="auto" w:fill="auto"/>
                <w:lang w:val="en-US" w:eastAsia="zh-CN"/>
              </w:rPr>
              <w:t>0</w:t>
            </w:r>
          </w:p>
        </w:tc>
        <w:tc>
          <w:tcPr>
            <w:tcW w:w="907" w:type="dxa"/>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hd w:val="clear" w:color="auto" w:fill="auto"/>
                <w:lang w:val="en-US" w:eastAsia="zh-CN"/>
              </w:rPr>
              <w:t>0</w:t>
            </w:r>
          </w:p>
        </w:tc>
        <w:tc>
          <w:tcPr>
            <w:tcW w:w="1522"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用于港区抑尘，不外排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vMerge w:val="restart"/>
            <w:vAlign w:val="center"/>
          </w:tcPr>
          <w:p>
            <w:pPr>
              <w:pStyle w:val="46"/>
              <w:spacing w:line="240" w:lineRule="auto"/>
              <w:ind w:firstLine="0" w:firstLineChars="0"/>
              <w:jc w:val="center"/>
              <w:rPr>
                <w:rFonts w:hint="eastAsia" w:eastAsia="宋体" w:cs="Times New Roman"/>
                <w:color w:val="auto"/>
                <w:sz w:val="21"/>
                <w:shd w:val="clear" w:color="auto" w:fill="auto"/>
                <w:lang w:eastAsia="zh-CN"/>
              </w:rPr>
            </w:pPr>
            <w:r>
              <w:rPr>
                <w:rFonts w:hint="eastAsia" w:cs="Times New Roman"/>
                <w:color w:val="auto"/>
                <w:sz w:val="21"/>
                <w:shd w:val="clear" w:color="auto" w:fill="auto"/>
                <w:lang w:val="en-US" w:eastAsia="zh-CN"/>
              </w:rPr>
              <w:t>5</w:t>
            </w:r>
          </w:p>
        </w:tc>
        <w:tc>
          <w:tcPr>
            <w:tcW w:w="1740" w:type="dxa"/>
            <w:vMerge w:val="restart"/>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港区生活污水</w:t>
            </w:r>
          </w:p>
        </w:tc>
        <w:tc>
          <w:tcPr>
            <w:tcW w:w="1065" w:type="dxa"/>
            <w:vMerge w:val="restart"/>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169</w:t>
            </w: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COD</w:t>
            </w: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300</w:t>
            </w:r>
          </w:p>
        </w:tc>
        <w:tc>
          <w:tcPr>
            <w:tcW w:w="1080" w:type="dxa"/>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0.05</w:t>
            </w:r>
          </w:p>
        </w:tc>
        <w:tc>
          <w:tcPr>
            <w:tcW w:w="2423" w:type="dxa"/>
            <w:vMerge w:val="restart"/>
            <w:vAlign w:val="center"/>
          </w:tcPr>
          <w:p>
            <w:pPr>
              <w:tabs>
                <w:tab w:val="left" w:pos="1680"/>
                <w:tab w:val="left" w:pos="2205"/>
                <w:tab w:val="left" w:pos="2646"/>
                <w:tab w:val="left" w:pos="4095"/>
              </w:tabs>
              <w:autoSpaceDE w:val="0"/>
              <w:autoSpaceDN w:val="0"/>
              <w:spacing w:line="240" w:lineRule="auto"/>
              <w:ind w:left="0" w:leftChars="0" w:firstLine="0" w:firstLineChars="0"/>
              <w:jc w:val="center"/>
              <w:rPr>
                <w:rFonts w:cs="Times New Roman"/>
                <w:color w:val="auto"/>
                <w:sz w:val="21"/>
                <w:shd w:val="clear" w:color="auto" w:fill="auto"/>
              </w:rPr>
            </w:pPr>
            <w:r>
              <w:rPr>
                <w:rFonts w:hint="eastAsia" w:ascii="Times New Roman" w:hAnsi="Times New Roman" w:eastAsia="宋体" w:cs="Times New Roman"/>
                <w:color w:val="auto"/>
                <w:kern w:val="0"/>
                <w:sz w:val="21"/>
                <w:szCs w:val="21"/>
                <w:shd w:val="clear" w:color="auto" w:fill="auto"/>
                <w:lang w:val="en-US" w:eastAsia="zh-CN" w:bidi="ar-SA"/>
              </w:rPr>
              <w:t>由移动厕所收集储存，定期由清掏车外运至相关接收处理单位</w:t>
            </w:r>
          </w:p>
        </w:tc>
        <w:tc>
          <w:tcPr>
            <w:tcW w:w="97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COD</w:t>
            </w:r>
          </w:p>
        </w:tc>
        <w:tc>
          <w:tcPr>
            <w:tcW w:w="85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0</w:t>
            </w:r>
          </w:p>
        </w:tc>
        <w:tc>
          <w:tcPr>
            <w:tcW w:w="907"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0</w:t>
            </w:r>
          </w:p>
        </w:tc>
        <w:tc>
          <w:tcPr>
            <w:tcW w:w="1522" w:type="dxa"/>
            <w:vMerge w:val="restart"/>
            <w:vAlign w:val="center"/>
          </w:tcPr>
          <w:p>
            <w:pPr>
              <w:tabs>
                <w:tab w:val="left" w:pos="1680"/>
                <w:tab w:val="left" w:pos="2205"/>
                <w:tab w:val="left" w:pos="2646"/>
                <w:tab w:val="left" w:pos="4095"/>
              </w:tabs>
              <w:autoSpaceDE w:val="0"/>
              <w:autoSpaceDN w:val="0"/>
              <w:spacing w:line="240" w:lineRule="auto"/>
              <w:ind w:left="0" w:leftChars="0" w:firstLine="0" w:firstLineChars="0"/>
              <w:jc w:val="center"/>
              <w:rPr>
                <w:rFonts w:cs="Times New Roman"/>
                <w:color w:val="auto"/>
                <w:sz w:val="21"/>
                <w:shd w:val="clear" w:color="auto" w:fill="auto"/>
              </w:rPr>
            </w:pPr>
            <w:r>
              <w:rPr>
                <w:rFonts w:hint="eastAsia" w:ascii="Times New Roman" w:hAnsi="Times New Roman" w:eastAsia="宋体" w:cs="Times New Roman"/>
                <w:color w:val="auto"/>
                <w:kern w:val="0"/>
                <w:sz w:val="21"/>
                <w:szCs w:val="21"/>
                <w:shd w:val="clear" w:color="auto" w:fill="auto"/>
                <w:lang w:val="en-US" w:eastAsia="zh-CN" w:bidi="ar-SA"/>
              </w:rPr>
              <w:t>定期由清掏车外运至相关接收处理单位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740"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65"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BOD</w:t>
            </w:r>
            <w:r>
              <w:rPr>
                <w:rFonts w:hint="eastAsia" w:cs="Times New Roman"/>
                <w:color w:val="auto"/>
                <w:sz w:val="21"/>
                <w:shd w:val="clear" w:color="auto" w:fill="auto"/>
                <w:vertAlign w:val="subscript"/>
              </w:rPr>
              <w:t>5</w:t>
            </w: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180</w:t>
            </w:r>
          </w:p>
        </w:tc>
        <w:tc>
          <w:tcPr>
            <w:tcW w:w="1080" w:type="dxa"/>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0.03</w:t>
            </w:r>
          </w:p>
        </w:tc>
        <w:tc>
          <w:tcPr>
            <w:tcW w:w="2423"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97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BOD</w:t>
            </w:r>
            <w:r>
              <w:rPr>
                <w:rFonts w:hint="eastAsia" w:cs="Times New Roman"/>
                <w:color w:val="auto"/>
                <w:sz w:val="21"/>
                <w:shd w:val="clear" w:color="auto" w:fill="auto"/>
                <w:vertAlign w:val="subscript"/>
              </w:rPr>
              <w:t>5</w:t>
            </w:r>
          </w:p>
        </w:tc>
        <w:tc>
          <w:tcPr>
            <w:tcW w:w="85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0</w:t>
            </w:r>
          </w:p>
        </w:tc>
        <w:tc>
          <w:tcPr>
            <w:tcW w:w="907"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0</w:t>
            </w:r>
          </w:p>
        </w:tc>
        <w:tc>
          <w:tcPr>
            <w:tcW w:w="1522" w:type="dxa"/>
            <w:vMerge w:val="continue"/>
            <w:vAlign w:val="center"/>
          </w:tcPr>
          <w:p>
            <w:pPr>
              <w:pStyle w:val="46"/>
              <w:spacing w:line="240" w:lineRule="auto"/>
              <w:ind w:firstLine="0" w:firstLineChars="0"/>
              <w:jc w:val="center"/>
              <w:rPr>
                <w:rFonts w:cs="Times New Roman"/>
                <w:color w:val="auto"/>
                <w:sz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740"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65"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氨氮</w:t>
            </w: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35</w:t>
            </w:r>
          </w:p>
        </w:tc>
        <w:tc>
          <w:tcPr>
            <w:tcW w:w="1080"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0.01</w:t>
            </w:r>
          </w:p>
        </w:tc>
        <w:tc>
          <w:tcPr>
            <w:tcW w:w="2423"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97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氨氮</w:t>
            </w:r>
          </w:p>
        </w:tc>
        <w:tc>
          <w:tcPr>
            <w:tcW w:w="85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0</w:t>
            </w:r>
          </w:p>
        </w:tc>
        <w:tc>
          <w:tcPr>
            <w:tcW w:w="907"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0</w:t>
            </w:r>
          </w:p>
        </w:tc>
        <w:tc>
          <w:tcPr>
            <w:tcW w:w="1522" w:type="dxa"/>
            <w:vMerge w:val="continue"/>
            <w:vAlign w:val="center"/>
          </w:tcPr>
          <w:p>
            <w:pPr>
              <w:pStyle w:val="46"/>
              <w:spacing w:line="240" w:lineRule="auto"/>
              <w:ind w:firstLine="0" w:firstLineChars="0"/>
              <w:jc w:val="center"/>
              <w:rPr>
                <w:rFonts w:cs="Times New Roman"/>
                <w:color w:val="auto"/>
                <w:sz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740"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65"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SS</w:t>
            </w:r>
          </w:p>
        </w:tc>
        <w:tc>
          <w:tcPr>
            <w:tcW w:w="10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 xml:space="preserve">200 </w:t>
            </w:r>
          </w:p>
        </w:tc>
        <w:tc>
          <w:tcPr>
            <w:tcW w:w="1080" w:type="dxa"/>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0.03</w:t>
            </w:r>
          </w:p>
        </w:tc>
        <w:tc>
          <w:tcPr>
            <w:tcW w:w="2423"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97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SS</w:t>
            </w:r>
          </w:p>
        </w:tc>
        <w:tc>
          <w:tcPr>
            <w:tcW w:w="855"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val="en-US" w:eastAsia="zh-CN"/>
              </w:rPr>
              <w:t>0</w:t>
            </w:r>
          </w:p>
        </w:tc>
        <w:tc>
          <w:tcPr>
            <w:tcW w:w="907"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0</w:t>
            </w:r>
          </w:p>
        </w:tc>
        <w:tc>
          <w:tcPr>
            <w:tcW w:w="1522" w:type="dxa"/>
            <w:vMerge w:val="continue"/>
            <w:vAlign w:val="center"/>
          </w:tcPr>
          <w:p>
            <w:pPr>
              <w:pStyle w:val="46"/>
              <w:spacing w:line="240" w:lineRule="auto"/>
              <w:ind w:firstLine="0" w:firstLineChars="0"/>
              <w:jc w:val="center"/>
              <w:rPr>
                <w:rFonts w:cs="Times New Roman"/>
                <w:color w:val="auto"/>
                <w:sz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727" w:type="dxa"/>
            <w:vMerge w:val="restart"/>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6</w:t>
            </w:r>
          </w:p>
        </w:tc>
        <w:tc>
          <w:tcPr>
            <w:tcW w:w="1740" w:type="dxa"/>
            <w:vMerge w:val="restart"/>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陆域生活污水</w:t>
            </w:r>
          </w:p>
        </w:tc>
        <w:tc>
          <w:tcPr>
            <w:tcW w:w="1065" w:type="dxa"/>
            <w:vMerge w:val="restart"/>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384</w:t>
            </w:r>
          </w:p>
        </w:tc>
        <w:tc>
          <w:tcPr>
            <w:tcW w:w="1080" w:type="dxa"/>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hd w:val="clear" w:color="auto" w:fill="auto"/>
              </w:rPr>
              <w:t>COD</w:t>
            </w:r>
          </w:p>
        </w:tc>
        <w:tc>
          <w:tcPr>
            <w:tcW w:w="1080" w:type="dxa"/>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hd w:val="clear" w:color="auto" w:fill="auto"/>
              </w:rPr>
              <w:t>300</w:t>
            </w:r>
          </w:p>
        </w:tc>
        <w:tc>
          <w:tcPr>
            <w:tcW w:w="1080" w:type="dxa"/>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0.12</w:t>
            </w:r>
          </w:p>
        </w:tc>
        <w:tc>
          <w:tcPr>
            <w:tcW w:w="2423" w:type="dxa"/>
            <w:vMerge w:val="restart"/>
            <w:vAlign w:val="center"/>
          </w:tcPr>
          <w:p>
            <w:pPr>
              <w:pStyle w:val="46"/>
              <w:spacing w:line="240" w:lineRule="auto"/>
              <w:ind w:firstLine="0" w:firstLineChars="0"/>
              <w:jc w:val="center"/>
              <w:rPr>
                <w:rFonts w:cs="Times New Roman"/>
                <w:color w:val="auto"/>
                <w:sz w:val="21"/>
                <w:shd w:val="clear" w:color="auto" w:fill="auto"/>
              </w:rPr>
            </w:pPr>
            <w:r>
              <w:rPr>
                <w:rFonts w:hint="eastAsia" w:ascii="Times New Roman" w:hAnsi="Times New Roman" w:eastAsia="宋体" w:cs="Times New Roman"/>
                <w:color w:val="auto"/>
                <w:kern w:val="0"/>
                <w:sz w:val="21"/>
                <w:szCs w:val="21"/>
                <w:shd w:val="clear" w:color="auto" w:fill="auto"/>
                <w:lang w:val="en-US" w:eastAsia="zh-CN" w:bidi="ar-SA"/>
              </w:rPr>
              <w:t>由移动厕所收集储存，定期由清掏车外运至相关接收处理单位</w:t>
            </w:r>
          </w:p>
        </w:tc>
        <w:tc>
          <w:tcPr>
            <w:tcW w:w="975" w:type="dxa"/>
            <w:vAlign w:val="center"/>
          </w:tcPr>
          <w:p>
            <w:pPr>
              <w:pStyle w:val="46"/>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val="en-US" w:eastAsia="zh-CN" w:bidi="ar-SA"/>
              </w:rPr>
            </w:pPr>
            <w:r>
              <w:rPr>
                <w:rFonts w:hint="eastAsia" w:cs="Times New Roman"/>
                <w:color w:val="auto"/>
                <w:sz w:val="21"/>
                <w:shd w:val="clear" w:color="auto" w:fill="auto"/>
              </w:rPr>
              <w:t>COD</w:t>
            </w:r>
          </w:p>
        </w:tc>
        <w:tc>
          <w:tcPr>
            <w:tcW w:w="855" w:type="dxa"/>
            <w:vAlign w:val="center"/>
          </w:tcPr>
          <w:p>
            <w:pPr>
              <w:pStyle w:val="46"/>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val="en-US" w:eastAsia="zh-CN" w:bidi="ar-SA"/>
              </w:rPr>
            </w:pPr>
            <w:r>
              <w:rPr>
                <w:rFonts w:hint="eastAsia" w:cs="Times New Roman"/>
                <w:color w:val="auto"/>
                <w:sz w:val="21"/>
                <w:shd w:val="clear" w:color="auto" w:fill="auto"/>
                <w:lang w:val="en-US" w:eastAsia="zh-CN"/>
              </w:rPr>
              <w:t>0</w:t>
            </w:r>
          </w:p>
        </w:tc>
        <w:tc>
          <w:tcPr>
            <w:tcW w:w="907" w:type="dxa"/>
            <w:vAlign w:val="center"/>
          </w:tcPr>
          <w:p>
            <w:pPr>
              <w:pStyle w:val="46"/>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val="en-US" w:eastAsia="zh-CN" w:bidi="ar-SA"/>
              </w:rPr>
            </w:pPr>
            <w:r>
              <w:rPr>
                <w:rFonts w:hint="eastAsia" w:cs="Times New Roman"/>
                <w:color w:val="auto"/>
                <w:sz w:val="21"/>
                <w:shd w:val="clear" w:color="auto" w:fill="auto"/>
                <w:lang w:val="en-US" w:eastAsia="zh-CN"/>
              </w:rPr>
              <w:t>0</w:t>
            </w:r>
          </w:p>
        </w:tc>
        <w:tc>
          <w:tcPr>
            <w:tcW w:w="1522" w:type="dxa"/>
            <w:vMerge w:val="restart"/>
            <w:vAlign w:val="center"/>
          </w:tcPr>
          <w:p>
            <w:pPr>
              <w:tabs>
                <w:tab w:val="left" w:pos="1680"/>
                <w:tab w:val="left" w:pos="2205"/>
                <w:tab w:val="left" w:pos="2646"/>
                <w:tab w:val="left" w:pos="4095"/>
              </w:tabs>
              <w:autoSpaceDE w:val="0"/>
              <w:autoSpaceDN w:val="0"/>
              <w:spacing w:line="240" w:lineRule="auto"/>
              <w:ind w:left="0" w:leftChars="0" w:firstLine="0" w:firstLineChars="0"/>
              <w:jc w:val="center"/>
              <w:rPr>
                <w:rFonts w:cs="Times New Roman"/>
                <w:color w:val="auto"/>
                <w:sz w:val="21"/>
                <w:shd w:val="clear" w:color="auto" w:fill="auto"/>
              </w:rPr>
            </w:pPr>
            <w:r>
              <w:rPr>
                <w:rFonts w:hint="eastAsia" w:ascii="Times New Roman" w:hAnsi="Times New Roman" w:eastAsia="宋体" w:cs="Times New Roman"/>
                <w:color w:val="auto"/>
                <w:kern w:val="0"/>
                <w:sz w:val="21"/>
                <w:szCs w:val="21"/>
                <w:shd w:val="clear" w:color="auto" w:fill="auto"/>
                <w:lang w:val="en-US" w:eastAsia="zh-CN" w:bidi="ar-SA"/>
              </w:rPr>
              <w:t>定期由清掏车外运至相关接收处理单位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727"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740"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65"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80" w:type="dxa"/>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hd w:val="clear" w:color="auto" w:fill="auto"/>
              </w:rPr>
              <w:t>BOD</w:t>
            </w:r>
            <w:r>
              <w:rPr>
                <w:rFonts w:hint="eastAsia" w:cs="Times New Roman"/>
                <w:color w:val="auto"/>
                <w:sz w:val="21"/>
                <w:shd w:val="clear" w:color="auto" w:fill="auto"/>
                <w:vertAlign w:val="subscript"/>
              </w:rPr>
              <w:t>5</w:t>
            </w:r>
          </w:p>
        </w:tc>
        <w:tc>
          <w:tcPr>
            <w:tcW w:w="1080" w:type="dxa"/>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hd w:val="clear" w:color="auto" w:fill="auto"/>
              </w:rPr>
              <w:t>180</w:t>
            </w:r>
          </w:p>
        </w:tc>
        <w:tc>
          <w:tcPr>
            <w:tcW w:w="1080" w:type="dxa"/>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0.07</w:t>
            </w:r>
          </w:p>
        </w:tc>
        <w:tc>
          <w:tcPr>
            <w:tcW w:w="2423" w:type="dxa"/>
            <w:vMerge w:val="continue"/>
            <w:tcBorders/>
            <w:vAlign w:val="center"/>
          </w:tcPr>
          <w:p>
            <w:pPr>
              <w:pStyle w:val="46"/>
              <w:spacing w:line="240" w:lineRule="auto"/>
              <w:ind w:firstLine="0" w:firstLineChars="0"/>
              <w:jc w:val="center"/>
              <w:rPr>
                <w:rFonts w:cs="Times New Roman"/>
                <w:color w:val="auto"/>
                <w:sz w:val="21"/>
                <w:shd w:val="clear" w:color="auto" w:fill="auto"/>
              </w:rPr>
            </w:pPr>
          </w:p>
        </w:tc>
        <w:tc>
          <w:tcPr>
            <w:tcW w:w="975" w:type="dxa"/>
            <w:vAlign w:val="center"/>
          </w:tcPr>
          <w:p>
            <w:pPr>
              <w:pStyle w:val="46"/>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val="en-US" w:eastAsia="zh-CN" w:bidi="ar-SA"/>
              </w:rPr>
            </w:pPr>
            <w:r>
              <w:rPr>
                <w:rFonts w:hint="eastAsia" w:cs="Times New Roman"/>
                <w:color w:val="auto"/>
                <w:sz w:val="21"/>
                <w:shd w:val="clear" w:color="auto" w:fill="auto"/>
              </w:rPr>
              <w:t>BOD</w:t>
            </w:r>
            <w:r>
              <w:rPr>
                <w:rFonts w:hint="eastAsia" w:cs="Times New Roman"/>
                <w:color w:val="auto"/>
                <w:sz w:val="21"/>
                <w:shd w:val="clear" w:color="auto" w:fill="auto"/>
                <w:vertAlign w:val="subscript"/>
              </w:rPr>
              <w:t>5</w:t>
            </w:r>
          </w:p>
        </w:tc>
        <w:tc>
          <w:tcPr>
            <w:tcW w:w="855" w:type="dxa"/>
            <w:vAlign w:val="center"/>
          </w:tcPr>
          <w:p>
            <w:pPr>
              <w:pStyle w:val="46"/>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val="en-US" w:eastAsia="zh-CN" w:bidi="ar-SA"/>
              </w:rPr>
            </w:pPr>
            <w:r>
              <w:rPr>
                <w:rFonts w:hint="eastAsia" w:cs="Times New Roman"/>
                <w:color w:val="auto"/>
                <w:sz w:val="21"/>
                <w:shd w:val="clear" w:color="auto" w:fill="auto"/>
                <w:lang w:val="en-US" w:eastAsia="zh-CN"/>
              </w:rPr>
              <w:t>0</w:t>
            </w:r>
          </w:p>
        </w:tc>
        <w:tc>
          <w:tcPr>
            <w:tcW w:w="907" w:type="dxa"/>
            <w:vAlign w:val="center"/>
          </w:tcPr>
          <w:p>
            <w:pPr>
              <w:pStyle w:val="46"/>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val="en-US" w:eastAsia="zh-CN" w:bidi="ar-SA"/>
              </w:rPr>
            </w:pPr>
            <w:r>
              <w:rPr>
                <w:rFonts w:hint="eastAsia" w:cs="Times New Roman"/>
                <w:color w:val="auto"/>
                <w:sz w:val="21"/>
                <w:shd w:val="clear" w:color="auto" w:fill="auto"/>
                <w:lang w:val="en-US" w:eastAsia="zh-CN"/>
              </w:rPr>
              <w:t>0</w:t>
            </w:r>
          </w:p>
        </w:tc>
        <w:tc>
          <w:tcPr>
            <w:tcW w:w="1522" w:type="dxa"/>
            <w:vMerge w:val="continue"/>
            <w:vAlign w:val="center"/>
          </w:tcPr>
          <w:p>
            <w:pPr>
              <w:pStyle w:val="46"/>
              <w:spacing w:line="240" w:lineRule="auto"/>
              <w:ind w:firstLine="0" w:firstLineChars="0"/>
              <w:jc w:val="center"/>
              <w:rPr>
                <w:rFonts w:cs="Times New Roman"/>
                <w:color w:val="auto"/>
                <w:sz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727"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740"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65"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80" w:type="dxa"/>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hd w:val="clear" w:color="auto" w:fill="auto"/>
              </w:rPr>
              <w:t>氨氮</w:t>
            </w:r>
          </w:p>
        </w:tc>
        <w:tc>
          <w:tcPr>
            <w:tcW w:w="1080" w:type="dxa"/>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hd w:val="clear" w:color="auto" w:fill="auto"/>
              </w:rPr>
              <w:t>35</w:t>
            </w:r>
          </w:p>
        </w:tc>
        <w:tc>
          <w:tcPr>
            <w:tcW w:w="1080" w:type="dxa"/>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0.01</w:t>
            </w:r>
          </w:p>
        </w:tc>
        <w:tc>
          <w:tcPr>
            <w:tcW w:w="2423" w:type="dxa"/>
            <w:vMerge w:val="continue"/>
            <w:tcBorders/>
            <w:vAlign w:val="center"/>
          </w:tcPr>
          <w:p>
            <w:pPr>
              <w:pStyle w:val="46"/>
              <w:spacing w:line="240" w:lineRule="auto"/>
              <w:ind w:firstLine="0" w:firstLineChars="0"/>
              <w:jc w:val="center"/>
              <w:rPr>
                <w:rFonts w:cs="Times New Roman"/>
                <w:color w:val="auto"/>
                <w:sz w:val="21"/>
                <w:shd w:val="clear" w:color="auto" w:fill="auto"/>
              </w:rPr>
            </w:pPr>
          </w:p>
        </w:tc>
        <w:tc>
          <w:tcPr>
            <w:tcW w:w="975" w:type="dxa"/>
            <w:vAlign w:val="center"/>
          </w:tcPr>
          <w:p>
            <w:pPr>
              <w:pStyle w:val="46"/>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val="en-US" w:eastAsia="zh-CN" w:bidi="ar-SA"/>
              </w:rPr>
            </w:pPr>
            <w:r>
              <w:rPr>
                <w:rFonts w:hint="eastAsia" w:cs="Times New Roman"/>
                <w:color w:val="auto"/>
                <w:sz w:val="21"/>
                <w:shd w:val="clear" w:color="auto" w:fill="auto"/>
              </w:rPr>
              <w:t>氨氮</w:t>
            </w:r>
          </w:p>
        </w:tc>
        <w:tc>
          <w:tcPr>
            <w:tcW w:w="855" w:type="dxa"/>
            <w:vAlign w:val="center"/>
          </w:tcPr>
          <w:p>
            <w:pPr>
              <w:pStyle w:val="46"/>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val="en-US" w:eastAsia="zh-CN" w:bidi="ar-SA"/>
              </w:rPr>
            </w:pPr>
            <w:r>
              <w:rPr>
                <w:rFonts w:hint="eastAsia" w:cs="Times New Roman"/>
                <w:color w:val="auto"/>
                <w:sz w:val="21"/>
                <w:shd w:val="clear" w:color="auto" w:fill="auto"/>
                <w:lang w:val="en-US" w:eastAsia="zh-CN"/>
              </w:rPr>
              <w:t>0</w:t>
            </w:r>
          </w:p>
        </w:tc>
        <w:tc>
          <w:tcPr>
            <w:tcW w:w="907" w:type="dxa"/>
            <w:vAlign w:val="center"/>
          </w:tcPr>
          <w:p>
            <w:pPr>
              <w:pStyle w:val="46"/>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val="en-US" w:eastAsia="zh-CN" w:bidi="ar-SA"/>
              </w:rPr>
            </w:pPr>
            <w:r>
              <w:rPr>
                <w:rFonts w:hint="eastAsia" w:cs="Times New Roman"/>
                <w:color w:val="auto"/>
                <w:sz w:val="21"/>
                <w:shd w:val="clear" w:color="auto" w:fill="auto"/>
                <w:lang w:val="en-US" w:eastAsia="zh-CN"/>
              </w:rPr>
              <w:t>0</w:t>
            </w:r>
          </w:p>
        </w:tc>
        <w:tc>
          <w:tcPr>
            <w:tcW w:w="1522" w:type="dxa"/>
            <w:vMerge w:val="continue"/>
            <w:vAlign w:val="center"/>
          </w:tcPr>
          <w:p>
            <w:pPr>
              <w:pStyle w:val="46"/>
              <w:spacing w:line="240" w:lineRule="auto"/>
              <w:ind w:firstLine="0" w:firstLineChars="0"/>
              <w:jc w:val="center"/>
              <w:rPr>
                <w:rFonts w:cs="Times New Roman"/>
                <w:color w:val="auto"/>
                <w:sz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727"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740"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65"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080" w:type="dxa"/>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hd w:val="clear" w:color="auto" w:fill="auto"/>
              </w:rPr>
              <w:t>SS</w:t>
            </w:r>
          </w:p>
        </w:tc>
        <w:tc>
          <w:tcPr>
            <w:tcW w:w="1080" w:type="dxa"/>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hd w:val="clear" w:color="auto" w:fill="auto"/>
              </w:rPr>
              <w:t xml:space="preserve">200 </w:t>
            </w:r>
          </w:p>
        </w:tc>
        <w:tc>
          <w:tcPr>
            <w:tcW w:w="1080" w:type="dxa"/>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0.08</w:t>
            </w:r>
          </w:p>
        </w:tc>
        <w:tc>
          <w:tcPr>
            <w:tcW w:w="2423" w:type="dxa"/>
            <w:vMerge w:val="continue"/>
            <w:tcBorders/>
            <w:vAlign w:val="center"/>
          </w:tcPr>
          <w:p>
            <w:pPr>
              <w:pStyle w:val="46"/>
              <w:spacing w:line="240" w:lineRule="auto"/>
              <w:ind w:firstLine="0" w:firstLineChars="0"/>
              <w:jc w:val="center"/>
              <w:rPr>
                <w:rFonts w:cs="Times New Roman"/>
                <w:color w:val="auto"/>
                <w:sz w:val="21"/>
                <w:shd w:val="clear" w:color="auto" w:fill="auto"/>
              </w:rPr>
            </w:pPr>
          </w:p>
        </w:tc>
        <w:tc>
          <w:tcPr>
            <w:tcW w:w="975" w:type="dxa"/>
            <w:vAlign w:val="center"/>
          </w:tcPr>
          <w:p>
            <w:pPr>
              <w:pStyle w:val="46"/>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val="en-US" w:eastAsia="zh-CN" w:bidi="ar-SA"/>
              </w:rPr>
            </w:pPr>
            <w:r>
              <w:rPr>
                <w:rFonts w:hint="eastAsia" w:cs="Times New Roman"/>
                <w:color w:val="auto"/>
                <w:sz w:val="21"/>
                <w:shd w:val="clear" w:color="auto" w:fill="auto"/>
              </w:rPr>
              <w:t>SS</w:t>
            </w:r>
          </w:p>
        </w:tc>
        <w:tc>
          <w:tcPr>
            <w:tcW w:w="855" w:type="dxa"/>
            <w:vAlign w:val="center"/>
          </w:tcPr>
          <w:p>
            <w:pPr>
              <w:pStyle w:val="46"/>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val="en-US" w:eastAsia="zh-CN" w:bidi="ar-SA"/>
              </w:rPr>
            </w:pPr>
            <w:r>
              <w:rPr>
                <w:rFonts w:hint="eastAsia" w:cs="Times New Roman"/>
                <w:color w:val="auto"/>
                <w:sz w:val="21"/>
                <w:shd w:val="clear" w:color="auto" w:fill="auto"/>
                <w:lang w:val="en-US" w:eastAsia="zh-CN"/>
              </w:rPr>
              <w:t>0</w:t>
            </w:r>
          </w:p>
        </w:tc>
        <w:tc>
          <w:tcPr>
            <w:tcW w:w="907" w:type="dxa"/>
            <w:vAlign w:val="center"/>
          </w:tcPr>
          <w:p>
            <w:pPr>
              <w:pStyle w:val="46"/>
              <w:spacing w:line="240" w:lineRule="auto"/>
              <w:ind w:firstLine="0" w:firstLineChars="0"/>
              <w:jc w:val="center"/>
              <w:rPr>
                <w:rFonts w:hint="eastAsia" w:ascii="Times New Roman" w:hAnsi="Times New Roman" w:eastAsia="宋体" w:cs="Times New Roman"/>
                <w:color w:val="auto"/>
                <w:kern w:val="0"/>
                <w:sz w:val="21"/>
                <w:szCs w:val="21"/>
                <w:shd w:val="clear" w:color="auto" w:fill="auto"/>
                <w:lang w:val="en-US" w:eastAsia="zh-CN" w:bidi="ar-SA"/>
              </w:rPr>
            </w:pPr>
            <w:r>
              <w:rPr>
                <w:rFonts w:hint="eastAsia" w:cs="Times New Roman"/>
                <w:color w:val="auto"/>
                <w:sz w:val="21"/>
                <w:shd w:val="clear" w:color="auto" w:fill="auto"/>
                <w:lang w:val="en-US" w:eastAsia="zh-CN"/>
              </w:rPr>
              <w:t>0</w:t>
            </w:r>
          </w:p>
        </w:tc>
        <w:tc>
          <w:tcPr>
            <w:tcW w:w="1522" w:type="dxa"/>
            <w:vMerge w:val="continue"/>
            <w:vAlign w:val="center"/>
          </w:tcPr>
          <w:p>
            <w:pPr>
              <w:pStyle w:val="46"/>
              <w:spacing w:line="240" w:lineRule="auto"/>
              <w:ind w:firstLine="0" w:firstLineChars="0"/>
              <w:jc w:val="center"/>
              <w:rPr>
                <w:rFonts w:cs="Times New Roman"/>
                <w:color w:val="auto"/>
                <w:sz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7</w:t>
            </w:r>
          </w:p>
        </w:tc>
        <w:tc>
          <w:tcPr>
            <w:tcW w:w="1740" w:type="dxa"/>
            <w:vAlign w:val="center"/>
          </w:tcPr>
          <w:p>
            <w:pPr>
              <w:pStyle w:val="46"/>
              <w:spacing w:line="240" w:lineRule="auto"/>
              <w:ind w:firstLine="0" w:firstLineChars="0"/>
              <w:jc w:val="center"/>
              <w:rPr>
                <w:rFonts w:hint="eastAsia" w:ascii="Times New Roman" w:hAnsi="Times New Roman" w:eastAsia="宋体" w:cs="Times New Roman"/>
                <w:color w:val="auto"/>
                <w:sz w:val="21"/>
                <w:shd w:val="clear" w:color="auto" w:fill="auto"/>
                <w:lang w:val="en-US" w:eastAsia="zh-CN"/>
              </w:rPr>
            </w:pPr>
            <w:r>
              <w:rPr>
                <w:rFonts w:hint="eastAsia" w:ascii="Times New Roman" w:hAnsi="Times New Roman" w:eastAsia="宋体" w:cs="Times New Roman"/>
                <w:color w:val="auto"/>
                <w:sz w:val="21"/>
                <w:shd w:val="clear" w:color="auto" w:fill="auto"/>
                <w:lang w:val="en-US" w:eastAsia="zh-CN"/>
              </w:rPr>
              <w:t>初期雨水</w:t>
            </w:r>
          </w:p>
        </w:tc>
        <w:tc>
          <w:tcPr>
            <w:tcW w:w="1065" w:type="dxa"/>
            <w:vAlign w:val="center"/>
          </w:tcPr>
          <w:p>
            <w:pPr>
              <w:pStyle w:val="46"/>
              <w:spacing w:line="240" w:lineRule="auto"/>
              <w:ind w:firstLine="0" w:firstLineChars="0"/>
              <w:jc w:val="center"/>
              <w:rPr>
                <w:rFonts w:hint="default" w:ascii="Times New Roman" w:hAnsi="Times New Roman"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3246</w:t>
            </w:r>
          </w:p>
        </w:tc>
        <w:tc>
          <w:tcPr>
            <w:tcW w:w="1080" w:type="dxa"/>
            <w:vAlign w:val="center"/>
          </w:tcPr>
          <w:p>
            <w:pPr>
              <w:pStyle w:val="46"/>
              <w:spacing w:line="240" w:lineRule="auto"/>
              <w:ind w:firstLine="0" w:firstLineChars="0"/>
              <w:jc w:val="center"/>
              <w:rPr>
                <w:rFonts w:hint="default" w:ascii="Times New Roman" w:hAnsi="Times New Roman" w:eastAsia="宋体" w:cs="Times New Roman"/>
                <w:color w:val="auto"/>
                <w:sz w:val="21"/>
                <w:shd w:val="clear" w:color="auto" w:fill="auto"/>
                <w:lang w:val="en-US" w:eastAsia="zh-CN"/>
              </w:rPr>
            </w:pPr>
            <w:r>
              <w:rPr>
                <w:rFonts w:hint="eastAsia" w:ascii="Times New Roman" w:hAnsi="Times New Roman" w:eastAsia="宋体" w:cs="Times New Roman"/>
                <w:color w:val="auto"/>
                <w:sz w:val="21"/>
                <w:shd w:val="clear" w:color="auto" w:fill="auto"/>
                <w:lang w:val="en-US" w:eastAsia="zh-CN"/>
              </w:rPr>
              <w:t>SS</w:t>
            </w:r>
          </w:p>
        </w:tc>
        <w:tc>
          <w:tcPr>
            <w:tcW w:w="1080" w:type="dxa"/>
            <w:vAlign w:val="center"/>
          </w:tcPr>
          <w:p>
            <w:pPr>
              <w:pStyle w:val="46"/>
              <w:spacing w:line="240" w:lineRule="auto"/>
              <w:ind w:firstLine="0" w:firstLineChars="0"/>
              <w:jc w:val="center"/>
              <w:rPr>
                <w:rFonts w:hint="default" w:ascii="Times New Roman" w:hAnsi="Times New Roman" w:eastAsia="宋体" w:cs="Times New Roman"/>
                <w:color w:val="auto"/>
                <w:sz w:val="21"/>
                <w:shd w:val="clear" w:color="auto" w:fill="auto"/>
                <w:lang w:val="en-US" w:eastAsia="zh-CN"/>
              </w:rPr>
            </w:pPr>
            <w:r>
              <w:rPr>
                <w:rFonts w:hint="eastAsia" w:ascii="Times New Roman" w:hAnsi="Times New Roman" w:eastAsia="宋体" w:cs="Times New Roman"/>
                <w:color w:val="auto"/>
                <w:sz w:val="21"/>
                <w:shd w:val="clear" w:color="auto" w:fill="auto"/>
                <w:lang w:val="en-US" w:eastAsia="zh-CN"/>
              </w:rPr>
              <w:t>1000</w:t>
            </w:r>
          </w:p>
        </w:tc>
        <w:tc>
          <w:tcPr>
            <w:tcW w:w="1080" w:type="dxa"/>
            <w:vAlign w:val="center"/>
          </w:tcPr>
          <w:p>
            <w:pPr>
              <w:pStyle w:val="46"/>
              <w:spacing w:line="240" w:lineRule="auto"/>
              <w:ind w:firstLine="0" w:firstLineChars="0"/>
              <w:jc w:val="center"/>
              <w:rPr>
                <w:rFonts w:hint="default" w:ascii="Times New Roman" w:hAnsi="Times New Roman"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3.25</w:t>
            </w:r>
          </w:p>
        </w:tc>
        <w:tc>
          <w:tcPr>
            <w:tcW w:w="2423" w:type="dxa"/>
            <w:vAlign w:val="center"/>
          </w:tcPr>
          <w:p>
            <w:pPr>
              <w:pStyle w:val="46"/>
              <w:spacing w:line="240" w:lineRule="auto"/>
              <w:ind w:firstLine="0" w:firstLineChars="0"/>
              <w:jc w:val="center"/>
              <w:rPr>
                <w:rFonts w:hint="eastAsia" w:ascii="Times New Roman" w:hAnsi="Times New Roman"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与码头面冲洗废水一同</w:t>
            </w:r>
            <w:r>
              <w:rPr>
                <w:rFonts w:hint="eastAsia" w:ascii="Times New Roman" w:hAnsi="Times New Roman" w:eastAsia="宋体" w:cs="Times New Roman"/>
                <w:color w:val="auto"/>
                <w:sz w:val="21"/>
                <w:shd w:val="clear" w:color="auto" w:fill="auto"/>
                <w:lang w:val="en-US" w:eastAsia="zh-CN"/>
              </w:rPr>
              <w:t>经</w:t>
            </w:r>
            <w:r>
              <w:rPr>
                <w:rFonts w:hint="eastAsia" w:cs="Times New Roman"/>
                <w:color w:val="auto"/>
                <w:sz w:val="21"/>
                <w:shd w:val="clear" w:color="auto" w:fill="auto"/>
                <w:lang w:val="en-US" w:eastAsia="zh-CN"/>
              </w:rPr>
              <w:t>三级</w:t>
            </w:r>
            <w:r>
              <w:rPr>
                <w:rFonts w:hint="eastAsia" w:ascii="Times New Roman" w:hAnsi="Times New Roman" w:eastAsia="宋体" w:cs="Times New Roman"/>
                <w:color w:val="auto"/>
                <w:sz w:val="21"/>
                <w:shd w:val="clear" w:color="auto" w:fill="auto"/>
                <w:lang w:val="en-US" w:eastAsia="zh-CN"/>
              </w:rPr>
              <w:t>沉淀池处理后回用</w:t>
            </w:r>
          </w:p>
        </w:tc>
        <w:tc>
          <w:tcPr>
            <w:tcW w:w="975" w:type="dxa"/>
            <w:vAlign w:val="center"/>
          </w:tcPr>
          <w:p>
            <w:pPr>
              <w:pStyle w:val="46"/>
              <w:spacing w:line="240" w:lineRule="auto"/>
              <w:ind w:firstLine="0" w:firstLineChars="0"/>
              <w:jc w:val="center"/>
              <w:rPr>
                <w:rFonts w:hint="eastAsia" w:ascii="Times New Roman" w:hAnsi="Times New Roman" w:eastAsia="宋体" w:cs="Times New Roman"/>
                <w:color w:val="auto"/>
                <w:sz w:val="21"/>
                <w:shd w:val="clear" w:color="auto" w:fill="auto"/>
                <w:lang w:val="en-US" w:eastAsia="zh-CN"/>
              </w:rPr>
            </w:pPr>
            <w:r>
              <w:rPr>
                <w:rFonts w:hint="eastAsia" w:ascii="Times New Roman" w:hAnsi="Times New Roman" w:eastAsia="宋体" w:cs="Times New Roman"/>
                <w:color w:val="auto"/>
                <w:sz w:val="21"/>
                <w:shd w:val="clear" w:color="auto" w:fill="auto"/>
                <w:lang w:val="en-US" w:eastAsia="zh-CN"/>
              </w:rPr>
              <w:t>SS</w:t>
            </w:r>
          </w:p>
        </w:tc>
        <w:tc>
          <w:tcPr>
            <w:tcW w:w="855" w:type="dxa"/>
            <w:vAlign w:val="center"/>
          </w:tcPr>
          <w:p>
            <w:pPr>
              <w:pStyle w:val="46"/>
              <w:spacing w:line="240" w:lineRule="auto"/>
              <w:ind w:firstLine="0" w:firstLineChars="0"/>
              <w:jc w:val="center"/>
              <w:rPr>
                <w:rFonts w:hint="eastAsia" w:ascii="Times New Roman" w:hAnsi="Times New Roman"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0</w:t>
            </w:r>
          </w:p>
        </w:tc>
        <w:tc>
          <w:tcPr>
            <w:tcW w:w="907" w:type="dxa"/>
            <w:vAlign w:val="center"/>
          </w:tcPr>
          <w:p>
            <w:pPr>
              <w:pStyle w:val="46"/>
              <w:spacing w:line="240" w:lineRule="auto"/>
              <w:ind w:firstLine="0" w:firstLineChars="0"/>
              <w:jc w:val="center"/>
              <w:rPr>
                <w:rFonts w:hint="eastAsia" w:ascii="Times New Roman" w:hAnsi="Times New Roman"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0</w:t>
            </w:r>
          </w:p>
        </w:tc>
        <w:tc>
          <w:tcPr>
            <w:tcW w:w="1522" w:type="dxa"/>
            <w:vAlign w:val="center"/>
          </w:tcPr>
          <w:p>
            <w:pPr>
              <w:pStyle w:val="46"/>
              <w:spacing w:line="240" w:lineRule="auto"/>
              <w:ind w:firstLine="0" w:firstLineChars="0"/>
              <w:jc w:val="center"/>
              <w:rPr>
                <w:rFonts w:hint="eastAsia" w:ascii="Times New Roman" w:hAnsi="Times New Roman" w:eastAsia="宋体" w:cs="Times New Roman"/>
                <w:color w:val="auto"/>
                <w:sz w:val="21"/>
                <w:shd w:val="clear" w:color="auto" w:fill="auto"/>
                <w:lang w:val="en-US" w:eastAsia="zh-CN"/>
              </w:rPr>
            </w:pPr>
            <w:r>
              <w:rPr>
                <w:rFonts w:hint="eastAsia" w:ascii="Times New Roman" w:hAnsi="Times New Roman" w:eastAsia="宋体" w:cs="Times New Roman"/>
                <w:color w:val="auto"/>
                <w:sz w:val="21"/>
                <w:shd w:val="clear" w:color="auto" w:fill="auto"/>
                <w:lang w:val="en-US" w:eastAsia="zh-CN"/>
              </w:rPr>
              <w:t>用于港区抑尘，不外排</w:t>
            </w:r>
          </w:p>
        </w:tc>
      </w:tr>
    </w:tbl>
    <w:p>
      <w:pPr>
        <w:spacing w:after="60"/>
        <w:ind w:left="0" w:leftChars="0" w:firstLine="0" w:firstLineChars="0"/>
        <w:rPr>
          <w:color w:val="auto"/>
          <w:shd w:val="clear" w:color="auto" w:fill="auto"/>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widowControl/>
        <w:suppressLineNumbers w:val="0"/>
        <w:ind w:left="0" w:leftChars="0" w:firstLine="0" w:firstLineChars="0"/>
        <w:jc w:val="left"/>
        <w:rPr>
          <w:color w:val="auto"/>
          <w:shd w:val="clear" w:color="auto" w:fill="auto"/>
        </w:rPr>
      </w:pPr>
      <w:r>
        <w:rPr>
          <w:color w:val="auto"/>
          <w:shd w:val="clear" w:color="auto" w:fill="auto"/>
        </w:rPr>
        <w:object>
          <v:shape id="_x0000_i1025" o:spt="75" alt="" type="#_x0000_t75" style="height:426.75pt;width:450pt;" o:ole="t" filled="f" o:preferrelative="t" stroked="f" coordsize="21600,21600">
            <v:path/>
            <v:fill on="f" focussize="0,0"/>
            <v:stroke on="f"/>
            <v:imagedata r:id="rId27" o:title=""/>
            <o:lock v:ext="edit" aspectratio="f"/>
            <w10:wrap type="none"/>
            <w10:anchorlock/>
          </v:shape>
          <o:OLEObject Type="Embed" ProgID="Visio.Drawing.11" ShapeID="_x0000_i1025" DrawAspect="Content" ObjectID="_1468075726" r:id="rId26">
            <o:LockedField>false</o:LockedField>
          </o:OLEObject>
        </w:object>
      </w:r>
    </w:p>
    <w:p>
      <w:pPr>
        <w:pStyle w:val="2"/>
        <w:ind w:left="0" w:leftChars="0" w:firstLine="0" w:firstLineChars="0"/>
        <w:jc w:val="center"/>
        <w:rPr>
          <w:rFonts w:hint="eastAsia" w:ascii="Times New Roman" w:hAnsi="Times New Roman" w:eastAsia="黑体" w:cs="Times New Roman"/>
          <w:color w:val="auto"/>
          <w:kern w:val="2"/>
          <w:sz w:val="24"/>
          <w:szCs w:val="24"/>
          <w:highlight w:val="none"/>
          <w:shd w:val="clear" w:color="auto" w:fill="auto"/>
          <w:lang w:val="en-US" w:eastAsia="zh-CN" w:bidi="ar-SA"/>
        </w:rPr>
        <w:sectPr>
          <w:pgSz w:w="11906" w:h="16838"/>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eastAsia="黑体" w:cs="Times New Roman"/>
          <w:color w:val="auto"/>
          <w:kern w:val="2"/>
          <w:sz w:val="24"/>
          <w:szCs w:val="24"/>
          <w:highlight w:val="none"/>
          <w:shd w:val="clear" w:color="auto" w:fill="auto"/>
          <w:lang w:val="en-US" w:eastAsia="zh-CN" w:bidi="ar-SA"/>
        </w:rPr>
        <w:t xml:space="preserve">图2.2-3 </w:t>
      </w:r>
      <w:r>
        <w:rPr>
          <w:rFonts w:hint="eastAsia" w:eastAsia="黑体" w:cs="Times New Roman"/>
          <w:color w:val="auto"/>
          <w:kern w:val="2"/>
          <w:sz w:val="24"/>
          <w:szCs w:val="24"/>
          <w:highlight w:val="none"/>
          <w:shd w:val="clear" w:color="auto" w:fill="auto"/>
          <w:lang w:val="en-US" w:eastAsia="zh-CN" w:bidi="ar-SA"/>
        </w:rPr>
        <w:t xml:space="preserve"> </w:t>
      </w:r>
      <w:r>
        <w:rPr>
          <w:rFonts w:hint="eastAsia" w:ascii="Times New Roman" w:hAnsi="Times New Roman" w:eastAsia="黑体" w:cs="Times New Roman"/>
          <w:color w:val="auto"/>
          <w:kern w:val="2"/>
          <w:sz w:val="24"/>
          <w:szCs w:val="24"/>
          <w:highlight w:val="none"/>
          <w:shd w:val="clear" w:color="auto" w:fill="auto"/>
          <w:lang w:val="en-US" w:eastAsia="zh-CN" w:bidi="ar-SA"/>
        </w:rPr>
        <w:t>项目水平衡图（</w:t>
      </w:r>
      <w:r>
        <w:rPr>
          <w:rFonts w:hint="eastAsia" w:eastAsia="黑体" w:cs="Times New Roman"/>
          <w:color w:val="auto"/>
          <w:kern w:val="2"/>
          <w:sz w:val="24"/>
          <w:szCs w:val="24"/>
          <w:highlight w:val="none"/>
          <w:shd w:val="clear" w:color="auto" w:fill="auto"/>
          <w:vertAlign w:val="baseline"/>
          <w:lang w:val="en-US" w:eastAsia="zh-CN" w:bidi="ar-SA"/>
        </w:rPr>
        <w:t>m</w:t>
      </w:r>
      <w:r>
        <w:rPr>
          <w:rFonts w:hint="eastAsia" w:eastAsia="黑体" w:cs="Times New Roman"/>
          <w:color w:val="auto"/>
          <w:kern w:val="2"/>
          <w:sz w:val="24"/>
          <w:szCs w:val="24"/>
          <w:highlight w:val="none"/>
          <w:shd w:val="clear" w:color="auto" w:fill="auto"/>
          <w:vertAlign w:val="superscript"/>
          <w:lang w:val="en-US" w:eastAsia="zh-CN" w:bidi="ar-SA"/>
        </w:rPr>
        <w:t>3</w:t>
      </w:r>
      <w:r>
        <w:rPr>
          <w:rFonts w:hint="eastAsia" w:ascii="Times New Roman" w:hAnsi="Times New Roman" w:eastAsia="黑体" w:cs="Times New Roman"/>
          <w:color w:val="auto"/>
          <w:kern w:val="2"/>
          <w:sz w:val="24"/>
          <w:szCs w:val="24"/>
          <w:highlight w:val="none"/>
          <w:shd w:val="clear" w:color="auto" w:fill="auto"/>
          <w:lang w:val="en-US" w:eastAsia="zh-CN" w:bidi="ar-SA"/>
        </w:rPr>
        <w:t>/</w:t>
      </w:r>
      <w:r>
        <w:rPr>
          <w:rFonts w:hint="eastAsia" w:eastAsia="黑体" w:cs="Times New Roman"/>
          <w:color w:val="auto"/>
          <w:kern w:val="2"/>
          <w:sz w:val="24"/>
          <w:szCs w:val="24"/>
          <w:highlight w:val="none"/>
          <w:shd w:val="clear" w:color="auto" w:fill="auto"/>
          <w:lang w:val="en-US" w:eastAsia="zh-CN" w:bidi="ar-SA"/>
        </w:rPr>
        <w:t>d</w:t>
      </w:r>
      <w:r>
        <w:rPr>
          <w:rFonts w:hint="eastAsia" w:ascii="Times New Roman" w:hAnsi="Times New Roman" w:eastAsia="黑体" w:cs="Times New Roman"/>
          <w:color w:val="auto"/>
          <w:kern w:val="2"/>
          <w:sz w:val="24"/>
          <w:szCs w:val="24"/>
          <w:highlight w:val="none"/>
          <w:shd w:val="clear" w:color="auto" w:fill="auto"/>
          <w:lang w:val="en-US" w:eastAsia="zh-CN" w:bidi="ar-SA"/>
        </w:rPr>
        <w:t>）</w:t>
      </w:r>
    </w:p>
    <w:p>
      <w:pPr>
        <w:pStyle w:val="6"/>
        <w:rPr>
          <w:color w:val="auto"/>
          <w:shd w:val="clear" w:color="auto" w:fill="auto"/>
        </w:rPr>
      </w:pPr>
      <w:r>
        <w:rPr>
          <w:rFonts w:hint="eastAsia"/>
          <w:color w:val="auto"/>
          <w:shd w:val="clear" w:color="auto" w:fill="auto"/>
          <w:lang w:val="en-US" w:eastAsia="zh-CN"/>
        </w:rPr>
        <w:t>2.2.3.3</w:t>
      </w:r>
      <w:r>
        <w:rPr>
          <w:rFonts w:hint="eastAsia"/>
          <w:color w:val="auto"/>
          <w:shd w:val="clear" w:color="auto" w:fill="auto"/>
        </w:rPr>
        <w:t>营运期噪声污染源</w:t>
      </w:r>
    </w:p>
    <w:p>
      <w:pPr>
        <w:ind w:firstLine="480"/>
        <w:jc w:val="left"/>
        <w:rPr>
          <w:rFonts w:hint="eastAsia" w:hAnsi="宋体"/>
          <w:color w:val="auto"/>
          <w:shd w:val="clear" w:color="auto" w:fill="auto"/>
        </w:rPr>
      </w:pPr>
      <w:r>
        <w:rPr>
          <w:rFonts w:hint="eastAsia" w:hAnsi="宋体"/>
          <w:color w:val="auto"/>
          <w:shd w:val="clear" w:color="auto" w:fill="auto"/>
        </w:rPr>
        <w:t>项目建成运行后，码头区的噪声源主要来自于机械设备、运输车辆</w:t>
      </w:r>
      <w:r>
        <w:rPr>
          <w:rFonts w:hint="eastAsia" w:hAnsi="宋体"/>
          <w:color w:val="auto"/>
          <w:shd w:val="clear" w:color="auto" w:fill="auto"/>
          <w:lang w:eastAsia="zh-CN"/>
        </w:rPr>
        <w:t>等</w:t>
      </w:r>
      <w:r>
        <w:rPr>
          <w:rFonts w:hint="eastAsia" w:hAnsi="宋体"/>
          <w:color w:val="auto"/>
          <w:shd w:val="clear" w:color="auto" w:fill="auto"/>
        </w:rPr>
        <w:t>。</w:t>
      </w:r>
    </w:p>
    <w:p>
      <w:pPr>
        <w:ind w:firstLine="480"/>
        <w:jc w:val="left"/>
        <w:rPr>
          <w:rFonts w:hAnsi="宋体"/>
          <w:color w:val="auto"/>
          <w:shd w:val="clear" w:color="auto" w:fill="auto"/>
        </w:rPr>
      </w:pPr>
      <w:r>
        <w:rPr>
          <w:rFonts w:hint="eastAsia" w:hAnsi="宋体"/>
          <w:color w:val="auto"/>
          <w:shd w:val="clear" w:color="auto" w:fill="auto"/>
        </w:rPr>
        <w:t>根据类比分析，各种设备噪声源强见表</w:t>
      </w:r>
      <w:r>
        <w:rPr>
          <w:rFonts w:hint="eastAsia" w:hAnsi="宋体"/>
          <w:color w:val="auto"/>
          <w:shd w:val="clear" w:color="auto" w:fill="auto"/>
          <w:lang w:val="en-US" w:eastAsia="zh-CN"/>
        </w:rPr>
        <w:t>2</w:t>
      </w:r>
      <w:r>
        <w:rPr>
          <w:rFonts w:hint="eastAsia" w:hAnsi="宋体"/>
          <w:color w:val="auto"/>
          <w:shd w:val="clear" w:color="auto" w:fill="auto"/>
        </w:rPr>
        <w:t>.2-</w:t>
      </w:r>
      <w:r>
        <w:rPr>
          <w:rFonts w:hint="eastAsia" w:hAnsi="宋体"/>
          <w:color w:val="auto"/>
          <w:shd w:val="clear" w:color="auto" w:fill="auto"/>
          <w:lang w:val="en-US" w:eastAsia="zh-CN"/>
        </w:rPr>
        <w:t>14</w:t>
      </w:r>
      <w:r>
        <w:rPr>
          <w:rFonts w:hint="eastAsia" w:hAnsi="宋体"/>
          <w:color w:val="auto"/>
          <w:shd w:val="clear" w:color="auto" w:fill="auto"/>
        </w:rPr>
        <w:t>。</w:t>
      </w:r>
    </w:p>
    <w:p>
      <w:pPr>
        <w:pStyle w:val="43"/>
        <w:rPr>
          <w:color w:val="auto"/>
          <w:sz w:val="21"/>
          <w:szCs w:val="21"/>
          <w:shd w:val="clear" w:color="auto" w:fill="auto"/>
        </w:rPr>
      </w:pPr>
      <w:r>
        <w:rPr>
          <w:rFonts w:hint="eastAsia"/>
          <w:color w:val="auto"/>
          <w:sz w:val="21"/>
          <w:szCs w:val="21"/>
          <w:shd w:val="clear" w:color="auto" w:fill="auto"/>
        </w:rPr>
        <w:t>表</w:t>
      </w:r>
      <w:r>
        <w:rPr>
          <w:rFonts w:hint="eastAsia"/>
          <w:color w:val="auto"/>
          <w:sz w:val="21"/>
          <w:szCs w:val="21"/>
          <w:shd w:val="clear" w:color="auto" w:fill="auto"/>
          <w:lang w:val="en-US" w:eastAsia="zh-CN"/>
        </w:rPr>
        <w:t>2</w:t>
      </w:r>
      <w:r>
        <w:rPr>
          <w:rFonts w:hint="eastAsia"/>
          <w:color w:val="auto"/>
          <w:sz w:val="21"/>
          <w:szCs w:val="21"/>
          <w:shd w:val="clear" w:color="auto" w:fill="auto"/>
        </w:rPr>
        <w:t>.2-</w:t>
      </w:r>
      <w:r>
        <w:rPr>
          <w:rFonts w:hint="eastAsia"/>
          <w:color w:val="auto"/>
          <w:sz w:val="21"/>
          <w:szCs w:val="21"/>
          <w:shd w:val="clear" w:color="auto" w:fill="auto"/>
          <w:lang w:val="en-US" w:eastAsia="zh-CN"/>
        </w:rPr>
        <w:t>14</w:t>
      </w:r>
      <w:r>
        <w:rPr>
          <w:rFonts w:hint="eastAsia"/>
          <w:color w:val="auto"/>
          <w:sz w:val="21"/>
          <w:szCs w:val="21"/>
          <w:shd w:val="clear" w:color="auto" w:fill="auto"/>
        </w:rPr>
        <w:t xml:space="preserve">  项目噪声源强一览表</w:t>
      </w:r>
      <w:r>
        <w:rPr>
          <w:rFonts w:hint="eastAsia"/>
          <w:color w:val="auto"/>
          <w:sz w:val="21"/>
          <w:szCs w:val="21"/>
          <w:shd w:val="clear" w:color="auto" w:fill="auto"/>
          <w:lang w:val="en-US" w:eastAsia="zh-CN"/>
        </w:rPr>
        <w:t xml:space="preserve"> </w:t>
      </w:r>
      <w:r>
        <w:rPr>
          <w:rFonts w:hint="eastAsia"/>
          <w:color w:val="auto"/>
          <w:sz w:val="21"/>
          <w:szCs w:val="21"/>
          <w:shd w:val="clear" w:color="auto" w:fill="auto"/>
        </w:rPr>
        <w:t xml:space="preserve"> 单位：dB（A）</w:t>
      </w:r>
    </w:p>
    <w:tbl>
      <w:tblPr>
        <w:tblStyle w:val="26"/>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6"/>
        <w:gridCol w:w="2055"/>
        <w:gridCol w:w="945"/>
        <w:gridCol w:w="1770"/>
        <w:gridCol w:w="1478"/>
        <w:gridCol w:w="14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796" w:type="dxa"/>
            <w:tcBorders>
              <w:tl2br w:val="nil"/>
              <w:tr2bl w:val="nil"/>
            </w:tcBorders>
            <w:vAlign w:val="center"/>
          </w:tcPr>
          <w:p>
            <w:pPr>
              <w:pStyle w:val="44"/>
              <w:rPr>
                <w:rFonts w:eastAsia="宋体" w:cs="Times New Roman"/>
                <w:color w:val="auto"/>
                <w:shd w:val="clear" w:color="auto" w:fill="auto"/>
              </w:rPr>
            </w:pPr>
            <w:r>
              <w:rPr>
                <w:rFonts w:eastAsia="宋体" w:cs="Times New Roman"/>
                <w:color w:val="auto"/>
                <w:shd w:val="clear" w:color="auto" w:fill="auto"/>
              </w:rPr>
              <w:t>序号</w:t>
            </w:r>
          </w:p>
        </w:tc>
        <w:tc>
          <w:tcPr>
            <w:tcW w:w="2055" w:type="dxa"/>
            <w:tcBorders>
              <w:tl2br w:val="nil"/>
              <w:tr2bl w:val="nil"/>
            </w:tcBorders>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噪声源（设备）</w:t>
            </w:r>
            <w:r>
              <w:rPr>
                <w:rFonts w:eastAsia="宋体" w:cs="Times New Roman"/>
                <w:color w:val="auto"/>
                <w:shd w:val="clear" w:color="auto" w:fill="auto"/>
              </w:rPr>
              <w:t>名称</w:t>
            </w:r>
          </w:p>
        </w:tc>
        <w:tc>
          <w:tcPr>
            <w:tcW w:w="945" w:type="dxa"/>
            <w:tcBorders>
              <w:tl2br w:val="nil"/>
              <w:tr2bl w:val="nil"/>
            </w:tcBorders>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数量</w:t>
            </w:r>
          </w:p>
        </w:tc>
        <w:tc>
          <w:tcPr>
            <w:tcW w:w="1770" w:type="dxa"/>
            <w:tcBorders>
              <w:tl2br w:val="nil"/>
              <w:tr2bl w:val="nil"/>
            </w:tcBorders>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单台设备</w:t>
            </w:r>
            <w:r>
              <w:rPr>
                <w:rFonts w:hint="eastAsia" w:eastAsia="宋体" w:cs="Times New Roman"/>
                <w:color w:val="auto"/>
                <w:shd w:val="clear" w:color="auto" w:fill="auto"/>
                <w:lang w:val="en-US" w:eastAsia="zh-CN"/>
              </w:rPr>
              <w:t>噪声值</w:t>
            </w:r>
            <w:r>
              <w:rPr>
                <w:color w:val="auto"/>
                <w:shd w:val="clear" w:color="auto" w:fill="auto"/>
              </w:rPr>
              <w:t>[dB(A)]</w:t>
            </w:r>
          </w:p>
        </w:tc>
        <w:tc>
          <w:tcPr>
            <w:tcW w:w="1478" w:type="dxa"/>
            <w:tcBorders>
              <w:tl2br w:val="nil"/>
              <w:tr2bl w:val="nil"/>
            </w:tcBorders>
            <w:vAlign w:val="center"/>
          </w:tcPr>
          <w:p>
            <w:pPr>
              <w:pStyle w:val="44"/>
              <w:rPr>
                <w:color w:val="auto"/>
                <w:shd w:val="clear" w:color="auto" w:fill="auto"/>
              </w:rPr>
            </w:pPr>
            <w:r>
              <w:rPr>
                <w:rFonts w:hint="eastAsia" w:eastAsia="宋体" w:cs="Times New Roman"/>
                <w:color w:val="auto"/>
                <w:shd w:val="clear" w:color="auto" w:fill="auto"/>
              </w:rPr>
              <w:t>所在位置</w:t>
            </w:r>
          </w:p>
        </w:tc>
        <w:tc>
          <w:tcPr>
            <w:tcW w:w="1478" w:type="dxa"/>
            <w:tcBorders>
              <w:tl2br w:val="nil"/>
              <w:tr2bl w:val="nil"/>
            </w:tcBorders>
            <w:vAlign w:val="center"/>
          </w:tcPr>
          <w:p>
            <w:pPr>
              <w:pStyle w:val="44"/>
              <w:rPr>
                <w:color w:val="auto"/>
                <w:shd w:val="clear" w:color="auto" w:fill="auto"/>
              </w:rPr>
            </w:pPr>
            <w:r>
              <w:rPr>
                <w:rFonts w:eastAsia="宋体" w:cs="Times New Roman"/>
                <w:color w:val="auto"/>
                <w:shd w:val="clear" w:color="auto" w:fill="auto"/>
              </w:rPr>
              <w:t>排放规律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6" w:type="dxa"/>
            <w:tcBorders>
              <w:tl2br w:val="nil"/>
              <w:tr2bl w:val="nil"/>
            </w:tcBorders>
            <w:vAlign w:val="center"/>
          </w:tcPr>
          <w:p>
            <w:pPr>
              <w:pStyle w:val="44"/>
              <w:rPr>
                <w:rFonts w:eastAsia="宋体" w:cs="Times New Roman"/>
                <w:color w:val="auto"/>
                <w:shd w:val="clear" w:color="auto" w:fill="auto"/>
              </w:rPr>
            </w:pPr>
            <w:r>
              <w:rPr>
                <w:rFonts w:eastAsia="宋体" w:cs="Times New Roman"/>
                <w:color w:val="auto"/>
                <w:shd w:val="clear" w:color="auto" w:fill="auto"/>
              </w:rPr>
              <w:t>1</w:t>
            </w:r>
          </w:p>
        </w:tc>
        <w:tc>
          <w:tcPr>
            <w:tcW w:w="2055" w:type="dxa"/>
            <w:tcBorders>
              <w:tl2br w:val="nil"/>
              <w:tr2bl w:val="nil"/>
            </w:tcBorders>
            <w:vAlign w:val="center"/>
          </w:tcPr>
          <w:p>
            <w:pPr>
              <w:pStyle w:val="44"/>
              <w:rPr>
                <w:rFonts w:hint="eastAsia" w:eastAsia="宋体" w:cs="Times New Roman"/>
                <w:color w:val="auto"/>
                <w:shd w:val="clear" w:color="auto" w:fill="auto"/>
                <w:lang w:eastAsia="zh-CN"/>
              </w:rPr>
            </w:pPr>
            <w:r>
              <w:rPr>
                <w:rFonts w:hint="eastAsia" w:cs="Times New Roman"/>
                <w:color w:val="auto"/>
                <w:shd w:val="clear" w:color="auto" w:fill="auto"/>
                <w:lang w:val="en-US" w:eastAsia="zh-CN"/>
              </w:rPr>
              <w:t>10t-20</w:t>
            </w:r>
            <w:r>
              <w:rPr>
                <w:rFonts w:hint="eastAsia" w:cs="Times New Roman"/>
                <w:color w:val="auto"/>
                <w:shd w:val="clear" w:color="auto" w:fill="auto"/>
                <w:lang w:eastAsia="zh-CN"/>
              </w:rPr>
              <w:t>m</w:t>
            </w:r>
            <w:r>
              <w:rPr>
                <w:rFonts w:hint="eastAsia" w:eastAsia="宋体" w:cs="Times New Roman"/>
                <w:color w:val="auto"/>
                <w:shd w:val="clear" w:color="auto" w:fill="auto"/>
                <w:lang w:eastAsia="zh-CN"/>
              </w:rPr>
              <w:t>固定吊</w:t>
            </w:r>
          </w:p>
        </w:tc>
        <w:tc>
          <w:tcPr>
            <w:tcW w:w="945" w:type="dxa"/>
            <w:tcBorders>
              <w:tl2br w:val="nil"/>
              <w:tr2bl w:val="nil"/>
            </w:tcBorders>
            <w:vAlign w:val="center"/>
          </w:tcPr>
          <w:p>
            <w:pPr>
              <w:pStyle w:val="44"/>
              <w:rPr>
                <w:rFonts w:hint="eastAsia" w:eastAsia="宋体" w:cs="Times New Roman"/>
                <w:color w:val="auto"/>
                <w:shd w:val="clear" w:color="auto" w:fill="auto"/>
                <w:lang w:eastAsia="zh-CN"/>
              </w:rPr>
            </w:pPr>
            <w:r>
              <w:rPr>
                <w:rFonts w:hint="eastAsia" w:eastAsia="宋体" w:cs="Times New Roman"/>
                <w:color w:val="auto"/>
                <w:shd w:val="clear" w:color="auto" w:fill="auto"/>
                <w:lang w:val="en-US" w:eastAsia="zh-CN"/>
              </w:rPr>
              <w:t>6</w:t>
            </w:r>
          </w:p>
        </w:tc>
        <w:tc>
          <w:tcPr>
            <w:tcW w:w="1770" w:type="dxa"/>
            <w:tcBorders>
              <w:tl2br w:val="nil"/>
              <w:tr2bl w:val="nil"/>
            </w:tcBorders>
            <w:vAlign w:val="center"/>
          </w:tcPr>
          <w:p>
            <w:pPr>
              <w:pStyle w:val="44"/>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85</w:t>
            </w:r>
          </w:p>
        </w:tc>
        <w:tc>
          <w:tcPr>
            <w:tcW w:w="1478" w:type="dxa"/>
            <w:tcBorders>
              <w:tl2br w:val="nil"/>
              <w:tr2bl w:val="nil"/>
            </w:tcBorders>
            <w:vAlign w:val="center"/>
          </w:tcPr>
          <w:p>
            <w:pPr>
              <w:pStyle w:val="44"/>
              <w:rPr>
                <w:rFonts w:hint="eastAsia" w:eastAsia="宋体" w:cs="Times New Roman"/>
                <w:color w:val="auto"/>
                <w:shd w:val="clear" w:color="auto" w:fill="auto"/>
              </w:rPr>
            </w:pPr>
            <w:r>
              <w:rPr>
                <w:rFonts w:hint="eastAsia" w:cs="Times New Roman"/>
                <w:color w:val="auto"/>
                <w:shd w:val="clear" w:color="auto" w:fill="auto"/>
                <w:lang w:eastAsia="zh-CN"/>
              </w:rPr>
              <w:t>散货</w:t>
            </w:r>
            <w:r>
              <w:rPr>
                <w:rFonts w:hint="eastAsia" w:eastAsia="宋体" w:cs="Times New Roman"/>
                <w:color w:val="auto"/>
                <w:shd w:val="clear" w:color="auto" w:fill="auto"/>
              </w:rPr>
              <w:t>泊位</w:t>
            </w:r>
          </w:p>
        </w:tc>
        <w:tc>
          <w:tcPr>
            <w:tcW w:w="1478" w:type="dxa"/>
            <w:tcBorders>
              <w:tl2br w:val="nil"/>
              <w:tr2bl w:val="nil"/>
            </w:tcBorders>
            <w:vAlign w:val="center"/>
          </w:tcPr>
          <w:p>
            <w:pPr>
              <w:pStyle w:val="44"/>
              <w:rPr>
                <w:rFonts w:hint="eastAsia" w:eastAsia="宋体" w:cs="Times New Roman"/>
                <w:color w:val="auto"/>
                <w:shd w:val="clear" w:color="auto" w:fill="auto"/>
              </w:rPr>
            </w:pPr>
            <w:r>
              <w:rPr>
                <w:rFonts w:hint="eastAsia" w:eastAsia="宋体" w:cs="Times New Roman"/>
                <w:color w:val="auto"/>
                <w:shd w:val="clear" w:color="auto" w:fill="auto"/>
              </w:rPr>
              <w:t>间断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6" w:type="dxa"/>
            <w:tcBorders>
              <w:tl2br w:val="nil"/>
              <w:tr2bl w:val="nil"/>
            </w:tcBorders>
            <w:vAlign w:val="center"/>
          </w:tcPr>
          <w:p>
            <w:pPr>
              <w:pStyle w:val="44"/>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2</w:t>
            </w:r>
          </w:p>
        </w:tc>
        <w:tc>
          <w:tcPr>
            <w:tcW w:w="2055" w:type="dxa"/>
            <w:tcBorders>
              <w:tl2br w:val="nil"/>
              <w:tr2bl w:val="nil"/>
            </w:tcBorders>
            <w:vAlign w:val="center"/>
          </w:tcPr>
          <w:p>
            <w:pPr>
              <w:pStyle w:val="44"/>
              <w:rPr>
                <w:rFonts w:hint="eastAsia" w:ascii="宋体" w:hAnsi="宋体" w:eastAsia="宋体" w:cs="宋体"/>
                <w:color w:val="auto"/>
                <w:shd w:val="clear" w:color="auto" w:fill="auto"/>
                <w:lang w:val="en-US" w:eastAsia="zh-CN"/>
              </w:rPr>
            </w:pPr>
            <w:r>
              <w:rPr>
                <w:rFonts w:hint="default" w:eastAsia="宋体" w:cs="Times New Roman"/>
                <w:color w:val="auto"/>
                <w:shd w:val="clear" w:color="auto" w:fill="auto"/>
                <w:lang w:val="en-US" w:eastAsia="zh-CN"/>
              </w:rPr>
              <w:t>运输载重车辆</w:t>
            </w:r>
          </w:p>
        </w:tc>
        <w:tc>
          <w:tcPr>
            <w:tcW w:w="945" w:type="dxa"/>
            <w:tcBorders>
              <w:tl2br w:val="nil"/>
              <w:tr2bl w:val="nil"/>
            </w:tcBorders>
            <w:vAlign w:val="center"/>
          </w:tcPr>
          <w:p>
            <w:pPr>
              <w:pStyle w:val="44"/>
              <w:rPr>
                <w:rFonts w:hint="default" w:eastAsia="宋体" w:cs="Times New Roman"/>
                <w:color w:val="auto"/>
                <w:shd w:val="clear" w:color="auto" w:fill="auto"/>
                <w:lang w:val="en-US" w:eastAsia="zh-CN"/>
              </w:rPr>
            </w:pPr>
            <w:r>
              <w:rPr>
                <w:rFonts w:hint="eastAsia" w:eastAsia="宋体" w:cs="Times New Roman"/>
                <w:color w:val="auto"/>
                <w:shd w:val="clear" w:color="auto" w:fill="auto"/>
                <w:lang w:val="en-US" w:eastAsia="zh-CN"/>
              </w:rPr>
              <w:t>9</w:t>
            </w:r>
            <w:r>
              <w:rPr>
                <w:rFonts w:hint="default" w:eastAsia="宋体" w:cs="Times New Roman"/>
                <w:color w:val="auto"/>
                <w:shd w:val="clear" w:color="auto" w:fill="auto"/>
                <w:lang w:val="en-US" w:eastAsia="zh-CN"/>
              </w:rPr>
              <w:t>辆/h</w:t>
            </w:r>
          </w:p>
        </w:tc>
        <w:tc>
          <w:tcPr>
            <w:tcW w:w="1770" w:type="dxa"/>
            <w:tcBorders>
              <w:tl2br w:val="nil"/>
              <w:tr2bl w:val="nil"/>
            </w:tcBorders>
            <w:vAlign w:val="center"/>
          </w:tcPr>
          <w:p>
            <w:pPr>
              <w:pStyle w:val="44"/>
              <w:rPr>
                <w:rFonts w:hint="default" w:eastAsia="宋体" w:cs="Times New Roman"/>
                <w:color w:val="auto"/>
                <w:shd w:val="clear" w:color="auto" w:fill="auto"/>
                <w:lang w:val="en-US" w:eastAsia="zh-CN"/>
              </w:rPr>
            </w:pPr>
            <w:r>
              <w:rPr>
                <w:rFonts w:hint="default" w:eastAsia="宋体" w:cs="Times New Roman"/>
                <w:color w:val="auto"/>
                <w:shd w:val="clear" w:color="auto" w:fill="auto"/>
                <w:lang w:val="en-US" w:eastAsia="zh-CN"/>
              </w:rPr>
              <w:t>75～8</w:t>
            </w:r>
            <w:r>
              <w:rPr>
                <w:rFonts w:hint="eastAsia" w:eastAsia="宋体" w:cs="Times New Roman"/>
                <w:color w:val="auto"/>
                <w:shd w:val="clear" w:color="auto" w:fill="auto"/>
                <w:lang w:val="en-US" w:eastAsia="zh-CN"/>
              </w:rPr>
              <w:t>0</w:t>
            </w:r>
          </w:p>
        </w:tc>
        <w:tc>
          <w:tcPr>
            <w:tcW w:w="1478" w:type="dxa"/>
            <w:tcBorders>
              <w:tl2br w:val="nil"/>
              <w:tr2bl w:val="nil"/>
            </w:tcBorders>
            <w:vAlign w:val="center"/>
          </w:tcPr>
          <w:p>
            <w:pPr>
              <w:pStyle w:val="44"/>
              <w:rPr>
                <w:rFonts w:hint="default" w:eastAsia="宋体" w:cs="Times New Roman"/>
                <w:color w:val="auto"/>
                <w:shd w:val="clear" w:color="auto" w:fill="auto"/>
                <w:lang w:val="en-US" w:eastAsia="zh-CN"/>
              </w:rPr>
            </w:pPr>
            <w:r>
              <w:rPr>
                <w:rFonts w:hint="eastAsia" w:eastAsia="宋体" w:cs="Times New Roman"/>
                <w:color w:val="auto"/>
                <w:shd w:val="clear" w:color="auto" w:fill="auto"/>
                <w:lang w:val="en-US" w:eastAsia="zh-CN"/>
              </w:rPr>
              <w:t>港区道路</w:t>
            </w:r>
          </w:p>
        </w:tc>
        <w:tc>
          <w:tcPr>
            <w:tcW w:w="1478" w:type="dxa"/>
            <w:tcBorders>
              <w:tl2br w:val="nil"/>
              <w:tr2bl w:val="nil"/>
            </w:tcBorders>
            <w:vAlign w:val="center"/>
          </w:tcPr>
          <w:p>
            <w:pPr>
              <w:pStyle w:val="44"/>
              <w:rPr>
                <w:rFonts w:hint="default" w:eastAsia="宋体" w:cs="Times New Roman"/>
                <w:color w:val="auto"/>
                <w:shd w:val="clear" w:color="auto" w:fill="auto"/>
                <w:lang w:val="en-US" w:eastAsia="zh-CN"/>
              </w:rPr>
            </w:pPr>
            <w:r>
              <w:rPr>
                <w:rFonts w:eastAsia="宋体" w:cs="Times New Roman"/>
                <w:color w:val="auto"/>
                <w:shd w:val="clear" w:color="auto" w:fill="auto"/>
              </w:rPr>
              <w:t>间断</w:t>
            </w:r>
          </w:p>
        </w:tc>
      </w:tr>
    </w:tbl>
    <w:p>
      <w:pPr>
        <w:pStyle w:val="6"/>
        <w:rPr>
          <w:color w:val="auto"/>
          <w:shd w:val="clear" w:color="auto" w:fill="auto"/>
        </w:rPr>
      </w:pPr>
      <w:r>
        <w:rPr>
          <w:rFonts w:hint="eastAsia"/>
          <w:color w:val="auto"/>
          <w:shd w:val="clear" w:color="auto" w:fill="auto"/>
          <w:lang w:val="en-US" w:eastAsia="zh-CN"/>
        </w:rPr>
        <w:t>2.2.3.4</w:t>
      </w:r>
      <w:r>
        <w:rPr>
          <w:rFonts w:hint="eastAsia"/>
          <w:color w:val="auto"/>
          <w:shd w:val="clear" w:color="auto" w:fill="auto"/>
        </w:rPr>
        <w:t>营运期固体废物污染</w:t>
      </w:r>
    </w:p>
    <w:p>
      <w:pPr>
        <w:spacing w:after="60"/>
        <w:ind w:firstLine="480"/>
        <w:rPr>
          <w:rFonts w:hAnsi="宋体"/>
          <w:color w:val="auto"/>
          <w:shd w:val="clear" w:color="auto" w:fill="auto"/>
        </w:rPr>
      </w:pPr>
      <w:r>
        <w:rPr>
          <w:rFonts w:hAnsi="宋体"/>
          <w:color w:val="auto"/>
          <w:shd w:val="clear" w:color="auto" w:fill="auto"/>
        </w:rPr>
        <w:t>运营期的固体废物主要是</w:t>
      </w:r>
      <w:r>
        <w:rPr>
          <w:rFonts w:hint="eastAsia" w:hAnsi="宋体"/>
          <w:color w:val="auto"/>
          <w:shd w:val="clear" w:color="auto" w:fill="auto"/>
          <w:lang w:eastAsia="zh-CN"/>
        </w:rPr>
        <w:t>码头</w:t>
      </w:r>
      <w:r>
        <w:rPr>
          <w:rFonts w:hAnsi="宋体"/>
          <w:color w:val="auto"/>
          <w:shd w:val="clear" w:color="auto" w:fill="auto"/>
        </w:rPr>
        <w:t>工作人员与船员的生活垃圾。</w:t>
      </w:r>
    </w:p>
    <w:p>
      <w:pPr>
        <w:pStyle w:val="2"/>
        <w:numPr>
          <w:ilvl w:val="0"/>
          <w:numId w:val="8"/>
        </w:numPr>
        <w:ind w:firstLine="480"/>
        <w:rPr>
          <w:rFonts w:hAnsi="宋体"/>
          <w:color w:val="auto"/>
          <w:shd w:val="clear" w:color="auto" w:fill="auto"/>
        </w:rPr>
      </w:pPr>
      <w:r>
        <w:rPr>
          <w:rFonts w:hint="eastAsia" w:hAnsi="宋体"/>
          <w:color w:val="auto"/>
          <w:shd w:val="clear" w:color="auto" w:fill="auto"/>
        </w:rPr>
        <w:t>船舶生活垃圾</w:t>
      </w:r>
    </w:p>
    <w:p>
      <w:pPr>
        <w:ind w:firstLine="480"/>
        <w:jc w:val="left"/>
        <w:rPr>
          <w:rFonts w:hAnsi="宋体"/>
          <w:color w:val="auto"/>
          <w:shd w:val="clear" w:color="auto" w:fill="auto"/>
        </w:rPr>
      </w:pPr>
      <w:r>
        <w:rPr>
          <w:rFonts w:hint="eastAsia"/>
          <w:color w:val="auto"/>
          <w:shd w:val="clear" w:color="auto" w:fill="auto"/>
        </w:rPr>
        <w:t>根据设计方案，本项目设计船型为</w:t>
      </w:r>
      <w:r>
        <w:rPr>
          <w:rFonts w:hint="eastAsia"/>
          <w:color w:val="auto"/>
          <w:shd w:val="clear" w:color="auto" w:fill="auto"/>
          <w:lang w:val="en-US" w:eastAsia="zh-CN"/>
        </w:rPr>
        <w:t>10</w:t>
      </w:r>
      <w:r>
        <w:rPr>
          <w:rFonts w:hint="eastAsia"/>
          <w:color w:val="auto"/>
          <w:shd w:val="clear" w:color="auto" w:fill="auto"/>
        </w:rPr>
        <w:t>00吨级，设计到港船舶数量为</w:t>
      </w:r>
      <w:r>
        <w:rPr>
          <w:rFonts w:hint="eastAsia"/>
          <w:color w:val="auto"/>
          <w:shd w:val="clear" w:color="auto" w:fill="auto"/>
          <w:lang w:val="en-US" w:eastAsia="zh-CN"/>
        </w:rPr>
        <w:t>5</w:t>
      </w:r>
      <w:r>
        <w:rPr>
          <w:color w:val="auto"/>
          <w:shd w:val="clear" w:color="auto" w:fill="auto"/>
        </w:rPr>
        <w:t>艘</w:t>
      </w:r>
      <w:r>
        <w:rPr>
          <w:rFonts w:hint="eastAsia"/>
          <w:color w:val="auto"/>
          <w:shd w:val="clear" w:color="auto" w:fill="auto"/>
        </w:rPr>
        <w:t>次</w:t>
      </w:r>
      <w:r>
        <w:rPr>
          <w:color w:val="auto"/>
          <w:shd w:val="clear" w:color="auto" w:fill="auto"/>
        </w:rPr>
        <w:t>/d</w:t>
      </w:r>
      <w:r>
        <w:rPr>
          <w:rFonts w:hint="eastAsia"/>
          <w:color w:val="auto"/>
          <w:shd w:val="clear" w:color="auto" w:fill="auto"/>
        </w:rPr>
        <w:t>；</w:t>
      </w:r>
      <w:r>
        <w:rPr>
          <w:rFonts w:hint="eastAsia" w:hAnsi="宋体"/>
          <w:color w:val="auto"/>
          <w:shd w:val="clear" w:color="auto" w:fill="auto"/>
          <w:lang w:val="en-US" w:eastAsia="zh-CN"/>
        </w:rPr>
        <w:t>10</w:t>
      </w:r>
      <w:r>
        <w:rPr>
          <w:rFonts w:hint="eastAsia" w:hAnsi="宋体"/>
          <w:color w:val="auto"/>
          <w:shd w:val="clear" w:color="auto" w:fill="auto"/>
        </w:rPr>
        <w:t>00吨级船舶工作人员按</w:t>
      </w:r>
      <w:r>
        <w:rPr>
          <w:rFonts w:hint="eastAsia" w:hAnsi="宋体"/>
          <w:color w:val="auto"/>
          <w:shd w:val="clear" w:color="auto" w:fill="auto"/>
          <w:lang w:val="en-US" w:eastAsia="zh-CN"/>
        </w:rPr>
        <w:t>10</w:t>
      </w:r>
      <w:r>
        <w:rPr>
          <w:rFonts w:hint="eastAsia" w:hAnsi="宋体"/>
          <w:color w:val="auto"/>
          <w:shd w:val="clear" w:color="auto" w:fill="auto"/>
        </w:rPr>
        <w:t>人/艘考虑，则每天到港员工大约为</w:t>
      </w:r>
      <w:r>
        <w:rPr>
          <w:rFonts w:hint="eastAsia" w:hAnsi="宋体"/>
          <w:color w:val="auto"/>
          <w:shd w:val="clear" w:color="auto" w:fill="auto"/>
          <w:lang w:val="en-US" w:eastAsia="zh-CN"/>
        </w:rPr>
        <w:t>50</w:t>
      </w:r>
      <w:r>
        <w:rPr>
          <w:rFonts w:hint="eastAsia" w:hAnsi="宋体"/>
          <w:color w:val="auto"/>
          <w:shd w:val="clear" w:color="auto" w:fill="auto"/>
        </w:rPr>
        <w:t>人。</w:t>
      </w:r>
    </w:p>
    <w:p>
      <w:pPr>
        <w:ind w:firstLine="480"/>
        <w:jc w:val="left"/>
        <w:rPr>
          <w:rFonts w:hAnsi="宋体"/>
          <w:color w:val="auto"/>
          <w:shd w:val="clear" w:color="auto" w:fill="auto"/>
        </w:rPr>
      </w:pPr>
      <w:r>
        <w:rPr>
          <w:color w:val="auto"/>
          <w:shd w:val="clear" w:color="auto" w:fill="auto"/>
        </w:rPr>
        <w:t>按照《港口工程环境保护设计规范》内河航运船只生活垃圾发生系数为1.5kg/人·日</w:t>
      </w:r>
      <w:r>
        <w:rPr>
          <w:rFonts w:hint="eastAsia"/>
          <w:bCs/>
          <w:color w:val="auto"/>
          <w:shd w:val="clear" w:color="auto" w:fill="auto"/>
        </w:rPr>
        <w:t>，则每天到港船舶的船员生活垃圾产生量大约为</w:t>
      </w:r>
      <w:r>
        <w:rPr>
          <w:rFonts w:hint="eastAsia"/>
          <w:bCs/>
          <w:color w:val="auto"/>
          <w:shd w:val="clear" w:color="auto" w:fill="auto"/>
          <w:lang w:val="en-US" w:eastAsia="zh-CN"/>
        </w:rPr>
        <w:t>75</w:t>
      </w:r>
      <w:r>
        <w:rPr>
          <w:rFonts w:hint="eastAsia" w:hAnsi="宋体"/>
          <w:color w:val="auto"/>
          <w:shd w:val="clear" w:color="auto" w:fill="auto"/>
        </w:rPr>
        <w:t>kg/</w:t>
      </w:r>
      <w:r>
        <w:rPr>
          <w:bCs/>
          <w:color w:val="auto"/>
          <w:shd w:val="clear" w:color="auto" w:fill="auto"/>
        </w:rPr>
        <w:t>d</w:t>
      </w:r>
      <w:r>
        <w:rPr>
          <w:rFonts w:hint="eastAsia"/>
          <w:bCs/>
          <w:color w:val="auto"/>
          <w:shd w:val="clear" w:color="auto" w:fill="auto"/>
        </w:rPr>
        <w:t>。</w:t>
      </w:r>
      <w:r>
        <w:rPr>
          <w:rFonts w:hAnsi="宋体"/>
          <w:color w:val="auto"/>
          <w:shd w:val="clear" w:color="auto" w:fill="auto"/>
        </w:rPr>
        <w:t>按照年运营数</w:t>
      </w:r>
      <w:r>
        <w:rPr>
          <w:color w:val="auto"/>
          <w:shd w:val="clear" w:color="auto" w:fill="auto"/>
        </w:rPr>
        <w:t>3</w:t>
      </w:r>
      <w:r>
        <w:rPr>
          <w:rFonts w:hint="eastAsia"/>
          <w:color w:val="auto"/>
          <w:shd w:val="clear" w:color="auto" w:fill="auto"/>
          <w:lang w:val="en-US" w:eastAsia="zh-CN"/>
        </w:rPr>
        <w:t>2</w:t>
      </w:r>
      <w:r>
        <w:rPr>
          <w:color w:val="auto"/>
          <w:shd w:val="clear" w:color="auto" w:fill="auto"/>
        </w:rPr>
        <w:t>0</w:t>
      </w:r>
      <w:r>
        <w:rPr>
          <w:rFonts w:hAnsi="宋体"/>
          <w:color w:val="auto"/>
          <w:shd w:val="clear" w:color="auto" w:fill="auto"/>
        </w:rPr>
        <w:t>天计算，则船舶生活垃圾年排放量为</w:t>
      </w:r>
      <w:r>
        <w:rPr>
          <w:rFonts w:hint="eastAsia"/>
          <w:color w:val="auto"/>
          <w:shd w:val="clear" w:color="auto" w:fill="auto"/>
          <w:lang w:val="en-US" w:eastAsia="zh-CN"/>
        </w:rPr>
        <w:t>24</w:t>
      </w:r>
      <w:r>
        <w:rPr>
          <w:color w:val="auto"/>
          <w:shd w:val="clear" w:color="auto" w:fill="auto"/>
        </w:rPr>
        <w:t>t</w:t>
      </w:r>
      <w:r>
        <w:rPr>
          <w:rFonts w:hAnsi="宋体"/>
          <w:color w:val="auto"/>
          <w:shd w:val="clear" w:color="auto" w:fill="auto"/>
        </w:rPr>
        <w:t>。</w:t>
      </w:r>
    </w:p>
    <w:p>
      <w:pPr>
        <w:pStyle w:val="2"/>
        <w:numPr>
          <w:ilvl w:val="0"/>
          <w:numId w:val="8"/>
        </w:numPr>
        <w:ind w:firstLine="480"/>
        <w:rPr>
          <w:rFonts w:hAnsi="宋体"/>
          <w:color w:val="auto"/>
          <w:shd w:val="clear" w:color="auto" w:fill="auto"/>
        </w:rPr>
      </w:pPr>
      <w:r>
        <w:rPr>
          <w:rFonts w:hint="eastAsia" w:hAnsi="宋体"/>
          <w:color w:val="auto"/>
          <w:shd w:val="clear" w:color="auto" w:fill="auto"/>
          <w:lang w:val="en-US" w:eastAsia="zh-CN"/>
        </w:rPr>
        <w:t>船舶保养废弃物</w:t>
      </w:r>
    </w:p>
    <w:p>
      <w:pPr>
        <w:rPr>
          <w:color w:val="auto"/>
          <w:shd w:val="clear" w:color="auto" w:fill="auto"/>
        </w:rPr>
      </w:pPr>
      <w:r>
        <w:rPr>
          <w:rFonts w:hint="eastAsia"/>
          <w:color w:val="auto"/>
          <w:shd w:val="clear" w:color="auto" w:fill="auto"/>
          <w:lang w:val="en-US" w:eastAsia="zh-CN"/>
        </w:rPr>
        <w:t>按照《港口工程环境保护设计规范》，每艘船舶每天产生的船舶保养废物20kg，按5艘估算，</w:t>
      </w:r>
      <w:r>
        <w:rPr>
          <w:rFonts w:hint="eastAsia"/>
          <w:color w:val="auto"/>
          <w:sz w:val="24"/>
          <w:szCs w:val="24"/>
          <w:shd w:val="clear" w:color="auto" w:fill="auto"/>
          <w:lang w:val="en-US" w:eastAsia="zh-CN"/>
        </w:rPr>
        <w:t>则</w:t>
      </w:r>
      <w:r>
        <w:rPr>
          <w:color w:val="auto"/>
          <w:sz w:val="24"/>
          <w:szCs w:val="24"/>
          <w:shd w:val="clear" w:color="auto" w:fill="auto"/>
        </w:rPr>
        <w:t>本项目营运期产生的船舶保养废物产生量约</w:t>
      </w:r>
      <w:r>
        <w:rPr>
          <w:rFonts w:hint="eastAsia"/>
          <w:color w:val="auto"/>
          <w:sz w:val="24"/>
          <w:szCs w:val="24"/>
          <w:shd w:val="clear" w:color="auto" w:fill="auto"/>
          <w:lang w:val="en-US" w:eastAsia="zh-CN"/>
        </w:rPr>
        <w:t>0.1t/d，32t/a</w:t>
      </w:r>
      <w:r>
        <w:rPr>
          <w:color w:val="auto"/>
          <w:sz w:val="24"/>
          <w:szCs w:val="24"/>
          <w:shd w:val="clear" w:color="auto" w:fill="auto"/>
        </w:rPr>
        <w:t>。</w:t>
      </w:r>
    </w:p>
    <w:p>
      <w:pPr>
        <w:pStyle w:val="2"/>
        <w:ind w:firstLine="480"/>
        <w:rPr>
          <w:color w:val="auto"/>
          <w:shd w:val="clear" w:color="auto" w:fill="auto"/>
        </w:rPr>
      </w:pPr>
      <w:r>
        <w:rPr>
          <w:rFonts w:hint="eastAsia" w:hAnsi="宋体"/>
          <w:color w:val="auto"/>
          <w:shd w:val="clear" w:color="auto" w:fill="auto"/>
        </w:rPr>
        <w:t>（</w:t>
      </w:r>
      <w:r>
        <w:rPr>
          <w:rFonts w:hint="eastAsia" w:hAnsi="宋体"/>
          <w:color w:val="auto"/>
          <w:shd w:val="clear" w:color="auto" w:fill="auto"/>
          <w:lang w:val="en-US" w:eastAsia="zh-CN"/>
        </w:rPr>
        <w:t>3</w:t>
      </w:r>
      <w:r>
        <w:rPr>
          <w:rFonts w:hint="eastAsia" w:hAnsi="宋体"/>
          <w:color w:val="auto"/>
          <w:shd w:val="clear" w:color="auto" w:fill="auto"/>
        </w:rPr>
        <w:t>）生活垃圾</w:t>
      </w:r>
    </w:p>
    <w:p>
      <w:pPr>
        <w:ind w:firstLine="480"/>
        <w:jc w:val="left"/>
        <w:rPr>
          <w:color w:val="auto"/>
          <w:shd w:val="clear" w:color="auto" w:fill="auto"/>
        </w:rPr>
      </w:pPr>
      <w:r>
        <w:rPr>
          <w:rFonts w:hint="eastAsia"/>
          <w:color w:val="auto"/>
          <w:shd w:val="clear" w:color="auto" w:fill="auto"/>
        </w:rPr>
        <w:t>根据方案，本项目建成运行后，计划劳动定员</w:t>
      </w:r>
      <w:r>
        <w:rPr>
          <w:rFonts w:hint="eastAsia"/>
          <w:color w:val="auto"/>
          <w:shd w:val="clear" w:color="auto" w:fill="auto"/>
          <w:lang w:val="en-US" w:eastAsia="zh-CN"/>
        </w:rPr>
        <w:t>31</w:t>
      </w:r>
      <w:r>
        <w:rPr>
          <w:rFonts w:hint="eastAsia"/>
          <w:color w:val="auto"/>
          <w:shd w:val="clear" w:color="auto" w:fill="auto"/>
        </w:rPr>
        <w:t>人，港区</w:t>
      </w:r>
      <w:r>
        <w:rPr>
          <w:rFonts w:hint="eastAsia"/>
          <w:color w:val="auto"/>
          <w:shd w:val="clear" w:color="auto" w:fill="auto"/>
          <w:lang w:eastAsia="zh-CN"/>
        </w:rPr>
        <w:t>、</w:t>
      </w:r>
      <w:r>
        <w:rPr>
          <w:rFonts w:hint="eastAsia"/>
          <w:color w:val="auto"/>
          <w:shd w:val="clear" w:color="auto" w:fill="auto"/>
          <w:lang w:val="en-US" w:eastAsia="zh-CN"/>
        </w:rPr>
        <w:t>陆域</w:t>
      </w:r>
      <w:r>
        <w:rPr>
          <w:rFonts w:hint="eastAsia"/>
          <w:color w:val="auto"/>
          <w:shd w:val="clear" w:color="auto" w:fill="auto"/>
        </w:rPr>
        <w:t>内配套建管理用房等辅助设施。</w:t>
      </w:r>
    </w:p>
    <w:p>
      <w:pPr>
        <w:ind w:firstLine="480"/>
        <w:jc w:val="left"/>
        <w:rPr>
          <w:color w:val="auto"/>
          <w:shd w:val="clear" w:color="auto" w:fill="auto"/>
        </w:rPr>
      </w:pPr>
      <w:r>
        <w:rPr>
          <w:rFonts w:hint="eastAsia" w:hAnsi="宋体"/>
          <w:color w:val="auto"/>
          <w:shd w:val="clear" w:color="auto" w:fill="auto"/>
        </w:rPr>
        <w:t>根据类比分析，职工生活垃圾产生量按1kg/人</w:t>
      </w:r>
      <w:r>
        <w:rPr>
          <w:bCs/>
          <w:color w:val="auto"/>
          <w:shd w:val="clear" w:color="auto" w:fill="auto"/>
        </w:rPr>
        <w:t>·d</w:t>
      </w:r>
      <w:r>
        <w:rPr>
          <w:rFonts w:hint="eastAsia"/>
          <w:bCs/>
          <w:color w:val="auto"/>
          <w:shd w:val="clear" w:color="auto" w:fill="auto"/>
        </w:rPr>
        <w:t>，则港区</w:t>
      </w:r>
      <w:r>
        <w:rPr>
          <w:rFonts w:hint="eastAsia"/>
          <w:bCs/>
          <w:color w:val="auto"/>
          <w:shd w:val="clear" w:color="auto" w:fill="auto"/>
          <w:lang w:eastAsia="zh-CN"/>
        </w:rPr>
        <w:t>、</w:t>
      </w:r>
      <w:r>
        <w:rPr>
          <w:rFonts w:hint="eastAsia"/>
          <w:bCs/>
          <w:color w:val="auto"/>
          <w:shd w:val="clear" w:color="auto" w:fill="auto"/>
          <w:lang w:val="en-US" w:eastAsia="zh-CN"/>
        </w:rPr>
        <w:t>陆域</w:t>
      </w:r>
      <w:r>
        <w:rPr>
          <w:rFonts w:hint="eastAsia"/>
          <w:bCs/>
          <w:color w:val="auto"/>
          <w:shd w:val="clear" w:color="auto" w:fill="auto"/>
        </w:rPr>
        <w:t>职工生活垃圾产生量大约为</w:t>
      </w:r>
      <w:r>
        <w:rPr>
          <w:rFonts w:hint="eastAsia"/>
          <w:bCs/>
          <w:color w:val="auto"/>
          <w:shd w:val="clear" w:color="auto" w:fill="auto"/>
          <w:lang w:val="en-US" w:eastAsia="zh-CN"/>
        </w:rPr>
        <w:t>31</w:t>
      </w:r>
      <w:r>
        <w:rPr>
          <w:rFonts w:hint="eastAsia" w:hAnsi="宋体"/>
          <w:color w:val="auto"/>
          <w:shd w:val="clear" w:color="auto" w:fill="auto"/>
        </w:rPr>
        <w:t>kg/</w:t>
      </w:r>
      <w:r>
        <w:rPr>
          <w:bCs/>
          <w:color w:val="auto"/>
          <w:shd w:val="clear" w:color="auto" w:fill="auto"/>
        </w:rPr>
        <w:t>d</w:t>
      </w:r>
      <w:r>
        <w:rPr>
          <w:rFonts w:hint="eastAsia"/>
          <w:bCs/>
          <w:color w:val="auto"/>
          <w:shd w:val="clear" w:color="auto" w:fill="auto"/>
        </w:rPr>
        <w:t>，</w:t>
      </w:r>
      <w:r>
        <w:rPr>
          <w:rFonts w:hAnsi="宋体"/>
          <w:color w:val="auto"/>
          <w:shd w:val="clear" w:color="auto" w:fill="auto"/>
        </w:rPr>
        <w:t>年排放量为</w:t>
      </w:r>
      <w:r>
        <w:rPr>
          <w:rFonts w:hint="eastAsia"/>
          <w:color w:val="auto"/>
          <w:shd w:val="clear" w:color="auto" w:fill="auto"/>
          <w:lang w:val="en-US" w:eastAsia="zh-CN"/>
        </w:rPr>
        <w:t>9.92</w:t>
      </w:r>
      <w:r>
        <w:rPr>
          <w:color w:val="auto"/>
          <w:shd w:val="clear" w:color="auto" w:fill="auto"/>
        </w:rPr>
        <w:t>t</w:t>
      </w:r>
      <w:r>
        <w:rPr>
          <w:rFonts w:hint="eastAsia"/>
          <w:color w:val="auto"/>
          <w:shd w:val="clear" w:color="auto" w:fill="auto"/>
          <w:lang w:val="en-US" w:eastAsia="zh-CN"/>
        </w:rPr>
        <w:t>/a</w:t>
      </w:r>
      <w:r>
        <w:rPr>
          <w:rFonts w:hAnsi="宋体"/>
          <w:color w:val="auto"/>
          <w:shd w:val="clear" w:color="auto" w:fill="auto"/>
        </w:rPr>
        <w:t>。</w:t>
      </w:r>
    </w:p>
    <w:p>
      <w:pPr>
        <w:pStyle w:val="2"/>
        <w:ind w:firstLine="480"/>
        <w:rPr>
          <w:rFonts w:hint="eastAsia" w:hAnsi="宋体"/>
          <w:color w:val="auto"/>
          <w:shd w:val="clear" w:color="auto" w:fill="auto"/>
        </w:rPr>
      </w:pPr>
      <w:r>
        <w:rPr>
          <w:rFonts w:hint="eastAsia" w:hAnsi="宋体"/>
          <w:color w:val="auto"/>
          <w:shd w:val="clear" w:color="auto" w:fill="auto"/>
        </w:rPr>
        <w:t>（</w:t>
      </w:r>
      <w:r>
        <w:rPr>
          <w:rFonts w:hint="eastAsia" w:hAnsi="宋体"/>
          <w:color w:val="auto"/>
          <w:shd w:val="clear" w:color="auto" w:fill="auto"/>
          <w:lang w:val="en-US" w:eastAsia="zh-CN"/>
        </w:rPr>
        <w:t>4</w:t>
      </w:r>
      <w:r>
        <w:rPr>
          <w:rFonts w:hint="eastAsia" w:hAnsi="宋体"/>
          <w:color w:val="auto"/>
          <w:shd w:val="clear" w:color="auto" w:fill="auto"/>
        </w:rPr>
        <w:t>）污泥</w:t>
      </w:r>
    </w:p>
    <w:p>
      <w:pPr>
        <w:pStyle w:val="2"/>
        <w:ind w:firstLine="480"/>
        <w:rPr>
          <w:rFonts w:hint="eastAsia" w:hAnsi="宋体"/>
          <w:color w:val="auto"/>
          <w:shd w:val="clear" w:color="auto" w:fill="auto"/>
          <w:lang w:val="en-US" w:eastAsia="zh-CN"/>
        </w:rPr>
      </w:pPr>
      <w:r>
        <w:rPr>
          <w:rFonts w:hint="eastAsia" w:hAnsi="宋体"/>
          <w:color w:val="auto"/>
          <w:shd w:val="clear" w:color="auto" w:fill="auto"/>
          <w:lang w:val="en-US" w:eastAsia="zh-CN"/>
        </w:rPr>
        <w:t>沉淀池对水中SS去除率为95%，故本项目废水中沉渣产生</w:t>
      </w:r>
      <w:r>
        <w:rPr>
          <w:rFonts w:hint="eastAsia" w:hAnsi="宋体"/>
          <w:color w:val="auto"/>
          <w:shd w:val="clear" w:color="auto" w:fill="auto"/>
          <w:lang w:val="en-US" w:eastAsia="zh-CN"/>
        </w:rPr>
        <w:t>量约7.54t/a，含水率按80%计，则沉淀池污泥量约为37.7t/a，污泥中主要为泥沙，定期由当地环卫部门清运处置，不外排。</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5</w:t>
      </w:r>
      <w:r>
        <w:rPr>
          <w:rFonts w:hint="eastAsia"/>
          <w:color w:val="auto"/>
          <w:shd w:val="clear" w:color="auto" w:fill="auto"/>
        </w:rPr>
        <w:t>）危险废物</w:t>
      </w:r>
    </w:p>
    <w:p>
      <w:pPr>
        <w:ind w:firstLine="480"/>
        <w:rPr>
          <w:color w:val="auto"/>
          <w:highlight w:val="none"/>
          <w:shd w:val="clear" w:color="auto" w:fill="auto"/>
        </w:rPr>
      </w:pPr>
      <w:r>
        <w:rPr>
          <w:rFonts w:hint="eastAsia"/>
          <w:color w:val="auto"/>
          <w:highlight w:val="none"/>
          <w:shd w:val="clear" w:color="auto" w:fill="auto"/>
        </w:rPr>
        <w:t>类比同类型项目，本项目隔油</w:t>
      </w:r>
      <w:r>
        <w:rPr>
          <w:rFonts w:hint="eastAsia"/>
          <w:color w:val="auto"/>
          <w:highlight w:val="none"/>
          <w:shd w:val="clear" w:color="auto" w:fill="auto"/>
          <w:lang w:eastAsia="zh-CN"/>
        </w:rPr>
        <w:t>沉淀</w:t>
      </w:r>
      <w:r>
        <w:rPr>
          <w:rFonts w:hint="eastAsia"/>
          <w:color w:val="auto"/>
          <w:highlight w:val="none"/>
          <w:shd w:val="clear" w:color="auto" w:fill="auto"/>
        </w:rPr>
        <w:t>池浮油产生量</w:t>
      </w:r>
      <w:r>
        <w:rPr>
          <w:rFonts w:hint="eastAsia"/>
          <w:color w:val="auto"/>
          <w:highlight w:val="none"/>
          <w:shd w:val="clear" w:color="auto" w:fill="auto"/>
          <w:lang w:val="en-US" w:eastAsia="zh-CN"/>
        </w:rPr>
        <w:t>约0.13</w:t>
      </w:r>
      <w:r>
        <w:rPr>
          <w:rFonts w:hint="eastAsia"/>
          <w:color w:val="auto"/>
          <w:highlight w:val="none"/>
          <w:shd w:val="clear" w:color="auto" w:fill="auto"/>
        </w:rPr>
        <w:t>t/a，属危险废物，应委托有资质的单位进行定期收集和处置。</w:t>
      </w:r>
    </w:p>
    <w:p>
      <w:pPr>
        <w:pStyle w:val="6"/>
        <w:rPr>
          <w:color w:val="auto"/>
          <w:highlight w:val="none"/>
          <w:shd w:val="clear" w:color="auto" w:fill="auto"/>
        </w:rPr>
      </w:pPr>
      <w:r>
        <w:rPr>
          <w:rFonts w:hint="eastAsia"/>
          <w:color w:val="auto"/>
          <w:highlight w:val="none"/>
          <w:shd w:val="clear" w:color="auto" w:fill="auto"/>
          <w:lang w:val="en-US" w:eastAsia="zh-CN"/>
        </w:rPr>
        <w:t>2.2.3.5营运期</w:t>
      </w:r>
      <w:r>
        <w:rPr>
          <w:color w:val="auto"/>
          <w:highlight w:val="none"/>
          <w:shd w:val="clear" w:color="auto" w:fill="auto"/>
        </w:rPr>
        <w:t>污染物排放量汇总</w:t>
      </w:r>
    </w:p>
    <w:p>
      <w:pPr>
        <w:pStyle w:val="64"/>
        <w:spacing w:beforeLines="0" w:afterLines="0"/>
        <w:ind w:left="-60" w:right="-60" w:firstLine="480"/>
        <w:jc w:val="both"/>
        <w:rPr>
          <w:color w:val="auto"/>
          <w:shd w:val="clear" w:color="auto" w:fill="auto"/>
        </w:rPr>
      </w:pPr>
      <w:r>
        <w:rPr>
          <w:rFonts w:ascii="Times New Roman" w:hAnsi="宋体"/>
          <w:color w:val="auto"/>
          <w:kern w:val="2"/>
          <w:shd w:val="clear" w:color="auto" w:fill="auto"/>
        </w:rPr>
        <w:t>本项目实施后所产生的废水、废气、固体污染物排放量见表</w:t>
      </w:r>
      <w:r>
        <w:rPr>
          <w:rFonts w:hint="eastAsia" w:ascii="Times New Roman"/>
          <w:color w:val="auto"/>
          <w:kern w:val="2"/>
          <w:shd w:val="clear" w:color="auto" w:fill="auto"/>
          <w:lang w:val="en-US" w:eastAsia="zh-CN"/>
        </w:rPr>
        <w:t>2</w:t>
      </w:r>
      <w:r>
        <w:rPr>
          <w:rFonts w:hint="eastAsia" w:ascii="Times New Roman"/>
          <w:color w:val="auto"/>
          <w:kern w:val="2"/>
          <w:shd w:val="clear" w:color="auto" w:fill="auto"/>
        </w:rPr>
        <w:t>.2-</w:t>
      </w:r>
      <w:r>
        <w:rPr>
          <w:rFonts w:hint="eastAsia" w:ascii="Times New Roman"/>
          <w:color w:val="auto"/>
          <w:kern w:val="2"/>
          <w:shd w:val="clear" w:color="auto" w:fill="auto"/>
          <w:lang w:val="en-US" w:eastAsia="zh-CN"/>
        </w:rPr>
        <w:t>15</w:t>
      </w:r>
      <w:r>
        <w:rPr>
          <w:rFonts w:ascii="Times New Roman" w:hAnsi="宋体"/>
          <w:color w:val="auto"/>
          <w:kern w:val="2"/>
          <w:shd w:val="clear" w:color="auto" w:fill="auto"/>
        </w:rPr>
        <w:t>。</w:t>
      </w:r>
    </w:p>
    <w:p>
      <w:pPr>
        <w:pStyle w:val="43"/>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表</w:t>
      </w:r>
      <w:r>
        <w:rPr>
          <w:rFonts w:hint="eastAsia" w:ascii="Times New Roman" w:hAnsi="Times New Roman" w:cs="Times New Roman"/>
          <w:color w:val="auto"/>
          <w:sz w:val="21"/>
          <w:szCs w:val="21"/>
          <w:shd w:val="clear" w:color="auto" w:fill="auto"/>
          <w:lang w:val="en-US" w:eastAsia="zh-CN"/>
        </w:rPr>
        <w:t>2.2-15</w:t>
      </w:r>
      <w:r>
        <w:rPr>
          <w:rFonts w:hint="eastAsia" w:ascii="Times New Roman" w:hAnsi="Times New Roman" w:cs="Times New Roman"/>
          <w:color w:val="auto"/>
          <w:sz w:val="21"/>
          <w:szCs w:val="21"/>
          <w:shd w:val="clear" w:color="auto" w:fill="auto"/>
        </w:rPr>
        <w:t xml:space="preserve">  </w:t>
      </w:r>
      <w:r>
        <w:rPr>
          <w:rFonts w:hint="eastAsia" w:ascii="Times New Roman" w:hAnsi="Times New Roman" w:cs="Times New Roman"/>
          <w:color w:val="auto"/>
          <w:sz w:val="21"/>
          <w:szCs w:val="21"/>
          <w:shd w:val="clear" w:color="auto" w:fill="auto"/>
          <w:lang w:eastAsia="zh-CN"/>
        </w:rPr>
        <w:t>营运期</w:t>
      </w:r>
      <w:r>
        <w:rPr>
          <w:rFonts w:hint="eastAsia" w:ascii="Times New Roman" w:hAnsi="Times New Roman" w:cs="Times New Roman"/>
          <w:color w:val="auto"/>
          <w:sz w:val="21"/>
          <w:szCs w:val="21"/>
          <w:shd w:val="clear" w:color="auto" w:fill="auto"/>
        </w:rPr>
        <w:t>污染物产排汇总表</w:t>
      </w:r>
      <w:r>
        <w:rPr>
          <w:rFonts w:hint="eastAsia" w:ascii="Times New Roman" w:hAnsi="Times New Roman" w:cs="Times New Roman"/>
          <w:color w:val="auto"/>
          <w:sz w:val="21"/>
          <w:szCs w:val="21"/>
          <w:shd w:val="clear" w:color="auto" w:fill="auto"/>
          <w:lang w:val="en-US" w:eastAsia="zh-CN"/>
        </w:rPr>
        <w:t xml:space="preserve">  </w:t>
      </w:r>
      <w:r>
        <w:rPr>
          <w:rFonts w:hint="eastAsia" w:ascii="Times New Roman" w:hAnsi="Times New Roman" w:cs="Times New Roman"/>
          <w:color w:val="auto"/>
          <w:sz w:val="21"/>
          <w:szCs w:val="21"/>
          <w:shd w:val="clear" w:color="auto" w:fill="auto"/>
        </w:rPr>
        <w:t>单位：t/a</w:t>
      </w:r>
    </w:p>
    <w:tbl>
      <w:tblPr>
        <w:tblStyle w:val="26"/>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5"/>
        <w:gridCol w:w="826"/>
        <w:gridCol w:w="1764"/>
        <w:gridCol w:w="801"/>
        <w:gridCol w:w="1385"/>
        <w:gridCol w:w="1493"/>
        <w:gridCol w:w="14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15" w:type="dxa"/>
            <w:gridSpan w:val="3"/>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项目</w:t>
            </w:r>
          </w:p>
        </w:tc>
        <w:tc>
          <w:tcPr>
            <w:tcW w:w="801"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单位</w:t>
            </w:r>
          </w:p>
        </w:tc>
        <w:tc>
          <w:tcPr>
            <w:tcW w:w="1385"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产生量</w:t>
            </w:r>
          </w:p>
        </w:tc>
        <w:tc>
          <w:tcPr>
            <w:tcW w:w="1493"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排放量</w:t>
            </w:r>
          </w:p>
        </w:tc>
        <w:tc>
          <w:tcPr>
            <w:tcW w:w="1428"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削减量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Merge w:val="restart"/>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废气</w:t>
            </w:r>
          </w:p>
        </w:tc>
        <w:tc>
          <w:tcPr>
            <w:tcW w:w="826" w:type="dxa"/>
            <w:vMerge w:val="restart"/>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无组织</w:t>
            </w:r>
          </w:p>
        </w:tc>
        <w:tc>
          <w:tcPr>
            <w:tcW w:w="1764"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SO</w:t>
            </w:r>
            <w:r>
              <w:rPr>
                <w:rFonts w:hint="default" w:ascii="Times New Roman" w:hAnsi="Times New Roman" w:eastAsia="宋体" w:cs="Times New Roman"/>
                <w:color w:val="auto"/>
                <w:sz w:val="21"/>
                <w:szCs w:val="21"/>
                <w:shd w:val="clear" w:color="auto" w:fill="auto"/>
                <w:vertAlign w:val="subscript"/>
              </w:rPr>
              <w:t>2</w:t>
            </w:r>
          </w:p>
        </w:tc>
        <w:tc>
          <w:tcPr>
            <w:tcW w:w="801"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t/a</w:t>
            </w:r>
          </w:p>
        </w:tc>
        <w:tc>
          <w:tcPr>
            <w:tcW w:w="1385"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lang w:val="en-US" w:eastAsia="zh-CN"/>
              </w:rPr>
              <w:t>0.5</w:t>
            </w:r>
            <w:r>
              <w:rPr>
                <w:rFonts w:hint="eastAsia" w:cs="Times New Roman"/>
                <w:color w:val="auto"/>
                <w:sz w:val="21"/>
                <w:szCs w:val="21"/>
                <w:shd w:val="clear" w:color="auto" w:fill="auto"/>
                <w:lang w:val="en-US" w:eastAsia="zh-CN"/>
              </w:rPr>
              <w:t>493</w:t>
            </w:r>
          </w:p>
        </w:tc>
        <w:tc>
          <w:tcPr>
            <w:tcW w:w="1493" w:type="dxa"/>
            <w:tcBorders>
              <w:tl2br w:val="nil"/>
              <w:tr2bl w:val="nil"/>
            </w:tcBorders>
            <w:vAlign w:val="center"/>
          </w:tcPr>
          <w:p>
            <w:pPr>
              <w:pStyle w:val="44"/>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zh-CN"/>
              </w:rPr>
              <w:t>0.5</w:t>
            </w:r>
            <w:r>
              <w:rPr>
                <w:rFonts w:hint="eastAsia" w:cs="Times New Roman"/>
                <w:color w:val="auto"/>
                <w:sz w:val="21"/>
                <w:szCs w:val="21"/>
                <w:shd w:val="clear" w:color="auto" w:fill="auto"/>
                <w:lang w:val="en-US" w:eastAsia="zh-CN"/>
              </w:rPr>
              <w:t>493</w:t>
            </w:r>
          </w:p>
        </w:tc>
        <w:tc>
          <w:tcPr>
            <w:tcW w:w="1428"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826"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1764"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CO</w:t>
            </w:r>
          </w:p>
        </w:tc>
        <w:tc>
          <w:tcPr>
            <w:tcW w:w="801"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t/a</w:t>
            </w:r>
          </w:p>
        </w:tc>
        <w:tc>
          <w:tcPr>
            <w:tcW w:w="1385"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lang w:val="en-US" w:eastAsia="zh-CN"/>
              </w:rPr>
              <w:t>0.</w:t>
            </w:r>
            <w:r>
              <w:rPr>
                <w:rFonts w:hint="eastAsia" w:cs="Times New Roman"/>
                <w:color w:val="auto"/>
                <w:sz w:val="21"/>
                <w:szCs w:val="21"/>
                <w:shd w:val="clear" w:color="auto" w:fill="auto"/>
                <w:lang w:val="en-US" w:eastAsia="zh-CN"/>
              </w:rPr>
              <w:t>621</w:t>
            </w:r>
          </w:p>
        </w:tc>
        <w:tc>
          <w:tcPr>
            <w:tcW w:w="1493" w:type="dxa"/>
            <w:tcBorders>
              <w:tl2br w:val="nil"/>
              <w:tr2bl w:val="nil"/>
            </w:tcBorders>
            <w:vAlign w:val="center"/>
          </w:tcPr>
          <w:p>
            <w:pPr>
              <w:pStyle w:val="44"/>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zh-CN"/>
              </w:rPr>
              <w:t>0.</w:t>
            </w:r>
            <w:r>
              <w:rPr>
                <w:rFonts w:hint="eastAsia" w:cs="Times New Roman"/>
                <w:color w:val="auto"/>
                <w:sz w:val="21"/>
                <w:szCs w:val="21"/>
                <w:shd w:val="clear" w:color="auto" w:fill="auto"/>
                <w:lang w:val="en-US" w:eastAsia="zh-CN"/>
              </w:rPr>
              <w:t>621</w:t>
            </w:r>
          </w:p>
        </w:tc>
        <w:tc>
          <w:tcPr>
            <w:tcW w:w="1428"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826"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1764"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NOx</w:t>
            </w:r>
          </w:p>
        </w:tc>
        <w:tc>
          <w:tcPr>
            <w:tcW w:w="801"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t/a</w:t>
            </w:r>
          </w:p>
        </w:tc>
        <w:tc>
          <w:tcPr>
            <w:tcW w:w="1385"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lang w:val="en-US" w:eastAsia="zh-CN"/>
              </w:rPr>
              <w:t>0.6</w:t>
            </w:r>
            <w:r>
              <w:rPr>
                <w:rFonts w:hint="eastAsia" w:cs="Times New Roman"/>
                <w:color w:val="auto"/>
                <w:sz w:val="21"/>
                <w:szCs w:val="21"/>
                <w:shd w:val="clear" w:color="auto" w:fill="auto"/>
                <w:lang w:val="en-US" w:eastAsia="zh-CN"/>
              </w:rPr>
              <w:t>52</w:t>
            </w:r>
          </w:p>
        </w:tc>
        <w:tc>
          <w:tcPr>
            <w:tcW w:w="1493" w:type="dxa"/>
            <w:tcBorders>
              <w:tl2br w:val="nil"/>
              <w:tr2bl w:val="nil"/>
            </w:tcBorders>
            <w:vAlign w:val="center"/>
          </w:tcPr>
          <w:p>
            <w:pPr>
              <w:pStyle w:val="44"/>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zh-CN"/>
              </w:rPr>
              <w:t>0.6</w:t>
            </w:r>
            <w:r>
              <w:rPr>
                <w:rFonts w:hint="eastAsia" w:cs="Times New Roman"/>
                <w:color w:val="auto"/>
                <w:sz w:val="21"/>
                <w:szCs w:val="21"/>
                <w:shd w:val="clear" w:color="auto" w:fill="auto"/>
                <w:lang w:val="en-US" w:eastAsia="zh-CN"/>
              </w:rPr>
              <w:t>52</w:t>
            </w:r>
          </w:p>
        </w:tc>
        <w:tc>
          <w:tcPr>
            <w:tcW w:w="1428"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826"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1764"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总烃</w:t>
            </w:r>
          </w:p>
        </w:tc>
        <w:tc>
          <w:tcPr>
            <w:tcW w:w="801"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t/a</w:t>
            </w:r>
          </w:p>
        </w:tc>
        <w:tc>
          <w:tcPr>
            <w:tcW w:w="1385"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lang w:val="en-US" w:eastAsia="zh-CN"/>
              </w:rPr>
              <w:t>0.</w:t>
            </w:r>
            <w:r>
              <w:rPr>
                <w:rFonts w:hint="eastAsia" w:cs="Times New Roman"/>
                <w:color w:val="auto"/>
                <w:sz w:val="21"/>
                <w:szCs w:val="21"/>
                <w:shd w:val="clear" w:color="auto" w:fill="auto"/>
                <w:lang w:val="en-US" w:eastAsia="zh-CN"/>
              </w:rPr>
              <w:t>426</w:t>
            </w:r>
          </w:p>
        </w:tc>
        <w:tc>
          <w:tcPr>
            <w:tcW w:w="1493" w:type="dxa"/>
            <w:tcBorders>
              <w:tl2br w:val="nil"/>
              <w:tr2bl w:val="nil"/>
            </w:tcBorders>
            <w:vAlign w:val="center"/>
          </w:tcPr>
          <w:p>
            <w:pPr>
              <w:pStyle w:val="44"/>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zh-CN"/>
              </w:rPr>
              <w:t>0.</w:t>
            </w:r>
            <w:r>
              <w:rPr>
                <w:rFonts w:hint="eastAsia" w:cs="Times New Roman"/>
                <w:color w:val="auto"/>
                <w:sz w:val="21"/>
                <w:szCs w:val="21"/>
                <w:shd w:val="clear" w:color="auto" w:fill="auto"/>
                <w:lang w:val="en-US" w:eastAsia="zh-CN"/>
              </w:rPr>
              <w:t>426</w:t>
            </w:r>
          </w:p>
        </w:tc>
        <w:tc>
          <w:tcPr>
            <w:tcW w:w="1428"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25"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826"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1764"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TSP</w:t>
            </w:r>
          </w:p>
        </w:tc>
        <w:tc>
          <w:tcPr>
            <w:tcW w:w="801"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t/a</w:t>
            </w:r>
          </w:p>
        </w:tc>
        <w:tc>
          <w:tcPr>
            <w:tcW w:w="1385"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20.964</w:t>
            </w:r>
          </w:p>
        </w:tc>
        <w:tc>
          <w:tcPr>
            <w:tcW w:w="1493"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2.096</w:t>
            </w:r>
          </w:p>
        </w:tc>
        <w:tc>
          <w:tcPr>
            <w:tcW w:w="1428"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18.868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25" w:type="dxa"/>
            <w:vMerge w:val="restart"/>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highlight w:val="none"/>
                <w:shd w:val="clear" w:color="auto" w:fill="auto"/>
              </w:rPr>
              <w:t>废水</w:t>
            </w:r>
          </w:p>
        </w:tc>
        <w:tc>
          <w:tcPr>
            <w:tcW w:w="826" w:type="dxa"/>
            <w:vMerge w:val="restart"/>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混合废水</w:t>
            </w:r>
          </w:p>
        </w:tc>
        <w:tc>
          <w:tcPr>
            <w:tcW w:w="1764"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废水量</w:t>
            </w:r>
          </w:p>
        </w:tc>
        <w:tc>
          <w:tcPr>
            <w:tcW w:w="801"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t/a</w:t>
            </w:r>
          </w:p>
        </w:tc>
        <w:tc>
          <w:tcPr>
            <w:tcW w:w="1385"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10007.75</w:t>
            </w:r>
          </w:p>
        </w:tc>
        <w:tc>
          <w:tcPr>
            <w:tcW w:w="1493"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lang w:val="en-US" w:eastAsia="zh-CN"/>
              </w:rPr>
              <w:t>0</w:t>
            </w:r>
          </w:p>
        </w:tc>
        <w:tc>
          <w:tcPr>
            <w:tcW w:w="1428" w:type="dxa"/>
            <w:tcBorders>
              <w:tl2br w:val="nil"/>
              <w:tr2bl w:val="nil"/>
            </w:tcBorders>
            <w:vAlign w:val="center"/>
          </w:tcPr>
          <w:p>
            <w:pPr>
              <w:pStyle w:val="44"/>
              <w:ind w:firstLine="0" w:firstLineChars="0"/>
              <w:jc w:val="center"/>
              <w:rPr>
                <w:rFonts w:hint="default" w:ascii="Times New Roman" w:hAnsi="Times New Roman" w:eastAsia="宋体" w:cs="Times New Roman"/>
                <w:color w:val="auto"/>
                <w:sz w:val="21"/>
                <w:szCs w:val="21"/>
                <w:shd w:val="clear" w:color="auto" w:fill="auto"/>
                <w:lang w:val="en-US"/>
              </w:rPr>
            </w:pPr>
            <w:r>
              <w:rPr>
                <w:rFonts w:hint="eastAsia" w:cs="Times New Roman"/>
                <w:color w:val="auto"/>
                <w:sz w:val="21"/>
                <w:szCs w:val="21"/>
                <w:shd w:val="clear" w:color="auto" w:fill="auto"/>
                <w:lang w:val="en-US" w:eastAsia="zh-CN"/>
              </w:rPr>
              <w:t>10007.75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826"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1764"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COD</w:t>
            </w:r>
          </w:p>
        </w:tc>
        <w:tc>
          <w:tcPr>
            <w:tcW w:w="801"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t/a</w:t>
            </w:r>
          </w:p>
        </w:tc>
        <w:tc>
          <w:tcPr>
            <w:tcW w:w="1385"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0.63</w:t>
            </w:r>
          </w:p>
        </w:tc>
        <w:tc>
          <w:tcPr>
            <w:tcW w:w="1493"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lang w:val="en-US" w:eastAsia="zh-CN"/>
              </w:rPr>
              <w:t>0</w:t>
            </w:r>
          </w:p>
        </w:tc>
        <w:tc>
          <w:tcPr>
            <w:tcW w:w="1428" w:type="dxa"/>
            <w:tcBorders>
              <w:tl2br w:val="nil"/>
              <w:tr2bl w:val="nil"/>
            </w:tcBorders>
            <w:vAlign w:val="center"/>
          </w:tcPr>
          <w:p>
            <w:pPr>
              <w:pStyle w:val="44"/>
              <w:ind w:firstLine="0" w:firstLineChars="0"/>
              <w:jc w:val="center"/>
              <w:rPr>
                <w:rFonts w:hint="default" w:ascii="Times New Roman" w:hAnsi="Times New Roman" w:eastAsia="宋体" w:cs="Times New Roman"/>
                <w:color w:val="auto"/>
                <w:sz w:val="21"/>
                <w:szCs w:val="21"/>
                <w:shd w:val="clear" w:color="auto" w:fill="auto"/>
                <w:lang w:val="en-US"/>
              </w:rPr>
            </w:pPr>
            <w:r>
              <w:rPr>
                <w:rFonts w:hint="eastAsia" w:cs="Times New Roman"/>
                <w:color w:val="auto"/>
                <w:sz w:val="21"/>
                <w:szCs w:val="21"/>
                <w:shd w:val="clear" w:color="auto" w:fill="auto"/>
                <w:lang w:val="en-US" w:eastAsia="zh-CN"/>
              </w:rPr>
              <w:t>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826"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1764"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BOD</w:t>
            </w:r>
            <w:r>
              <w:rPr>
                <w:rFonts w:hint="default" w:ascii="Times New Roman" w:hAnsi="Times New Roman" w:eastAsia="宋体" w:cs="Times New Roman"/>
                <w:color w:val="auto"/>
                <w:sz w:val="21"/>
                <w:szCs w:val="21"/>
                <w:shd w:val="clear" w:color="auto" w:fill="auto"/>
                <w:vertAlign w:val="subscript"/>
              </w:rPr>
              <w:t>5</w:t>
            </w:r>
          </w:p>
        </w:tc>
        <w:tc>
          <w:tcPr>
            <w:tcW w:w="801"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t/a</w:t>
            </w:r>
          </w:p>
        </w:tc>
        <w:tc>
          <w:tcPr>
            <w:tcW w:w="1385"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lang w:val="en-US" w:eastAsia="zh-CN"/>
              </w:rPr>
              <w:t>0.</w:t>
            </w:r>
            <w:r>
              <w:rPr>
                <w:rFonts w:hint="eastAsia" w:cs="Times New Roman"/>
                <w:color w:val="auto"/>
                <w:sz w:val="21"/>
                <w:szCs w:val="21"/>
                <w:shd w:val="clear" w:color="auto" w:fill="auto"/>
                <w:lang w:val="en-US" w:eastAsia="zh-CN"/>
              </w:rPr>
              <w:t>38</w:t>
            </w:r>
          </w:p>
        </w:tc>
        <w:tc>
          <w:tcPr>
            <w:tcW w:w="1493" w:type="dxa"/>
            <w:tcBorders>
              <w:tl2br w:val="nil"/>
              <w:tr2bl w:val="nil"/>
            </w:tcBorders>
            <w:vAlign w:val="center"/>
          </w:tcPr>
          <w:p>
            <w:pPr>
              <w:pStyle w:val="44"/>
              <w:jc w:val="center"/>
              <w:rPr>
                <w:rFonts w:hint="eastAsia"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0</w:t>
            </w:r>
          </w:p>
        </w:tc>
        <w:tc>
          <w:tcPr>
            <w:tcW w:w="1428" w:type="dxa"/>
            <w:tcBorders>
              <w:tl2br w:val="nil"/>
              <w:tr2bl w:val="nil"/>
            </w:tcBorders>
            <w:vAlign w:val="center"/>
          </w:tcPr>
          <w:p>
            <w:pPr>
              <w:pStyle w:val="44"/>
              <w:ind w:firstLine="0" w:firstLineChars="0"/>
              <w:jc w:val="center"/>
              <w:rPr>
                <w:rFonts w:hint="default" w:ascii="Times New Roman" w:hAnsi="Times New Roman" w:eastAsia="宋体" w:cs="Times New Roman"/>
                <w:color w:val="auto"/>
                <w:sz w:val="21"/>
                <w:szCs w:val="21"/>
                <w:shd w:val="clear" w:color="auto" w:fill="auto"/>
                <w:lang w:val="en-US"/>
              </w:rPr>
            </w:pPr>
            <w:r>
              <w:rPr>
                <w:rFonts w:hint="default" w:ascii="Times New Roman" w:hAnsi="Times New Roman" w:eastAsia="宋体" w:cs="Times New Roman"/>
                <w:color w:val="auto"/>
                <w:sz w:val="21"/>
                <w:szCs w:val="21"/>
                <w:shd w:val="clear" w:color="auto" w:fill="auto"/>
                <w:lang w:val="en-US" w:eastAsia="zh-CN"/>
              </w:rPr>
              <w:t>0.</w:t>
            </w:r>
            <w:r>
              <w:rPr>
                <w:rFonts w:hint="eastAsia" w:cs="Times New Roman"/>
                <w:color w:val="auto"/>
                <w:sz w:val="21"/>
                <w:szCs w:val="21"/>
                <w:shd w:val="clear" w:color="auto" w:fill="auto"/>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826"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1764"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SS</w:t>
            </w:r>
          </w:p>
        </w:tc>
        <w:tc>
          <w:tcPr>
            <w:tcW w:w="801"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t/a</w:t>
            </w:r>
          </w:p>
        </w:tc>
        <w:tc>
          <w:tcPr>
            <w:tcW w:w="1385"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8.78</w:t>
            </w:r>
          </w:p>
        </w:tc>
        <w:tc>
          <w:tcPr>
            <w:tcW w:w="1493" w:type="dxa"/>
            <w:tcBorders>
              <w:tl2br w:val="nil"/>
              <w:tr2bl w:val="nil"/>
            </w:tcBorders>
            <w:vAlign w:val="center"/>
          </w:tcPr>
          <w:p>
            <w:pPr>
              <w:pStyle w:val="44"/>
              <w:jc w:val="center"/>
              <w:rPr>
                <w:rFonts w:hint="eastAsia"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0</w:t>
            </w:r>
          </w:p>
        </w:tc>
        <w:tc>
          <w:tcPr>
            <w:tcW w:w="1428" w:type="dxa"/>
            <w:tcBorders>
              <w:tl2br w:val="nil"/>
              <w:tr2bl w:val="nil"/>
            </w:tcBorders>
            <w:vAlign w:val="center"/>
          </w:tcPr>
          <w:p>
            <w:pPr>
              <w:pStyle w:val="44"/>
              <w:ind w:firstLine="0" w:firstLineChars="0"/>
              <w:jc w:val="center"/>
              <w:rPr>
                <w:rFonts w:hint="default" w:ascii="Times New Roman" w:hAnsi="Times New Roman" w:eastAsia="宋体" w:cs="Times New Roman"/>
                <w:color w:val="auto"/>
                <w:sz w:val="21"/>
                <w:szCs w:val="21"/>
                <w:shd w:val="clear" w:color="auto" w:fill="auto"/>
                <w:lang w:val="en-US"/>
              </w:rPr>
            </w:pPr>
            <w:r>
              <w:rPr>
                <w:rFonts w:hint="eastAsia" w:cs="Times New Roman"/>
                <w:color w:val="auto"/>
                <w:sz w:val="21"/>
                <w:szCs w:val="21"/>
                <w:shd w:val="clear" w:color="auto" w:fill="auto"/>
                <w:lang w:val="en-US" w:eastAsia="zh-CN"/>
              </w:rPr>
              <w:t>8.78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826"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1764"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NH</w:t>
            </w:r>
            <w:r>
              <w:rPr>
                <w:rFonts w:hint="default" w:ascii="Times New Roman" w:hAnsi="Times New Roman" w:eastAsia="宋体" w:cs="Times New Roman"/>
                <w:color w:val="auto"/>
                <w:sz w:val="21"/>
                <w:szCs w:val="21"/>
                <w:shd w:val="clear" w:color="auto" w:fill="auto"/>
                <w:vertAlign w:val="subscript"/>
              </w:rPr>
              <w:t>3</w:t>
            </w:r>
            <w:r>
              <w:rPr>
                <w:rFonts w:hint="default" w:ascii="Times New Roman" w:hAnsi="Times New Roman" w:eastAsia="宋体" w:cs="Times New Roman"/>
                <w:color w:val="auto"/>
                <w:sz w:val="21"/>
                <w:szCs w:val="21"/>
                <w:shd w:val="clear" w:color="auto" w:fill="auto"/>
              </w:rPr>
              <w:t>-N</w:t>
            </w:r>
          </w:p>
        </w:tc>
        <w:tc>
          <w:tcPr>
            <w:tcW w:w="801"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t/a</w:t>
            </w:r>
          </w:p>
        </w:tc>
        <w:tc>
          <w:tcPr>
            <w:tcW w:w="1385"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0.07</w:t>
            </w:r>
          </w:p>
        </w:tc>
        <w:tc>
          <w:tcPr>
            <w:tcW w:w="1493" w:type="dxa"/>
            <w:tcBorders>
              <w:tl2br w:val="nil"/>
              <w:tr2bl w:val="nil"/>
            </w:tcBorders>
            <w:vAlign w:val="center"/>
          </w:tcPr>
          <w:p>
            <w:pPr>
              <w:pStyle w:val="44"/>
              <w:jc w:val="center"/>
              <w:rPr>
                <w:rFonts w:hint="eastAsia"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0</w:t>
            </w:r>
          </w:p>
        </w:tc>
        <w:tc>
          <w:tcPr>
            <w:tcW w:w="1428" w:type="dxa"/>
            <w:tcBorders>
              <w:tl2br w:val="nil"/>
              <w:tr2bl w:val="nil"/>
            </w:tcBorders>
            <w:vAlign w:val="center"/>
          </w:tcPr>
          <w:p>
            <w:pPr>
              <w:pStyle w:val="44"/>
              <w:ind w:firstLine="0" w:firstLineChars="0"/>
              <w:jc w:val="center"/>
              <w:rPr>
                <w:rFonts w:hint="default" w:ascii="Times New Roman" w:hAnsi="Times New Roman" w:eastAsia="宋体" w:cs="Times New Roman"/>
                <w:color w:val="auto"/>
                <w:sz w:val="21"/>
                <w:szCs w:val="21"/>
                <w:shd w:val="clear" w:color="auto" w:fill="auto"/>
                <w:lang w:val="en-US"/>
              </w:rPr>
            </w:pPr>
            <w:r>
              <w:rPr>
                <w:rFonts w:hint="eastAsia" w:cs="Times New Roman"/>
                <w:color w:val="auto"/>
                <w:sz w:val="21"/>
                <w:szCs w:val="21"/>
                <w:shd w:val="clear" w:color="auto" w:fill="auto"/>
                <w:lang w:val="en-US" w:eastAsia="zh-CN"/>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826"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1764"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石油类</w:t>
            </w:r>
          </w:p>
        </w:tc>
        <w:tc>
          <w:tcPr>
            <w:tcW w:w="801"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t/a</w:t>
            </w:r>
          </w:p>
        </w:tc>
        <w:tc>
          <w:tcPr>
            <w:tcW w:w="1385"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1.41</w:t>
            </w:r>
          </w:p>
        </w:tc>
        <w:tc>
          <w:tcPr>
            <w:tcW w:w="1493" w:type="dxa"/>
            <w:tcBorders>
              <w:tl2br w:val="nil"/>
              <w:tr2bl w:val="nil"/>
            </w:tcBorders>
            <w:vAlign w:val="center"/>
          </w:tcPr>
          <w:p>
            <w:pPr>
              <w:pStyle w:val="44"/>
              <w:jc w:val="center"/>
              <w:rPr>
                <w:rFonts w:hint="eastAsia"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0</w:t>
            </w:r>
          </w:p>
        </w:tc>
        <w:tc>
          <w:tcPr>
            <w:tcW w:w="1428" w:type="dxa"/>
            <w:tcBorders>
              <w:tl2br w:val="nil"/>
              <w:tr2bl w:val="nil"/>
            </w:tcBorders>
            <w:vAlign w:val="center"/>
          </w:tcPr>
          <w:p>
            <w:pPr>
              <w:pStyle w:val="44"/>
              <w:ind w:firstLine="0" w:firstLineChars="0"/>
              <w:jc w:val="center"/>
              <w:rPr>
                <w:rFonts w:hint="default" w:ascii="Times New Roman" w:hAnsi="Times New Roman" w:eastAsia="宋体" w:cs="Times New Roman"/>
                <w:color w:val="auto"/>
                <w:sz w:val="21"/>
                <w:szCs w:val="21"/>
                <w:shd w:val="clear" w:color="auto" w:fill="auto"/>
                <w:lang w:val="en-US"/>
              </w:rPr>
            </w:pPr>
            <w:r>
              <w:rPr>
                <w:rFonts w:hint="eastAsia" w:cs="Times New Roman"/>
                <w:color w:val="auto"/>
                <w:sz w:val="21"/>
                <w:szCs w:val="21"/>
                <w:shd w:val="clear" w:color="auto" w:fill="auto"/>
                <w:lang w:val="en-US" w:eastAsia="zh-CN"/>
              </w:rPr>
              <w:t>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Merge w:val="restart"/>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highlight w:val="none"/>
                <w:shd w:val="clear" w:color="auto" w:fill="auto"/>
              </w:rPr>
              <w:t>固体废弃物</w:t>
            </w:r>
          </w:p>
        </w:tc>
        <w:tc>
          <w:tcPr>
            <w:tcW w:w="826" w:type="dxa"/>
            <w:vMerge w:val="restart"/>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一般固废</w:t>
            </w:r>
          </w:p>
        </w:tc>
        <w:tc>
          <w:tcPr>
            <w:tcW w:w="1764"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lang w:eastAsia="zh-CN"/>
              </w:rPr>
              <w:t>船舶</w:t>
            </w:r>
            <w:r>
              <w:rPr>
                <w:rFonts w:hint="default" w:ascii="Times New Roman" w:hAnsi="Times New Roman" w:eastAsia="宋体" w:cs="Times New Roman"/>
                <w:color w:val="auto"/>
                <w:sz w:val="21"/>
                <w:szCs w:val="21"/>
                <w:shd w:val="clear" w:color="auto" w:fill="auto"/>
              </w:rPr>
              <w:t>生活垃圾</w:t>
            </w:r>
          </w:p>
        </w:tc>
        <w:tc>
          <w:tcPr>
            <w:tcW w:w="801"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t/a</w:t>
            </w:r>
          </w:p>
        </w:tc>
        <w:tc>
          <w:tcPr>
            <w:tcW w:w="1385" w:type="dxa"/>
            <w:tcBorders>
              <w:tl2br w:val="nil"/>
              <w:tr2bl w:val="nil"/>
            </w:tcBorders>
            <w:vAlign w:val="center"/>
          </w:tcPr>
          <w:p>
            <w:pPr>
              <w:pStyle w:val="44"/>
              <w:ind w:firstLine="0" w:firstLineChars="0"/>
              <w:rPr>
                <w:rFonts w:hint="default" w:ascii="Times New Roman" w:hAnsi="Times New Roman" w:eastAsia="宋体" w:cs="Times New Roman"/>
                <w:color w:val="auto"/>
                <w:sz w:val="21"/>
                <w:szCs w:val="21"/>
                <w:shd w:val="clear" w:color="auto" w:fill="auto"/>
                <w:lang w:val="en-US"/>
              </w:rPr>
            </w:pPr>
            <w:r>
              <w:rPr>
                <w:rFonts w:hint="eastAsia" w:cs="Times New Roman"/>
                <w:color w:val="auto"/>
                <w:shd w:val="clear" w:color="auto" w:fill="auto"/>
                <w:lang w:val="en-US" w:eastAsia="zh-CN"/>
              </w:rPr>
              <w:t>24</w:t>
            </w:r>
          </w:p>
        </w:tc>
        <w:tc>
          <w:tcPr>
            <w:tcW w:w="1493"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0</w:t>
            </w:r>
          </w:p>
        </w:tc>
        <w:tc>
          <w:tcPr>
            <w:tcW w:w="1428" w:type="dxa"/>
            <w:tcBorders>
              <w:tl2br w:val="nil"/>
              <w:tr2bl w:val="nil"/>
            </w:tcBorders>
            <w:vAlign w:val="center"/>
          </w:tcPr>
          <w:p>
            <w:pPr>
              <w:pStyle w:val="44"/>
              <w:ind w:firstLine="0" w:firstLineChars="0"/>
              <w:rPr>
                <w:rFonts w:hint="default" w:ascii="Times New Roman" w:hAnsi="Times New Roman" w:eastAsia="宋体" w:cs="Times New Roman"/>
                <w:color w:val="auto"/>
                <w:sz w:val="21"/>
                <w:szCs w:val="21"/>
                <w:shd w:val="clear" w:color="auto" w:fill="auto"/>
              </w:rPr>
            </w:pPr>
            <w:r>
              <w:rPr>
                <w:rFonts w:hint="eastAsia" w:ascii="Times New Roman" w:hAnsi="Times New Roman" w:cs="Times New Roman"/>
                <w:color w:val="auto"/>
                <w:shd w:val="clear" w:color="auto" w:fill="auto"/>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highlight w:val="yellow"/>
                <w:shd w:val="clear" w:color="auto" w:fill="auto"/>
              </w:rPr>
            </w:pPr>
          </w:p>
        </w:tc>
        <w:tc>
          <w:tcPr>
            <w:tcW w:w="826"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1764" w:type="dxa"/>
            <w:tcBorders>
              <w:tl2br w:val="nil"/>
              <w:tr2bl w:val="nil"/>
            </w:tcBorders>
            <w:vAlign w:val="center"/>
          </w:tcPr>
          <w:p>
            <w:pPr>
              <w:pStyle w:val="44"/>
              <w:ind w:firstLine="0" w:firstLineChars="0"/>
              <w:jc w:val="center"/>
              <w:rPr>
                <w:rFonts w:hint="eastAsia" w:ascii="Times New Roman" w:hAnsi="Times New Roman" w:eastAsia="宋体" w:cs="Times New Roman"/>
                <w:color w:val="auto"/>
                <w:sz w:val="21"/>
                <w:szCs w:val="21"/>
                <w:shd w:val="clear" w:color="auto" w:fill="auto"/>
                <w:lang w:eastAsia="zh-CN"/>
              </w:rPr>
            </w:pPr>
            <w:r>
              <w:rPr>
                <w:rFonts w:hint="eastAsia" w:ascii="宋体" w:hAnsi="宋体" w:eastAsia="宋体" w:cs="Times New Roman"/>
                <w:color w:val="auto"/>
                <w:shd w:val="clear" w:color="auto" w:fill="auto"/>
                <w:lang w:val="en-US" w:eastAsia="zh-CN"/>
              </w:rPr>
              <w:t>船舶保养废弃物</w:t>
            </w:r>
          </w:p>
        </w:tc>
        <w:tc>
          <w:tcPr>
            <w:tcW w:w="801" w:type="dxa"/>
            <w:tcBorders>
              <w:tl2br w:val="nil"/>
              <w:tr2bl w:val="nil"/>
            </w:tcBorders>
            <w:vAlign w:val="center"/>
          </w:tcPr>
          <w:p>
            <w:pPr>
              <w:pStyle w:val="44"/>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t/a</w:t>
            </w:r>
          </w:p>
        </w:tc>
        <w:tc>
          <w:tcPr>
            <w:tcW w:w="1385" w:type="dxa"/>
            <w:tcBorders>
              <w:tl2br w:val="nil"/>
              <w:tr2bl w:val="nil"/>
            </w:tcBorders>
            <w:vAlign w:val="center"/>
          </w:tcPr>
          <w:p>
            <w:pPr>
              <w:pStyle w:val="44"/>
              <w:ind w:firstLine="0" w:firstLineChars="0"/>
              <w:rPr>
                <w:rFonts w:hint="default" w:ascii="Times New Roman" w:hAnsi="Times New Roman" w:cs="Times New Roman"/>
                <w:color w:val="auto"/>
                <w:shd w:val="clear" w:color="auto" w:fill="auto"/>
                <w:lang w:val="en-US" w:eastAsia="zh-CN"/>
              </w:rPr>
            </w:pPr>
            <w:r>
              <w:rPr>
                <w:rFonts w:hint="eastAsia" w:cs="Times New Roman"/>
                <w:color w:val="auto"/>
                <w:shd w:val="clear" w:color="auto" w:fill="auto"/>
                <w:lang w:val="en-US" w:eastAsia="zh-CN"/>
              </w:rPr>
              <w:t>32</w:t>
            </w:r>
          </w:p>
        </w:tc>
        <w:tc>
          <w:tcPr>
            <w:tcW w:w="1493" w:type="dxa"/>
            <w:tcBorders>
              <w:tl2br w:val="nil"/>
              <w:tr2bl w:val="nil"/>
            </w:tcBorders>
            <w:vAlign w:val="center"/>
          </w:tcPr>
          <w:p>
            <w:pPr>
              <w:pStyle w:val="44"/>
              <w:ind w:firstLine="0" w:firstLineChars="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0</w:t>
            </w:r>
          </w:p>
        </w:tc>
        <w:tc>
          <w:tcPr>
            <w:tcW w:w="1428" w:type="dxa"/>
            <w:tcBorders>
              <w:tl2br w:val="nil"/>
              <w:tr2bl w:val="nil"/>
            </w:tcBorders>
            <w:vAlign w:val="center"/>
          </w:tcPr>
          <w:p>
            <w:pPr>
              <w:pStyle w:val="44"/>
              <w:ind w:firstLine="0" w:firstLineChars="0"/>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826"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1764" w:type="dxa"/>
            <w:tcBorders>
              <w:tl2br w:val="nil"/>
              <w:tr2bl w:val="nil"/>
            </w:tcBorders>
            <w:vAlign w:val="center"/>
          </w:tcPr>
          <w:p>
            <w:pPr>
              <w:pStyle w:val="44"/>
              <w:ind w:firstLine="0" w:firstLineChars="0"/>
              <w:rPr>
                <w:rFonts w:hint="default" w:ascii="Times New Roman" w:hAnsi="Times New Roman" w:eastAsia="宋体" w:cs="Times New Roman"/>
                <w:color w:val="auto"/>
                <w:sz w:val="21"/>
                <w:szCs w:val="21"/>
                <w:shd w:val="clear" w:color="auto" w:fill="auto"/>
              </w:rPr>
            </w:pPr>
            <w:r>
              <w:rPr>
                <w:rFonts w:hint="eastAsia" w:ascii="宋体" w:hAnsi="宋体"/>
                <w:color w:val="auto"/>
                <w:shd w:val="clear" w:color="auto" w:fill="auto"/>
              </w:rPr>
              <w:t>生活垃圾</w:t>
            </w:r>
          </w:p>
        </w:tc>
        <w:tc>
          <w:tcPr>
            <w:tcW w:w="801"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t/a</w:t>
            </w:r>
          </w:p>
        </w:tc>
        <w:tc>
          <w:tcPr>
            <w:tcW w:w="1385" w:type="dxa"/>
            <w:tcBorders>
              <w:tl2br w:val="nil"/>
              <w:tr2bl w:val="nil"/>
            </w:tcBorders>
            <w:vAlign w:val="center"/>
          </w:tcPr>
          <w:p>
            <w:pPr>
              <w:pStyle w:val="44"/>
              <w:ind w:firstLine="0" w:firstLineChars="0"/>
              <w:rPr>
                <w:rFonts w:hint="default" w:ascii="Times New Roman" w:hAnsi="Times New Roman" w:eastAsia="宋体" w:cs="Times New Roman"/>
                <w:color w:val="auto"/>
                <w:sz w:val="21"/>
                <w:szCs w:val="21"/>
                <w:shd w:val="clear" w:color="auto" w:fill="auto"/>
                <w:lang w:val="en-US"/>
              </w:rPr>
            </w:pPr>
            <w:r>
              <w:rPr>
                <w:rFonts w:hint="eastAsia" w:cs="Times New Roman"/>
                <w:color w:val="auto"/>
                <w:shd w:val="clear" w:color="auto" w:fill="auto"/>
                <w:lang w:val="en-US" w:eastAsia="zh-CN"/>
              </w:rPr>
              <w:t>9.92</w:t>
            </w:r>
          </w:p>
        </w:tc>
        <w:tc>
          <w:tcPr>
            <w:tcW w:w="1493" w:type="dxa"/>
            <w:tcBorders>
              <w:tl2br w:val="nil"/>
              <w:tr2bl w:val="nil"/>
            </w:tcBorders>
            <w:vAlign w:val="center"/>
          </w:tcPr>
          <w:p>
            <w:pPr>
              <w:pStyle w:val="44"/>
              <w:jc w:val="center"/>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0</w:t>
            </w:r>
          </w:p>
        </w:tc>
        <w:tc>
          <w:tcPr>
            <w:tcW w:w="1428" w:type="dxa"/>
            <w:tcBorders>
              <w:tl2br w:val="nil"/>
              <w:tr2bl w:val="nil"/>
            </w:tcBorders>
            <w:vAlign w:val="center"/>
          </w:tcPr>
          <w:p>
            <w:pPr>
              <w:pStyle w:val="44"/>
              <w:ind w:firstLine="0" w:firstLineChars="0"/>
              <w:rPr>
                <w:rFonts w:hint="default" w:ascii="Times New Roman" w:hAnsi="Times New Roman" w:eastAsia="宋体" w:cs="Times New Roman"/>
                <w:color w:val="auto"/>
                <w:sz w:val="21"/>
                <w:szCs w:val="21"/>
                <w:shd w:val="clear" w:color="auto" w:fill="auto"/>
              </w:rPr>
            </w:pPr>
            <w:r>
              <w:rPr>
                <w:rFonts w:hint="eastAsia" w:ascii="Times New Roman" w:hAnsi="Times New Roman" w:cs="Times New Roman"/>
                <w:color w:val="auto"/>
                <w:shd w:val="clear" w:color="auto" w:fill="auto"/>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826"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1764" w:type="dxa"/>
            <w:tcBorders>
              <w:tl2br w:val="nil"/>
              <w:tr2bl w:val="nil"/>
            </w:tcBorders>
            <w:vAlign w:val="center"/>
          </w:tcPr>
          <w:p>
            <w:pPr>
              <w:pStyle w:val="44"/>
              <w:ind w:firstLine="0" w:firstLineChars="0"/>
              <w:rPr>
                <w:rFonts w:hint="default" w:ascii="Times New Roman" w:hAnsi="Times New Roman" w:eastAsia="宋体" w:cs="Times New Roman"/>
                <w:color w:val="auto"/>
                <w:sz w:val="21"/>
                <w:szCs w:val="21"/>
                <w:shd w:val="clear" w:color="auto" w:fill="auto"/>
              </w:rPr>
            </w:pPr>
            <w:r>
              <w:rPr>
                <w:rFonts w:hint="eastAsia" w:ascii="宋体" w:hAnsi="宋体"/>
                <w:color w:val="auto"/>
                <w:shd w:val="clear" w:color="auto" w:fill="auto"/>
              </w:rPr>
              <w:t>沉淀池污泥</w:t>
            </w:r>
          </w:p>
        </w:tc>
        <w:tc>
          <w:tcPr>
            <w:tcW w:w="801"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t/a</w:t>
            </w:r>
          </w:p>
        </w:tc>
        <w:tc>
          <w:tcPr>
            <w:tcW w:w="1385" w:type="dxa"/>
            <w:tcBorders>
              <w:tl2br w:val="nil"/>
              <w:tr2bl w:val="nil"/>
            </w:tcBorders>
            <w:vAlign w:val="center"/>
          </w:tcPr>
          <w:p>
            <w:pPr>
              <w:pStyle w:val="44"/>
              <w:ind w:firstLine="0" w:firstLineChars="0"/>
              <w:rPr>
                <w:rFonts w:hint="default" w:ascii="Times New Roman" w:hAnsi="Times New Roman" w:eastAsia="宋体" w:cs="Times New Roman"/>
                <w:color w:val="auto"/>
                <w:sz w:val="21"/>
                <w:szCs w:val="21"/>
                <w:shd w:val="clear" w:color="auto" w:fill="auto"/>
                <w:lang w:val="en-US"/>
              </w:rPr>
            </w:pPr>
            <w:r>
              <w:rPr>
                <w:rFonts w:hint="eastAsia" w:cs="Times New Roman"/>
                <w:color w:val="auto"/>
                <w:shd w:val="clear" w:color="auto" w:fill="auto"/>
                <w:lang w:val="en-US" w:eastAsia="zh-CN"/>
              </w:rPr>
              <w:t>37.7</w:t>
            </w:r>
          </w:p>
        </w:tc>
        <w:tc>
          <w:tcPr>
            <w:tcW w:w="1493" w:type="dxa"/>
            <w:tcBorders>
              <w:tl2br w:val="nil"/>
              <w:tr2bl w:val="nil"/>
            </w:tcBorders>
            <w:vAlign w:val="center"/>
          </w:tcPr>
          <w:p>
            <w:pPr>
              <w:pStyle w:val="44"/>
              <w:jc w:val="center"/>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0</w:t>
            </w:r>
          </w:p>
        </w:tc>
        <w:tc>
          <w:tcPr>
            <w:tcW w:w="1428" w:type="dxa"/>
            <w:tcBorders>
              <w:tl2br w:val="nil"/>
              <w:tr2bl w:val="nil"/>
            </w:tcBorders>
            <w:vAlign w:val="center"/>
          </w:tcPr>
          <w:p>
            <w:pPr>
              <w:pStyle w:val="44"/>
              <w:ind w:firstLine="0" w:firstLineChars="0"/>
              <w:rPr>
                <w:rFonts w:hint="default" w:ascii="Times New Roman" w:hAnsi="Times New Roman" w:eastAsia="宋体" w:cs="Times New Roman"/>
                <w:color w:val="auto"/>
                <w:sz w:val="21"/>
                <w:szCs w:val="21"/>
                <w:shd w:val="clear" w:color="auto" w:fill="auto"/>
                <w:lang w:val="en-US"/>
              </w:rPr>
            </w:pPr>
            <w:r>
              <w:rPr>
                <w:rFonts w:hint="eastAsia" w:cs="Times New Roman"/>
                <w:color w:val="auto"/>
                <w:shd w:val="clear" w:color="auto" w:fill="auto"/>
                <w:lang w:val="en-US" w:eastAsia="zh-CN"/>
              </w:rPr>
              <w:t>37.7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Merge w:val="continue"/>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p>
        </w:tc>
        <w:tc>
          <w:tcPr>
            <w:tcW w:w="826"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危废</w:t>
            </w:r>
          </w:p>
        </w:tc>
        <w:tc>
          <w:tcPr>
            <w:tcW w:w="1764"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lang w:val="en-US" w:eastAsia="zh-CN"/>
              </w:rPr>
              <w:t>隔油</w:t>
            </w:r>
            <w:r>
              <w:rPr>
                <w:rFonts w:hint="eastAsia" w:cs="Times New Roman"/>
                <w:color w:val="auto"/>
                <w:sz w:val="21"/>
                <w:szCs w:val="21"/>
                <w:shd w:val="clear" w:color="auto" w:fill="auto"/>
                <w:lang w:val="en-US" w:eastAsia="zh-CN"/>
              </w:rPr>
              <w:t>沉淀</w:t>
            </w:r>
            <w:r>
              <w:rPr>
                <w:rFonts w:hint="default" w:ascii="Times New Roman" w:hAnsi="Times New Roman" w:eastAsia="宋体" w:cs="Times New Roman"/>
                <w:color w:val="auto"/>
                <w:sz w:val="21"/>
                <w:szCs w:val="21"/>
                <w:shd w:val="clear" w:color="auto" w:fill="auto"/>
                <w:lang w:val="en-US" w:eastAsia="zh-CN"/>
              </w:rPr>
              <w:t>池浮油</w:t>
            </w:r>
          </w:p>
        </w:tc>
        <w:tc>
          <w:tcPr>
            <w:tcW w:w="801"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t/a</w:t>
            </w:r>
          </w:p>
        </w:tc>
        <w:tc>
          <w:tcPr>
            <w:tcW w:w="1385"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rPr>
              <w:t>0.</w:t>
            </w:r>
            <w:r>
              <w:rPr>
                <w:rFonts w:hint="default" w:ascii="Times New Roman" w:hAnsi="Times New Roman" w:eastAsia="宋体" w:cs="Times New Roman"/>
                <w:color w:val="auto"/>
                <w:sz w:val="21"/>
                <w:szCs w:val="21"/>
                <w:shd w:val="clear" w:color="auto" w:fill="auto"/>
                <w:lang w:val="en-US" w:eastAsia="zh-CN"/>
              </w:rPr>
              <w:t>1</w:t>
            </w:r>
            <w:r>
              <w:rPr>
                <w:rFonts w:hint="eastAsia" w:cs="Times New Roman"/>
                <w:color w:val="auto"/>
                <w:sz w:val="21"/>
                <w:szCs w:val="21"/>
                <w:shd w:val="clear" w:color="auto" w:fill="auto"/>
                <w:lang w:val="en-US" w:eastAsia="zh-CN"/>
              </w:rPr>
              <w:t>3</w:t>
            </w:r>
          </w:p>
        </w:tc>
        <w:tc>
          <w:tcPr>
            <w:tcW w:w="1493"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0</w:t>
            </w:r>
          </w:p>
        </w:tc>
        <w:tc>
          <w:tcPr>
            <w:tcW w:w="1428" w:type="dxa"/>
            <w:tcBorders>
              <w:tl2br w:val="nil"/>
              <w:tr2bl w:val="nil"/>
            </w:tcBorders>
            <w:vAlign w:val="center"/>
          </w:tcPr>
          <w:p>
            <w:pPr>
              <w:pStyle w:val="44"/>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rPr>
              <w:t>0.</w:t>
            </w:r>
            <w:r>
              <w:rPr>
                <w:rFonts w:hint="default" w:ascii="Times New Roman" w:hAnsi="Times New Roman" w:eastAsia="宋体" w:cs="Times New Roman"/>
                <w:color w:val="auto"/>
                <w:sz w:val="21"/>
                <w:szCs w:val="21"/>
                <w:shd w:val="clear" w:color="auto" w:fill="auto"/>
                <w:lang w:val="en-US" w:eastAsia="zh-CN"/>
              </w:rPr>
              <w:t>1</w:t>
            </w:r>
            <w:r>
              <w:rPr>
                <w:rFonts w:hint="eastAsia" w:cs="Times New Roman"/>
                <w:color w:val="auto"/>
                <w:sz w:val="21"/>
                <w:szCs w:val="21"/>
                <w:shd w:val="clear" w:color="auto" w:fill="auto"/>
                <w:lang w:val="en-US" w:eastAsia="zh-CN"/>
              </w:rPr>
              <w:t>3</w:t>
            </w:r>
          </w:p>
        </w:tc>
      </w:tr>
    </w:tbl>
    <w:p>
      <w:pPr>
        <w:pStyle w:val="3"/>
        <w:rPr>
          <w:color w:val="auto"/>
          <w:shd w:val="clear" w:color="auto" w:fill="auto"/>
        </w:rPr>
      </w:pPr>
      <w:bookmarkStart w:id="235" w:name="_Toc17221"/>
      <w:r>
        <w:rPr>
          <w:rFonts w:hint="eastAsia"/>
          <w:color w:val="auto"/>
          <w:shd w:val="clear" w:color="auto" w:fill="auto"/>
          <w:lang w:val="en-US" w:eastAsia="zh-CN"/>
        </w:rPr>
        <w:t>第3章</w:t>
      </w:r>
      <w:r>
        <w:rPr>
          <w:rFonts w:hint="eastAsia"/>
          <w:color w:val="auto"/>
          <w:shd w:val="clear" w:color="auto" w:fill="auto"/>
        </w:rPr>
        <w:t xml:space="preserve"> </w:t>
      </w:r>
      <w:bookmarkStart w:id="236" w:name="_Toc9955_WPSOffice_Level1"/>
      <w:bookmarkStart w:id="237" w:name="_Toc8379_WPSOffice_Level1"/>
      <w:r>
        <w:rPr>
          <w:rFonts w:hint="eastAsia"/>
          <w:color w:val="auto"/>
          <w:shd w:val="clear" w:color="auto" w:fill="auto"/>
        </w:rPr>
        <w:t>环境质量现状调查与评价</w:t>
      </w:r>
      <w:bookmarkEnd w:id="235"/>
      <w:bookmarkEnd w:id="236"/>
      <w:bookmarkEnd w:id="237"/>
    </w:p>
    <w:p>
      <w:pPr>
        <w:pStyle w:val="4"/>
        <w:spacing w:before="156" w:after="156"/>
        <w:rPr>
          <w:color w:val="auto"/>
          <w:shd w:val="clear" w:color="auto" w:fill="auto"/>
        </w:rPr>
      </w:pPr>
      <w:bookmarkStart w:id="238" w:name="_Toc20663_WPSOffice_Level2"/>
      <w:bookmarkStart w:id="239" w:name="_Toc3965_WPSOffice_Level2"/>
      <w:bookmarkStart w:id="240" w:name="_Toc28251"/>
      <w:r>
        <w:rPr>
          <w:rFonts w:hint="eastAsia"/>
          <w:color w:val="auto"/>
          <w:shd w:val="clear" w:color="auto" w:fill="auto"/>
          <w:lang w:val="en-US" w:eastAsia="zh-CN"/>
        </w:rPr>
        <w:t>3</w:t>
      </w:r>
      <w:r>
        <w:rPr>
          <w:rFonts w:hint="eastAsia"/>
          <w:color w:val="auto"/>
          <w:shd w:val="clear" w:color="auto" w:fill="auto"/>
        </w:rPr>
        <w:t>.1 自然环境概况</w:t>
      </w:r>
      <w:bookmarkEnd w:id="238"/>
      <w:bookmarkEnd w:id="239"/>
      <w:bookmarkEnd w:id="240"/>
    </w:p>
    <w:p>
      <w:pPr>
        <w:pStyle w:val="5"/>
        <w:rPr>
          <w:color w:val="auto"/>
          <w:shd w:val="clear" w:color="auto" w:fill="auto"/>
        </w:rPr>
      </w:pPr>
      <w:r>
        <w:rPr>
          <w:rFonts w:hint="eastAsia"/>
          <w:color w:val="auto"/>
          <w:shd w:val="clear" w:color="auto" w:fill="auto"/>
          <w:lang w:val="en-US" w:eastAsia="zh-CN"/>
        </w:rPr>
        <w:t>3</w:t>
      </w:r>
      <w:r>
        <w:rPr>
          <w:rFonts w:hint="eastAsia"/>
          <w:color w:val="auto"/>
          <w:shd w:val="clear" w:color="auto" w:fill="auto"/>
        </w:rPr>
        <w:t>.1.1 地理位置</w:t>
      </w:r>
    </w:p>
    <w:p>
      <w:pPr>
        <w:bidi w:val="0"/>
        <w:rPr>
          <w:rFonts w:hint="eastAsia" w:eastAsia="宋体"/>
          <w:color w:val="auto"/>
          <w:shd w:val="clear" w:color="auto" w:fill="auto"/>
          <w:lang w:eastAsia="zh-CN"/>
        </w:rPr>
      </w:pPr>
      <w:r>
        <w:rPr>
          <w:rFonts w:hint="eastAsia"/>
          <w:color w:val="auto"/>
          <w:shd w:val="clear" w:color="auto" w:fill="auto"/>
        </w:rPr>
        <w:t>太和县位于安徽省西北部，东临涡阳、利辛，南抵阜阳，西接界首，西南与临泉相接，北与</w:t>
      </w:r>
      <w:r>
        <w:rPr>
          <w:rFonts w:hint="eastAsia"/>
          <w:color w:val="auto"/>
          <w:shd w:val="clear" w:color="auto" w:fill="auto"/>
          <w:lang w:eastAsia="zh-CN"/>
        </w:rPr>
        <w:t>阜阳</w:t>
      </w:r>
      <w:r>
        <w:rPr>
          <w:rFonts w:hint="eastAsia"/>
          <w:color w:val="auto"/>
          <w:shd w:val="clear" w:color="auto" w:fill="auto"/>
        </w:rPr>
        <w:t>市谯城区为邻，西北与河南省郸城接壤。县境介于东经115°25′</w:t>
      </w:r>
      <w:r>
        <w:rPr>
          <w:rFonts w:hint="eastAsia"/>
          <w:color w:val="auto"/>
          <w:shd w:val="clear" w:color="auto" w:fill="auto"/>
          <w:lang w:val="en-US" w:eastAsia="zh-CN"/>
        </w:rPr>
        <w:t>~</w:t>
      </w:r>
      <w:r>
        <w:rPr>
          <w:rFonts w:hint="eastAsia"/>
          <w:color w:val="auto"/>
          <w:shd w:val="clear" w:color="auto" w:fill="auto"/>
        </w:rPr>
        <w:t>115°55′，北纬33°04′</w:t>
      </w:r>
      <w:r>
        <w:rPr>
          <w:rFonts w:hint="eastAsia"/>
          <w:color w:val="auto"/>
          <w:shd w:val="clear" w:color="auto" w:fill="auto"/>
          <w:lang w:val="en-US" w:eastAsia="zh-CN"/>
        </w:rPr>
        <w:t>~</w:t>
      </w:r>
      <w:r>
        <w:rPr>
          <w:rFonts w:hint="eastAsia"/>
          <w:color w:val="auto"/>
          <w:shd w:val="clear" w:color="auto" w:fill="auto"/>
        </w:rPr>
        <w:t>33°35′之间，总面积1822平方千米。东南经凤台、淮南去合肥224千米，西北经淮阳、西华去郑州307千米。东去津浦路至蚌埠209千米，西去平汉路之漯河210千米。太和县境南北长52千米、东西宽60千米</w:t>
      </w:r>
      <w:r>
        <w:rPr>
          <w:rFonts w:hint="eastAsia"/>
          <w:color w:val="auto"/>
          <w:shd w:val="clear" w:color="auto" w:fill="auto"/>
          <w:lang w:eastAsia="zh-CN"/>
        </w:rPr>
        <w:t>。</w:t>
      </w:r>
    </w:p>
    <w:p>
      <w:pPr>
        <w:bidi w:val="0"/>
        <w:rPr>
          <w:rFonts w:hint="eastAsia"/>
          <w:color w:val="auto"/>
          <w:shd w:val="clear" w:color="auto" w:fill="auto"/>
          <w:lang w:val="en-US" w:eastAsia="zh-CN"/>
        </w:rPr>
      </w:pPr>
      <w:r>
        <w:rPr>
          <w:rFonts w:hint="eastAsia"/>
          <w:color w:val="auto"/>
          <w:shd w:val="clear" w:color="auto" w:fill="auto"/>
        </w:rPr>
        <w:t>拟建</w:t>
      </w:r>
      <w:r>
        <w:rPr>
          <w:rFonts w:hint="eastAsia"/>
          <w:color w:val="auto"/>
          <w:shd w:val="clear" w:color="auto" w:fill="auto"/>
          <w:lang w:eastAsia="zh-CN"/>
        </w:rPr>
        <w:t>阜阳港太和港区陶庙作业区码头工程</w:t>
      </w:r>
      <w:r>
        <w:rPr>
          <w:rFonts w:hint="eastAsia"/>
          <w:color w:val="auto"/>
          <w:shd w:val="clear" w:color="auto" w:fill="auto"/>
        </w:rPr>
        <w:t>位于</w:t>
      </w:r>
      <w:r>
        <w:rPr>
          <w:rFonts w:hint="eastAsia"/>
          <w:color w:val="auto"/>
          <w:shd w:val="clear" w:color="auto" w:fill="auto"/>
          <w:lang w:eastAsia="zh-CN"/>
        </w:rPr>
        <w:t>太和</w:t>
      </w:r>
      <w:r>
        <w:rPr>
          <w:rFonts w:hint="eastAsia"/>
          <w:color w:val="auto"/>
          <w:shd w:val="clear" w:color="auto" w:fill="auto"/>
        </w:rPr>
        <w:t>县</w:t>
      </w:r>
      <w:r>
        <w:rPr>
          <w:rFonts w:hint="eastAsia"/>
          <w:color w:val="auto"/>
          <w:shd w:val="clear" w:color="auto" w:fill="auto"/>
          <w:lang w:eastAsia="zh-CN"/>
        </w:rPr>
        <w:t>城关镇陶桥村上游沙颍河北岸</w:t>
      </w:r>
      <w:r>
        <w:rPr>
          <w:rFonts w:hint="eastAsia"/>
          <w:color w:val="auto"/>
          <w:shd w:val="clear" w:color="auto" w:fill="auto"/>
        </w:rPr>
        <w:t>，</w:t>
      </w:r>
      <w:r>
        <w:rPr>
          <w:rFonts w:hint="eastAsia"/>
          <w:color w:val="auto"/>
          <w:shd w:val="clear" w:color="auto" w:fill="auto"/>
          <w:lang w:eastAsia="zh-CN"/>
        </w:rPr>
        <w:t>阜阳港太和港区陶庙作业区</w:t>
      </w:r>
      <w:r>
        <w:rPr>
          <w:rFonts w:hint="eastAsia"/>
          <w:color w:val="auto"/>
          <w:shd w:val="clear" w:color="auto" w:fill="auto"/>
        </w:rPr>
        <w:t>，上距</w:t>
      </w:r>
      <w:r>
        <w:rPr>
          <w:rFonts w:hint="eastAsia"/>
          <w:color w:val="auto"/>
          <w:shd w:val="clear" w:color="auto" w:fill="auto"/>
          <w:lang w:eastAsia="zh-CN"/>
        </w:rPr>
        <w:t>太和二桥</w:t>
      </w:r>
      <w:r>
        <w:rPr>
          <w:rFonts w:hint="eastAsia"/>
          <w:color w:val="auto"/>
          <w:shd w:val="clear" w:color="auto" w:fill="auto"/>
        </w:rPr>
        <w:t>约</w:t>
      </w:r>
      <w:r>
        <w:rPr>
          <w:rFonts w:hint="eastAsia"/>
          <w:color w:val="auto"/>
          <w:shd w:val="clear" w:color="auto" w:fill="auto"/>
          <w:lang w:eastAsia="zh-CN"/>
        </w:rPr>
        <w:t>1.8km处</w:t>
      </w:r>
      <w:r>
        <w:rPr>
          <w:rFonts w:hint="eastAsia"/>
          <w:color w:val="auto"/>
          <w:shd w:val="clear" w:color="auto" w:fill="auto"/>
        </w:rPr>
        <w:t>。</w:t>
      </w:r>
      <w:r>
        <w:rPr>
          <w:rFonts w:hint="eastAsia"/>
          <w:color w:val="auto"/>
          <w:shd w:val="clear" w:color="auto" w:fill="auto"/>
          <w:lang w:eastAsia="zh-CN"/>
        </w:rPr>
        <w:t>中心坐标：115°38'05.88"</w:t>
      </w:r>
      <w:r>
        <w:rPr>
          <w:rFonts w:hint="eastAsia"/>
          <w:color w:val="auto"/>
          <w:shd w:val="clear" w:color="auto" w:fill="auto"/>
          <w:lang w:val="en-US" w:eastAsia="zh-CN"/>
        </w:rPr>
        <w:t>E，33°08'06.26"N。</w:t>
      </w:r>
    </w:p>
    <w:p>
      <w:pPr>
        <w:pStyle w:val="2"/>
        <w:rPr>
          <w:rFonts w:hint="default"/>
          <w:lang w:val="en-US" w:eastAsia="zh-CN"/>
        </w:rPr>
      </w:pPr>
      <w:r>
        <w:drawing>
          <wp:inline distT="0" distB="0" distL="114300" distR="114300">
            <wp:extent cx="5268595" cy="3543300"/>
            <wp:effectExtent l="0" t="0" r="8255" b="0"/>
            <wp:docPr id="16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5"/>
                    <pic:cNvPicPr>
                      <a:picLocks noChangeAspect="1"/>
                    </pic:cNvPicPr>
                  </pic:nvPicPr>
                  <pic:blipFill>
                    <a:blip r:embed="rId28"/>
                    <a:stretch>
                      <a:fillRect/>
                    </a:stretch>
                  </pic:blipFill>
                  <pic:spPr>
                    <a:xfrm>
                      <a:off x="0" y="0"/>
                      <a:ext cx="5268595" cy="3543300"/>
                    </a:xfrm>
                    <a:prstGeom prst="rect">
                      <a:avLst/>
                    </a:prstGeom>
                    <a:noFill/>
                    <a:ln>
                      <a:noFill/>
                    </a:ln>
                  </pic:spPr>
                </pic:pic>
              </a:graphicData>
            </a:graphic>
          </wp:inline>
        </w:drawing>
      </w:r>
    </w:p>
    <w:p>
      <w:pPr>
        <w:keepNext w:val="0"/>
        <w:keepLines w:val="0"/>
        <w:widowControl/>
        <w:suppressLineNumbers w:val="0"/>
        <w:ind w:left="0" w:leftChars="0" w:firstLine="0" w:firstLineChars="0"/>
        <w:jc w:val="center"/>
        <w:rPr>
          <w:rFonts w:hint="eastAsia" w:eastAsia="黑体"/>
          <w:color w:val="auto"/>
          <w:shd w:val="clear" w:color="auto" w:fill="auto"/>
        </w:rPr>
      </w:pPr>
      <w:r>
        <w:rPr>
          <w:rFonts w:hint="eastAsia" w:eastAsia="黑体"/>
          <w:color w:val="auto"/>
          <w:shd w:val="clear" w:color="auto" w:fill="auto"/>
        </w:rPr>
        <w:t>图</w:t>
      </w:r>
      <w:r>
        <w:rPr>
          <w:rFonts w:hint="eastAsia" w:eastAsia="黑体"/>
          <w:color w:val="auto"/>
          <w:shd w:val="clear" w:color="auto" w:fill="auto"/>
          <w:lang w:val="en-US" w:eastAsia="zh-CN"/>
        </w:rPr>
        <w:t>3</w:t>
      </w:r>
      <w:r>
        <w:rPr>
          <w:rFonts w:hint="eastAsia" w:eastAsia="黑体"/>
          <w:color w:val="auto"/>
          <w:shd w:val="clear" w:color="auto" w:fill="auto"/>
        </w:rPr>
        <w:t>.1-1 工程地理位置图</w:t>
      </w:r>
    </w:p>
    <w:p>
      <w:pPr>
        <w:pStyle w:val="5"/>
        <w:rPr>
          <w:rFonts w:hint="eastAsia"/>
          <w:color w:val="auto"/>
          <w:shd w:val="clear" w:color="auto" w:fill="auto"/>
        </w:rPr>
      </w:pPr>
      <w:r>
        <w:rPr>
          <w:rFonts w:hint="eastAsia"/>
          <w:color w:val="auto"/>
          <w:shd w:val="clear" w:color="auto" w:fill="auto"/>
          <w:lang w:val="en-US" w:eastAsia="zh-CN"/>
        </w:rPr>
        <w:t>3</w:t>
      </w:r>
      <w:r>
        <w:rPr>
          <w:rFonts w:hint="eastAsia"/>
          <w:color w:val="auto"/>
          <w:shd w:val="clear" w:color="auto" w:fill="auto"/>
        </w:rPr>
        <w:t>.1.2 气候、气象</w:t>
      </w:r>
    </w:p>
    <w:p>
      <w:pPr>
        <w:ind w:firstLine="480"/>
        <w:rPr>
          <w:rFonts w:hint="eastAsia" w:cs="Times New Roman"/>
          <w:color w:val="auto"/>
          <w:shd w:val="clear" w:color="auto" w:fill="auto"/>
        </w:rPr>
      </w:pPr>
      <w:r>
        <w:rPr>
          <w:rFonts w:hint="eastAsia" w:cs="Times New Roman"/>
          <w:color w:val="auto"/>
          <w:shd w:val="clear" w:color="auto" w:fill="auto"/>
        </w:rPr>
        <w:t>太和县地处亚洲大陆东部，气候按中国自然区划分为东部季风暖温带半温润地区，又接近北亚热带气候，实质是两种气候的缓冲区。其特点是季风气候明显，四季分明，光照充足，气候温和，雨量适中，无霜期长。但因处在两种气候的缓冲区，天气往往变化无常，低温、连阴雨、旱、涝、冰雹、霜冻和大风等自然灾害时有出现，给农业生产造成不利影响。气温：年平均14.9℃。1月份最冷，平均0.7℃，7月份最热，平均27.9℃，年温差27.2℃。1959年至1985年极端最高气温40.8℃。极端最低气温为－21.3℃，最高和最低温差62.1℃。太和县1959年至1985年的气象记录最低气温低于－20℃的年份有5年，最高气温超过40℃的年份也有5年。</w:t>
      </w:r>
    </w:p>
    <w:p>
      <w:pPr>
        <w:pStyle w:val="5"/>
        <w:rPr>
          <w:color w:val="auto"/>
          <w:shd w:val="clear" w:color="auto" w:fill="auto"/>
        </w:rPr>
      </w:pPr>
      <w:r>
        <w:rPr>
          <w:rFonts w:hint="eastAsia"/>
          <w:color w:val="auto"/>
          <w:shd w:val="clear" w:color="auto" w:fill="auto"/>
          <w:lang w:val="en-US" w:eastAsia="zh-CN"/>
        </w:rPr>
        <w:t>3</w:t>
      </w:r>
      <w:r>
        <w:rPr>
          <w:rFonts w:hint="eastAsia"/>
          <w:color w:val="auto"/>
          <w:shd w:val="clear" w:color="auto" w:fill="auto"/>
        </w:rPr>
        <w:t>.1.3 地表水系</w:t>
      </w:r>
    </w:p>
    <w:p>
      <w:pPr>
        <w:ind w:firstLine="480"/>
        <w:rPr>
          <w:rFonts w:hint="eastAsia"/>
          <w:color w:val="auto"/>
          <w:shd w:val="clear" w:color="auto" w:fill="auto"/>
        </w:rPr>
      </w:pPr>
      <w:r>
        <w:rPr>
          <w:rFonts w:hint="eastAsia"/>
          <w:color w:val="auto"/>
          <w:shd w:val="clear" w:color="auto" w:fill="auto"/>
        </w:rPr>
        <w:t>阜阳市水系属淮河流域，境内大小河流均为淮河支流。据统计，阜阳市有240多条大小河、沟，小型湖泊2个，池塘3万多个。但受气候和自然生态环境的影响，天然降水随年际和季节变化大，多数河流呈季节性断流。</w:t>
      </w:r>
    </w:p>
    <w:p>
      <w:pPr>
        <w:ind w:firstLine="480"/>
        <w:rPr>
          <w:rFonts w:hint="eastAsia"/>
          <w:color w:val="auto"/>
          <w:shd w:val="clear" w:color="auto" w:fill="auto"/>
        </w:rPr>
      </w:pPr>
      <w:r>
        <w:rPr>
          <w:rFonts w:hint="eastAsia"/>
          <w:color w:val="auto"/>
          <w:shd w:val="clear" w:color="auto" w:fill="auto"/>
        </w:rPr>
        <w:t>太和县境内有</w:t>
      </w:r>
      <w:r>
        <w:rPr>
          <w:rFonts w:hint="eastAsia"/>
          <w:color w:val="auto"/>
          <w:shd w:val="clear" w:color="auto" w:fill="auto"/>
          <w:lang w:eastAsia="zh-CN"/>
        </w:rPr>
        <w:t>沙颍河</w:t>
      </w:r>
      <w:r>
        <w:rPr>
          <w:rFonts w:hint="eastAsia"/>
          <w:color w:val="auto"/>
          <w:shd w:val="clear" w:color="auto" w:fill="auto"/>
        </w:rPr>
        <w:t>、茨河、西淝河等河流，其中</w:t>
      </w:r>
      <w:r>
        <w:rPr>
          <w:rFonts w:hint="eastAsia"/>
          <w:color w:val="auto"/>
          <w:shd w:val="clear" w:color="auto" w:fill="auto"/>
          <w:lang w:eastAsia="zh-CN"/>
        </w:rPr>
        <w:t>沙颍河</w:t>
      </w:r>
      <w:r>
        <w:rPr>
          <w:rFonts w:hint="eastAsia"/>
          <w:color w:val="auto"/>
          <w:shd w:val="clear" w:color="auto" w:fill="auto"/>
        </w:rPr>
        <w:t>是淮河的主要支流，</w:t>
      </w:r>
      <w:r>
        <w:rPr>
          <w:rFonts w:hint="eastAsia"/>
          <w:color w:val="auto"/>
          <w:shd w:val="clear" w:color="auto" w:fill="auto"/>
          <w:lang w:eastAsia="zh-CN"/>
        </w:rPr>
        <w:t>沙颍河</w:t>
      </w:r>
      <w:r>
        <w:rPr>
          <w:rFonts w:hint="eastAsia"/>
          <w:color w:val="auto"/>
          <w:shd w:val="clear" w:color="auto" w:fill="auto"/>
        </w:rPr>
        <w:t>、茨河、西淝河等平均径流量56.92亿立方米，年均径流深度为200毫米。</w:t>
      </w:r>
    </w:p>
    <w:p>
      <w:pPr>
        <w:ind w:firstLine="480"/>
        <w:rPr>
          <w:rFonts w:hint="eastAsia" w:cs="Times New Roman"/>
          <w:color w:val="auto"/>
          <w:shd w:val="clear" w:color="auto" w:fill="auto"/>
        </w:rPr>
      </w:pPr>
      <w:r>
        <w:rPr>
          <w:rFonts w:hint="eastAsia"/>
          <w:color w:val="auto"/>
          <w:shd w:val="clear" w:color="auto" w:fill="auto"/>
          <w:lang w:eastAsia="zh-CN"/>
        </w:rPr>
        <w:t>沙颍河</w:t>
      </w:r>
      <w:r>
        <w:rPr>
          <w:rFonts w:hint="eastAsia"/>
          <w:color w:val="auto"/>
          <w:shd w:val="clear" w:color="auto" w:fill="auto"/>
        </w:rPr>
        <w:t>发源于河南省外方山及伏牛山区，从界首入境，于颍上县沫河口入淮河，是淮河最大的一级支流。</w:t>
      </w:r>
      <w:r>
        <w:rPr>
          <w:rFonts w:hint="eastAsia"/>
          <w:color w:val="auto"/>
          <w:shd w:val="clear" w:color="auto" w:fill="auto"/>
          <w:lang w:eastAsia="zh-CN"/>
        </w:rPr>
        <w:t>沙颍河</w:t>
      </w:r>
      <w:r>
        <w:rPr>
          <w:rFonts w:hint="eastAsia"/>
          <w:color w:val="auto"/>
          <w:shd w:val="clear" w:color="auto" w:fill="auto"/>
        </w:rPr>
        <w:t>全长610公里，流域面积39890平方公里，其中在界首市境内长208公里，流域面积5600平方公里。河流上设有周口、槐店、阜阳、颍上四个枢纽工程，供蓄水用。阜阳闸正常蓄水位28.5米（水深7.5米），有效库容1.5×107立方米。阜阳闸上界首市段落的河道底宽400米，最大水深13.00米，边坡1:3，堤顶高程35.0米，河底高程21.0米，百年一遇洪水位34.18米。</w:t>
      </w:r>
      <w:r>
        <w:rPr>
          <w:rFonts w:hint="eastAsia"/>
          <w:color w:val="auto"/>
          <w:shd w:val="clear" w:color="auto" w:fill="auto"/>
          <w:lang w:eastAsia="zh-CN"/>
        </w:rPr>
        <w:t>沙颍河</w:t>
      </w:r>
      <w:r>
        <w:rPr>
          <w:rFonts w:hint="eastAsia"/>
          <w:color w:val="auto"/>
          <w:shd w:val="clear" w:color="auto" w:fill="auto"/>
        </w:rPr>
        <w:t>由西向东沿田营镇北界流过，本地习称沙河，源出河南省登封县嵩山南麓。自西北向东南，由沈丘县刘湾村入境，流经市境中部，东至张庄出境入太和县，东南经阜阳、颍上至沫河口与淮河成“T”字形相汇。境内河床宽170～200</w:t>
      </w:r>
      <w:r>
        <w:rPr>
          <w:rFonts w:hint="eastAsia"/>
          <w:color w:val="auto"/>
          <w:shd w:val="clear" w:color="auto" w:fill="auto"/>
          <w:lang w:eastAsia="zh-CN"/>
        </w:rPr>
        <w:t>m</w:t>
      </w:r>
      <w:r>
        <w:rPr>
          <w:rFonts w:hint="eastAsia"/>
          <w:color w:val="auto"/>
          <w:shd w:val="clear" w:color="auto" w:fill="auto"/>
        </w:rPr>
        <w:t>，深约13</w:t>
      </w:r>
      <w:r>
        <w:rPr>
          <w:rFonts w:hint="eastAsia"/>
          <w:color w:val="auto"/>
          <w:shd w:val="clear" w:color="auto" w:fill="auto"/>
          <w:lang w:eastAsia="zh-CN"/>
        </w:rPr>
        <w:t>m</w:t>
      </w:r>
      <w:r>
        <w:rPr>
          <w:rFonts w:hint="eastAsia"/>
          <w:color w:val="auto"/>
          <w:shd w:val="clear" w:color="auto" w:fill="auto"/>
        </w:rPr>
        <w:t>，长14.6</w:t>
      </w:r>
      <w:r>
        <w:rPr>
          <w:rFonts w:hint="eastAsia"/>
          <w:color w:val="auto"/>
          <w:shd w:val="clear" w:color="auto" w:fill="auto"/>
          <w:lang w:eastAsia="zh-CN"/>
        </w:rPr>
        <w:t>km</w:t>
      </w:r>
      <w:r>
        <w:rPr>
          <w:rFonts w:hint="eastAsia" w:cs="Times New Roman"/>
          <w:color w:val="auto"/>
          <w:shd w:val="clear" w:color="auto" w:fill="auto"/>
        </w:rPr>
        <w:t>。</w:t>
      </w:r>
    </w:p>
    <w:p>
      <w:pPr>
        <w:pStyle w:val="5"/>
        <w:rPr>
          <w:rFonts w:hint="default" w:eastAsia="宋体"/>
          <w:color w:val="auto"/>
          <w:shd w:val="clear" w:color="auto" w:fill="auto"/>
          <w:lang w:val="en-US" w:eastAsia="zh-CN"/>
        </w:rPr>
      </w:pPr>
      <w:r>
        <w:rPr>
          <w:rFonts w:hint="eastAsia"/>
          <w:color w:val="auto"/>
          <w:shd w:val="clear" w:color="auto" w:fill="auto"/>
          <w:lang w:val="en-US" w:eastAsia="zh-CN"/>
        </w:rPr>
        <w:t>3</w:t>
      </w:r>
      <w:r>
        <w:rPr>
          <w:rFonts w:hint="eastAsia"/>
          <w:color w:val="auto"/>
          <w:shd w:val="clear" w:color="auto" w:fill="auto"/>
        </w:rPr>
        <w:t>.1.4 水文</w:t>
      </w:r>
      <w:r>
        <w:rPr>
          <w:rFonts w:hint="eastAsia"/>
          <w:color w:val="auto"/>
          <w:shd w:val="clear" w:color="auto" w:fill="auto"/>
          <w:lang w:val="en-US" w:eastAsia="zh-CN"/>
        </w:rPr>
        <w:t>及泥沙</w:t>
      </w:r>
    </w:p>
    <w:p>
      <w:pPr>
        <w:ind w:firstLine="480"/>
        <w:rPr>
          <w:rFonts w:hint="eastAsia"/>
          <w:color w:val="auto"/>
          <w:shd w:val="clear" w:color="auto" w:fill="auto"/>
        </w:rPr>
      </w:pPr>
      <w:r>
        <w:rPr>
          <w:rFonts w:hint="eastAsia"/>
          <w:color w:val="auto"/>
          <w:shd w:val="clear" w:color="auto" w:fill="auto"/>
        </w:rPr>
        <w:t>沙颍河是淮河左岸最大的支流，发源于河南省伏牛山山脉，流经河南省平顶山、漯河、周口和安徽省阜阳等市，于安徽省颍上县沫河口处汇入淮河。河道全长620</w:t>
      </w:r>
      <w:r>
        <w:rPr>
          <w:rFonts w:hint="eastAsia"/>
          <w:color w:val="auto"/>
          <w:shd w:val="clear" w:color="auto" w:fill="auto"/>
          <w:lang w:eastAsia="zh-CN"/>
        </w:rPr>
        <w:t>km</w:t>
      </w:r>
      <w:r>
        <w:rPr>
          <w:rFonts w:hint="eastAsia"/>
          <w:color w:val="auto"/>
          <w:shd w:val="clear" w:color="auto" w:fill="auto"/>
        </w:rPr>
        <w:t>，流域面积36651</w:t>
      </w:r>
      <w:r>
        <w:rPr>
          <w:rFonts w:hint="eastAsia"/>
          <w:color w:val="auto"/>
          <w:shd w:val="clear" w:color="auto" w:fill="auto"/>
          <w:vertAlign w:val="baseline"/>
          <w:lang w:eastAsia="zh-CN"/>
        </w:rPr>
        <w:t>km</w:t>
      </w:r>
      <w:r>
        <w:rPr>
          <w:rFonts w:hint="eastAsia"/>
          <w:color w:val="auto"/>
          <w:shd w:val="clear" w:color="auto" w:fill="auto"/>
          <w:vertAlign w:val="superscript"/>
          <w:lang w:eastAsia="zh-CN"/>
        </w:rPr>
        <w:t>2</w:t>
      </w:r>
      <w:r>
        <w:rPr>
          <w:rFonts w:hint="eastAsia"/>
          <w:color w:val="auto"/>
          <w:shd w:val="clear" w:color="auto" w:fill="auto"/>
        </w:rPr>
        <w:t>，其中河南省和安徽省境内分别为32539</w:t>
      </w:r>
      <w:r>
        <w:rPr>
          <w:rFonts w:hint="eastAsia"/>
          <w:color w:val="auto"/>
          <w:shd w:val="clear" w:color="auto" w:fill="auto"/>
          <w:vertAlign w:val="baseline"/>
          <w:lang w:eastAsia="zh-CN"/>
        </w:rPr>
        <w:t>km</w:t>
      </w:r>
      <w:r>
        <w:rPr>
          <w:rFonts w:hint="eastAsia"/>
          <w:color w:val="auto"/>
          <w:shd w:val="clear" w:color="auto" w:fill="auto"/>
          <w:vertAlign w:val="superscript"/>
          <w:lang w:eastAsia="zh-CN"/>
        </w:rPr>
        <w:t>2</w:t>
      </w:r>
      <w:r>
        <w:rPr>
          <w:rFonts w:hint="eastAsia"/>
          <w:color w:val="auto"/>
          <w:shd w:val="clear" w:color="auto" w:fill="auto"/>
        </w:rPr>
        <w:t>和4112</w:t>
      </w:r>
      <w:r>
        <w:rPr>
          <w:rFonts w:hint="eastAsia"/>
          <w:color w:val="auto"/>
          <w:shd w:val="clear" w:color="auto" w:fill="auto"/>
          <w:vertAlign w:val="baseline"/>
          <w:lang w:eastAsia="zh-CN"/>
        </w:rPr>
        <w:t>km</w:t>
      </w:r>
      <w:r>
        <w:rPr>
          <w:rFonts w:hint="eastAsia"/>
          <w:color w:val="auto"/>
          <w:shd w:val="clear" w:color="auto" w:fill="auto"/>
          <w:vertAlign w:val="superscript"/>
          <w:lang w:eastAsia="zh-CN"/>
        </w:rPr>
        <w:t>2</w:t>
      </w:r>
      <w:r>
        <w:rPr>
          <w:rFonts w:hint="eastAsia"/>
          <w:color w:val="auto"/>
          <w:shd w:val="clear" w:color="auto" w:fill="auto"/>
        </w:rPr>
        <w:t>。</w:t>
      </w:r>
    </w:p>
    <w:p>
      <w:pPr>
        <w:ind w:firstLine="480"/>
        <w:rPr>
          <w:rFonts w:hint="eastAsia"/>
          <w:color w:val="auto"/>
          <w:shd w:val="clear" w:color="auto" w:fill="auto"/>
        </w:rPr>
      </w:pPr>
      <w:r>
        <w:rPr>
          <w:rFonts w:hint="eastAsia"/>
          <w:color w:val="auto"/>
          <w:shd w:val="clear" w:color="auto" w:fill="auto"/>
        </w:rPr>
        <w:t>沙颍河流域地形由西北向东南倾斜，漯河以上三面环山，峰岭重叠， 为伏牛山脉和外方山脉，山区地面高程600～1500</w:t>
      </w:r>
      <w:r>
        <w:rPr>
          <w:rFonts w:hint="eastAsia"/>
          <w:color w:val="auto"/>
          <w:shd w:val="clear" w:color="auto" w:fill="auto"/>
          <w:lang w:eastAsia="zh-CN"/>
        </w:rPr>
        <w:t>m</w:t>
      </w:r>
      <w:r>
        <w:rPr>
          <w:rFonts w:hint="eastAsia"/>
          <w:color w:val="auto"/>
          <w:shd w:val="clear" w:color="auto" w:fill="auto"/>
        </w:rPr>
        <w:t>，最高达2153</w:t>
      </w:r>
      <w:r>
        <w:rPr>
          <w:rFonts w:hint="eastAsia"/>
          <w:color w:val="auto"/>
          <w:shd w:val="clear" w:color="auto" w:fill="auto"/>
          <w:lang w:eastAsia="zh-CN"/>
        </w:rPr>
        <w:t>m</w:t>
      </w:r>
      <w:r>
        <w:rPr>
          <w:rFonts w:hint="eastAsia"/>
          <w:color w:val="auto"/>
          <w:shd w:val="clear" w:color="auto" w:fill="auto"/>
        </w:rPr>
        <w:t>，山区向平原区过渡带为丘陵区，地面高程一般在100</w:t>
      </w:r>
      <w:r>
        <w:rPr>
          <w:rFonts w:hint="eastAsia"/>
          <w:color w:val="auto"/>
          <w:shd w:val="clear" w:color="auto" w:fill="auto"/>
          <w:lang w:eastAsia="zh-CN"/>
        </w:rPr>
        <w:t>m</w:t>
      </w:r>
      <w:r>
        <w:rPr>
          <w:rFonts w:hint="eastAsia"/>
          <w:color w:val="auto"/>
          <w:shd w:val="clear" w:color="auto" w:fill="auto"/>
        </w:rPr>
        <w:t>以上，东南部平原地势平坦开阔，地面高程30～100</w:t>
      </w:r>
      <w:r>
        <w:rPr>
          <w:rFonts w:hint="eastAsia"/>
          <w:color w:val="auto"/>
          <w:shd w:val="clear" w:color="auto" w:fill="auto"/>
          <w:lang w:eastAsia="zh-CN"/>
        </w:rPr>
        <w:t>m</w:t>
      </w:r>
      <w:r>
        <w:rPr>
          <w:rFonts w:hint="eastAsia"/>
          <w:color w:val="auto"/>
          <w:shd w:val="clear" w:color="auto" w:fill="auto"/>
        </w:rPr>
        <w:t>。</w:t>
      </w:r>
    </w:p>
    <w:p>
      <w:pPr>
        <w:ind w:firstLine="480"/>
        <w:rPr>
          <w:rFonts w:hint="eastAsia"/>
          <w:color w:val="auto"/>
          <w:shd w:val="clear" w:color="auto" w:fill="auto"/>
        </w:rPr>
      </w:pPr>
      <w:r>
        <w:rPr>
          <w:rFonts w:hint="eastAsia"/>
          <w:color w:val="auto"/>
          <w:shd w:val="clear" w:color="auto" w:fill="auto"/>
        </w:rPr>
        <w:t>沙颍河属淮河水系，淮河的汛期与雨季一致，5～9月份为丰水期，11月至翌年2月为枯水期。流域内地表水位及流量的变化与降水有密切关系，夏季雨量充沛，水位高，流量大；冬季降雨稀少，水位低，流量小。河道最高水位多发生在7～8月份，最低水位多发生在每年的11月～翌年2月份。</w:t>
      </w:r>
    </w:p>
    <w:p>
      <w:pPr>
        <w:ind w:firstLine="480"/>
        <w:rPr>
          <w:rFonts w:hint="eastAsia"/>
          <w:color w:val="auto"/>
          <w:shd w:val="clear" w:color="auto" w:fill="auto"/>
        </w:rPr>
      </w:pPr>
      <w:r>
        <w:rPr>
          <w:rFonts w:hint="eastAsia"/>
          <w:color w:val="auto"/>
          <w:shd w:val="clear" w:color="auto" w:fill="auto"/>
        </w:rPr>
        <w:t>沙颍河洪水主要由暴雨形成，漯河以西沙河干流、北汝河、澧河上游是沙颍河流域暴雨中心多发地区；沙颍河上游山区流域坡度陡，集流快，汛期径流量往往占总径流量的70～80%。</w:t>
      </w:r>
    </w:p>
    <w:p>
      <w:pPr>
        <w:ind w:firstLine="480"/>
        <w:rPr>
          <w:rFonts w:hint="eastAsia"/>
          <w:color w:val="auto"/>
          <w:shd w:val="clear" w:color="auto" w:fill="auto"/>
        </w:rPr>
      </w:pPr>
      <w:r>
        <w:rPr>
          <w:rFonts w:hint="eastAsia"/>
          <w:color w:val="auto"/>
          <w:shd w:val="clear" w:color="auto" w:fill="auto"/>
          <w:lang w:val="en-US" w:eastAsia="zh-CN"/>
        </w:rPr>
        <w:t>1、</w:t>
      </w:r>
      <w:r>
        <w:rPr>
          <w:rFonts w:hint="eastAsia"/>
          <w:color w:val="auto"/>
          <w:shd w:val="clear" w:color="auto" w:fill="auto"/>
        </w:rPr>
        <w:t>水位</w:t>
      </w:r>
    </w:p>
    <w:p>
      <w:pPr>
        <w:ind w:firstLine="480"/>
        <w:rPr>
          <w:rFonts w:hint="eastAsia"/>
          <w:color w:val="auto"/>
          <w:shd w:val="clear" w:color="auto" w:fill="auto"/>
        </w:rPr>
      </w:pPr>
      <w:r>
        <w:rPr>
          <w:rFonts w:hint="eastAsia"/>
          <w:color w:val="auto"/>
          <w:shd w:val="clear" w:color="auto" w:fill="auto"/>
        </w:rPr>
        <w:t>沙颍河省界至阜阳市北京路桥段河道全长79.6公里，该段航道有2009年建成的耿楼枢纽，1959年竣工的阜阳枢纽。设有界首站和阜阳闸上水位站。界首站、阜阳闸上有1960年以来近50年的水位观测资料，</w:t>
      </w:r>
    </w:p>
    <w:p>
      <w:pPr>
        <w:ind w:firstLine="480"/>
        <w:rPr>
          <w:rFonts w:hint="eastAsia"/>
          <w:color w:val="auto"/>
          <w:shd w:val="clear" w:color="auto" w:fill="auto"/>
        </w:rPr>
      </w:pPr>
      <w:r>
        <w:rPr>
          <w:rFonts w:hint="eastAsia"/>
          <w:color w:val="auto"/>
          <w:shd w:val="clear" w:color="auto" w:fill="auto"/>
        </w:rPr>
        <w:t>界首站与阜阳闸之间自2009年耿楼枢纽建成运营之后，河道水文条件发生了变化，枯水期界首站水位观测成果失去使用价值。</w:t>
      </w:r>
    </w:p>
    <w:p>
      <w:pPr>
        <w:ind w:firstLine="480"/>
        <w:rPr>
          <w:rFonts w:hint="eastAsia"/>
          <w:color w:val="auto"/>
          <w:shd w:val="clear" w:color="auto" w:fill="auto"/>
        </w:rPr>
      </w:pPr>
      <w:r>
        <w:rPr>
          <w:rFonts w:hint="eastAsia"/>
          <w:color w:val="auto"/>
          <w:shd w:val="clear" w:color="auto" w:fill="auto"/>
        </w:rPr>
        <w:t>界首：据1982-2008年洪水位资料，分析计算最高通航水位36.75米。</w:t>
      </w:r>
    </w:p>
    <w:p>
      <w:pPr>
        <w:ind w:firstLine="480"/>
        <w:rPr>
          <w:rFonts w:hint="eastAsia"/>
          <w:color w:val="auto"/>
          <w:shd w:val="clear" w:color="auto" w:fill="auto"/>
        </w:rPr>
      </w:pPr>
      <w:r>
        <w:rPr>
          <w:rFonts w:hint="eastAsia"/>
          <w:color w:val="auto"/>
          <w:shd w:val="clear" w:color="auto" w:fill="auto"/>
        </w:rPr>
        <w:t>耿楼：据耿楼枢纽施工图设计，闸上35.86米，闸下35.66米。</w:t>
      </w:r>
    </w:p>
    <w:p>
      <w:pPr>
        <w:ind w:firstLine="480"/>
        <w:rPr>
          <w:rFonts w:hint="eastAsia"/>
          <w:color w:val="auto"/>
          <w:shd w:val="clear" w:color="auto" w:fill="auto"/>
        </w:rPr>
      </w:pPr>
      <w:r>
        <w:rPr>
          <w:rFonts w:hint="eastAsia"/>
          <w:color w:val="auto"/>
          <w:shd w:val="clear" w:color="auto" w:fill="auto"/>
        </w:rPr>
        <w:t>阜阳闸上：结合阜阳枢纽及船闸设计参数，综合确定10年一遇水位为30.80米。</w:t>
      </w:r>
    </w:p>
    <w:p>
      <w:pPr>
        <w:spacing w:line="480" w:lineRule="exact"/>
        <w:ind w:left="0" w:leftChars="0" w:firstLine="0" w:firstLineChars="0"/>
        <w:jc w:val="center"/>
        <w:rPr>
          <w:rFonts w:hint="eastAsia" w:ascii="Times New Roman" w:hAnsi="Times New Roman" w:eastAsia="黑体" w:cs="Times New Roman"/>
          <w:color w:val="auto"/>
          <w:kern w:val="0"/>
          <w:sz w:val="21"/>
          <w:szCs w:val="21"/>
          <w:shd w:val="clear" w:color="auto" w:fill="auto"/>
          <w:lang w:val="en-US" w:eastAsia="zh-CN" w:bidi="ar-SA"/>
        </w:rPr>
      </w:pPr>
      <w:r>
        <w:rPr>
          <w:rFonts w:hint="eastAsia" w:eastAsia="黑体" w:cs="Times New Roman"/>
          <w:color w:val="auto"/>
          <w:kern w:val="0"/>
          <w:sz w:val="21"/>
          <w:szCs w:val="21"/>
          <w:shd w:val="clear" w:color="auto" w:fill="auto"/>
          <w:lang w:val="en-US" w:eastAsia="zh-CN" w:bidi="ar-SA"/>
        </w:rPr>
        <w:t xml:space="preserve">表3.1-1 </w:t>
      </w:r>
      <w:r>
        <w:rPr>
          <w:rFonts w:hint="eastAsia" w:ascii="Times New Roman" w:hAnsi="Times New Roman" w:eastAsia="黑体" w:cs="Times New Roman"/>
          <w:color w:val="auto"/>
          <w:kern w:val="0"/>
          <w:sz w:val="21"/>
          <w:szCs w:val="21"/>
          <w:shd w:val="clear" w:color="auto" w:fill="auto"/>
          <w:lang w:val="en-US" w:eastAsia="zh-CN" w:bidi="ar-SA"/>
        </w:rPr>
        <w:t>航道设计水位成果表</w:t>
      </w:r>
    </w:p>
    <w:tbl>
      <w:tblPr>
        <w:tblStyle w:val="26"/>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395"/>
        <w:gridCol w:w="1976"/>
        <w:gridCol w:w="1945"/>
        <w:gridCol w:w="1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7" w:hRule="atLeast"/>
        </w:trPr>
        <w:tc>
          <w:tcPr>
            <w:tcW w:w="1440" w:type="pct"/>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项目</w:t>
            </w:r>
          </w:p>
        </w:tc>
        <w:tc>
          <w:tcPr>
            <w:tcW w:w="1188" w:type="pct"/>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最高通航水位</w:t>
            </w:r>
          </w:p>
        </w:tc>
        <w:tc>
          <w:tcPr>
            <w:tcW w:w="1169" w:type="pct"/>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最低通航水位</w:t>
            </w:r>
          </w:p>
        </w:tc>
        <w:tc>
          <w:tcPr>
            <w:tcW w:w="1201" w:type="pct"/>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8" w:hRule="atLeast"/>
        </w:trPr>
        <w:tc>
          <w:tcPr>
            <w:tcW w:w="1440" w:type="pct"/>
            <w:vMerge w:val="restart"/>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界首~耿楼闸上</w:t>
            </w:r>
          </w:p>
        </w:tc>
        <w:tc>
          <w:tcPr>
            <w:tcW w:w="1188" w:type="pct"/>
            <w:vMerge w:val="restart"/>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36.75～35.86</w:t>
            </w:r>
          </w:p>
        </w:tc>
        <w:tc>
          <w:tcPr>
            <w:tcW w:w="1169" w:type="pct"/>
            <w:vMerge w:val="restart"/>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28.0</w:t>
            </w:r>
          </w:p>
        </w:tc>
        <w:tc>
          <w:tcPr>
            <w:tcW w:w="1201" w:type="pct"/>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最高通航水位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trPr>
        <w:tc>
          <w:tcPr>
            <w:tcW w:w="1440" w:type="pct"/>
            <w:vMerge w:val="continue"/>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p>
        </w:tc>
        <w:tc>
          <w:tcPr>
            <w:tcW w:w="1188" w:type="pct"/>
            <w:vMerge w:val="continue"/>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p>
        </w:tc>
        <w:tc>
          <w:tcPr>
            <w:tcW w:w="1169" w:type="pct"/>
            <w:vMerge w:val="continue"/>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p>
        </w:tc>
        <w:tc>
          <w:tcPr>
            <w:tcW w:w="1201" w:type="pct"/>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频率10%，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trPr>
        <w:tc>
          <w:tcPr>
            <w:tcW w:w="1440" w:type="pct"/>
            <w:vMerge w:val="restart"/>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耿楼闸下~北京路桥</w:t>
            </w:r>
          </w:p>
        </w:tc>
        <w:tc>
          <w:tcPr>
            <w:tcW w:w="1188" w:type="pct"/>
            <w:vMerge w:val="restart"/>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35.66～30.80</w:t>
            </w:r>
          </w:p>
        </w:tc>
        <w:tc>
          <w:tcPr>
            <w:tcW w:w="1169" w:type="pct"/>
            <w:vMerge w:val="restart"/>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24.5</w:t>
            </w:r>
          </w:p>
        </w:tc>
        <w:tc>
          <w:tcPr>
            <w:tcW w:w="1201" w:type="pct"/>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最低通航水位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7" w:hRule="atLeast"/>
        </w:trPr>
        <w:tc>
          <w:tcPr>
            <w:tcW w:w="1440" w:type="pct"/>
            <w:vMerge w:val="continue"/>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p>
        </w:tc>
        <w:tc>
          <w:tcPr>
            <w:tcW w:w="1188" w:type="pct"/>
            <w:vMerge w:val="continue"/>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p>
        </w:tc>
        <w:tc>
          <w:tcPr>
            <w:tcW w:w="1169" w:type="pct"/>
            <w:vMerge w:val="continue"/>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p>
        </w:tc>
        <w:tc>
          <w:tcPr>
            <w:tcW w:w="1201" w:type="pct"/>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保证率95%</w:t>
            </w:r>
          </w:p>
        </w:tc>
      </w:tr>
    </w:tbl>
    <w:p>
      <w:pPr>
        <w:ind w:firstLine="480"/>
        <w:rPr>
          <w:rFonts w:hint="eastAsia"/>
          <w:color w:val="auto"/>
          <w:shd w:val="clear" w:color="auto" w:fill="auto"/>
        </w:rPr>
      </w:pPr>
      <w:r>
        <w:rPr>
          <w:rFonts w:hint="eastAsia"/>
          <w:color w:val="auto"/>
          <w:shd w:val="clear" w:color="auto" w:fill="auto"/>
        </w:rPr>
        <w:t>拟建码头位于耿楼船闸与阜阳船闸之间，根据航道整治工程相关资料，本工程水位如下：</w:t>
      </w:r>
    </w:p>
    <w:p>
      <w:pPr>
        <w:ind w:firstLine="480"/>
        <w:rPr>
          <w:rFonts w:hint="eastAsia"/>
          <w:color w:val="auto"/>
          <w:shd w:val="clear" w:color="auto" w:fill="auto"/>
        </w:rPr>
      </w:pPr>
      <w:r>
        <w:rPr>
          <w:rFonts w:hint="eastAsia"/>
          <w:color w:val="auto"/>
          <w:shd w:val="clear" w:color="auto" w:fill="auto"/>
        </w:rPr>
        <w:t>设计高水位：32.8</w:t>
      </w:r>
      <w:r>
        <w:rPr>
          <w:rFonts w:hint="eastAsia"/>
          <w:color w:val="auto"/>
          <w:shd w:val="clear" w:color="auto" w:fill="auto"/>
          <w:lang w:eastAsia="zh-CN"/>
        </w:rPr>
        <w:t>m</w:t>
      </w:r>
      <w:r>
        <w:rPr>
          <w:rFonts w:hint="eastAsia"/>
          <w:color w:val="auto"/>
          <w:shd w:val="clear" w:color="auto" w:fill="auto"/>
        </w:rPr>
        <w:t>（平滩水位）设计低水位：24.5</w:t>
      </w:r>
      <w:r>
        <w:rPr>
          <w:rFonts w:hint="eastAsia"/>
          <w:color w:val="auto"/>
          <w:shd w:val="clear" w:color="auto" w:fill="auto"/>
          <w:lang w:eastAsia="zh-CN"/>
        </w:rPr>
        <w:t>m</w:t>
      </w:r>
      <w:r>
        <w:rPr>
          <w:rFonts w:hint="eastAsia"/>
          <w:color w:val="auto"/>
          <w:shd w:val="clear" w:color="auto" w:fill="auto"/>
        </w:rPr>
        <w:t>（保证率95%）</w:t>
      </w:r>
    </w:p>
    <w:p>
      <w:pPr>
        <w:ind w:firstLine="480"/>
        <w:rPr>
          <w:rFonts w:hint="eastAsia"/>
          <w:color w:val="auto"/>
          <w:shd w:val="clear" w:color="auto" w:fill="auto"/>
        </w:rPr>
      </w:pPr>
      <w:r>
        <w:rPr>
          <w:rFonts w:hint="eastAsia"/>
          <w:color w:val="auto"/>
          <w:shd w:val="clear" w:color="auto" w:fill="auto"/>
          <w:lang w:val="en-US" w:eastAsia="zh-CN"/>
        </w:rPr>
        <w:t>2、</w:t>
      </w:r>
      <w:r>
        <w:rPr>
          <w:rFonts w:hint="eastAsia"/>
          <w:color w:val="auto"/>
          <w:shd w:val="clear" w:color="auto" w:fill="auto"/>
        </w:rPr>
        <w:t>泥沙</w:t>
      </w:r>
    </w:p>
    <w:p>
      <w:pPr>
        <w:ind w:firstLine="480"/>
        <w:rPr>
          <w:rFonts w:hint="eastAsia"/>
          <w:color w:val="auto"/>
          <w:shd w:val="clear" w:color="auto" w:fill="auto"/>
        </w:rPr>
      </w:pPr>
      <w:r>
        <w:rPr>
          <w:rFonts w:hint="eastAsia"/>
          <w:color w:val="auto"/>
          <w:shd w:val="clear" w:color="auto" w:fill="auto"/>
        </w:rPr>
        <w:t>沙颍河流域多年平均径流深130毫米，河道径流量的变化与降水有密切关系，夏季雨量充沛，水位高，流量大，汛期径流量往往占总径流量的70～80%；冬季降雨稀少，水位低，流量小。河道最高水位多发生在7～8 月份，最低水位多发生在每年的11月～翌年2月份。</w:t>
      </w:r>
    </w:p>
    <w:p>
      <w:pPr>
        <w:ind w:firstLine="480"/>
        <w:rPr>
          <w:rFonts w:hint="eastAsia"/>
          <w:color w:val="auto"/>
          <w:shd w:val="clear" w:color="auto" w:fill="auto"/>
        </w:rPr>
      </w:pPr>
      <w:r>
        <w:rPr>
          <w:rFonts w:hint="eastAsia"/>
          <w:color w:val="auto"/>
          <w:shd w:val="clear" w:color="auto" w:fill="auto"/>
        </w:rPr>
        <w:t>沙颍河的泥沙观测资料较少，并且资料系列不连续。从现有资料分析，周口站1974～1988年多年平均含沙量为1.52kg/</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，界首站1964～1973年多年平均含沙量1.38kg/</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，阜阳站1990～1999年多年平均含沙量为0.38kg/</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。因此，沙颍河主要泥沙来源于周口以上流域，随着下游河道断面增大，流速变缓，大部分泥沙会逐渐沉积下来。</w:t>
      </w:r>
    </w:p>
    <w:p>
      <w:pPr>
        <w:ind w:firstLine="480"/>
        <w:rPr>
          <w:rFonts w:hint="eastAsia"/>
          <w:color w:val="auto"/>
          <w:shd w:val="clear" w:color="auto" w:fill="auto"/>
        </w:rPr>
      </w:pPr>
      <w:r>
        <w:rPr>
          <w:rFonts w:hint="eastAsia"/>
          <w:color w:val="auto"/>
          <w:shd w:val="clear" w:color="auto" w:fill="auto"/>
        </w:rPr>
        <w:t>多年的黄河水入侵沙颍河河道地层河湖相沉积层较为发育，地层分布具有二元性，广泛出露的以粉质粘土、粉质壤土、砂壤土、砂土为主的Q3沉积层和沿河道两侧呈带状分布的以砂壤土、粉质壤土为主的Q4沉积层。抗冲刷能力较低，河流的侵蚀作用以侧蚀作用为主，形成较大的弯曲段。</w:t>
      </w:r>
    </w:p>
    <w:p>
      <w:pPr>
        <w:ind w:firstLine="480"/>
        <w:rPr>
          <w:rFonts w:hint="eastAsia"/>
          <w:color w:val="auto"/>
          <w:shd w:val="clear" w:color="auto" w:fill="auto"/>
        </w:rPr>
      </w:pPr>
      <w:r>
        <w:rPr>
          <w:rFonts w:hint="eastAsia"/>
          <w:color w:val="auto"/>
          <w:shd w:val="clear" w:color="auto" w:fill="auto"/>
        </w:rPr>
        <w:t>随着沙颍河沿线梯级分布的节制闸建成使用，沙颍河水流条件发生改变，尤其是各节制闸均采取“蓄清排洪”的运行调度模式，使得枯水期河道流速水流流速0.1～0.3米/秒，排洪时最大流速2.5米/秒左右。沙颍河河道河床变化比较平顺，特别是2010年上游高含沙量来水，</w:t>
      </w:r>
    </w:p>
    <w:p>
      <w:pPr>
        <w:ind w:firstLine="480"/>
        <w:rPr>
          <w:rFonts w:hint="eastAsia"/>
          <w:color w:val="auto"/>
          <w:shd w:val="clear" w:color="auto" w:fill="auto"/>
        </w:rPr>
      </w:pPr>
      <w:r>
        <w:rPr>
          <w:rFonts w:hint="eastAsia"/>
          <w:color w:val="auto"/>
          <w:shd w:val="clear" w:color="auto" w:fill="auto"/>
        </w:rPr>
        <w:t>经现场调查除局部滩地、边坡有10～20c</w:t>
      </w:r>
      <w:r>
        <w:rPr>
          <w:rFonts w:hint="eastAsia"/>
          <w:color w:val="auto"/>
          <w:shd w:val="clear" w:color="auto" w:fill="auto"/>
          <w:lang w:eastAsia="zh-CN"/>
        </w:rPr>
        <w:t>m</w:t>
      </w:r>
      <w:r>
        <w:rPr>
          <w:rFonts w:hint="eastAsia"/>
          <w:color w:val="auto"/>
          <w:shd w:val="clear" w:color="auto" w:fill="auto"/>
        </w:rPr>
        <w:t>淤积外，河道形态基本维持稳定。</w:t>
      </w:r>
    </w:p>
    <w:p>
      <w:pPr>
        <w:pStyle w:val="5"/>
        <w:rPr>
          <w:color w:val="auto"/>
          <w:shd w:val="clear" w:color="auto" w:fill="auto"/>
        </w:rPr>
      </w:pPr>
      <w:r>
        <w:rPr>
          <w:rFonts w:hint="eastAsia"/>
          <w:color w:val="auto"/>
          <w:shd w:val="clear" w:color="auto" w:fill="auto"/>
          <w:lang w:val="en-US" w:eastAsia="zh-CN"/>
        </w:rPr>
        <w:t>3</w:t>
      </w:r>
      <w:r>
        <w:rPr>
          <w:rFonts w:hint="eastAsia"/>
          <w:color w:val="auto"/>
          <w:shd w:val="clear" w:color="auto" w:fill="auto"/>
        </w:rPr>
        <w:t>.1.5 地形、地貌</w:t>
      </w:r>
    </w:p>
    <w:p>
      <w:pPr>
        <w:pStyle w:val="87"/>
        <w:ind w:firstLine="56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拟建码头位于阜阳市太和县城关镇沙颍河河左岸，该段航道上游平顺，下游弯曲，水面宽约150</w:t>
      </w:r>
      <w:r>
        <w:rPr>
          <w:rFonts w:hint="eastAsia" w:ascii="Times New Roman" w:hAnsi="Times New Roman" w:cs="Times New Roman"/>
          <w:kern w:val="2"/>
          <w:sz w:val="24"/>
          <w:szCs w:val="24"/>
          <w:lang w:val="en-US" w:eastAsia="zh-CN" w:bidi="ar-SA"/>
        </w:rPr>
        <w:t>m</w:t>
      </w:r>
      <w:r>
        <w:rPr>
          <w:rFonts w:hint="eastAsia" w:ascii="Times New Roman" w:hAnsi="Times New Roman" w:eastAsia="宋体" w:cs="Times New Roman"/>
          <w:kern w:val="2"/>
          <w:sz w:val="24"/>
          <w:szCs w:val="24"/>
          <w:lang w:val="en-US" w:eastAsia="zh-CN" w:bidi="ar-SA"/>
        </w:rPr>
        <w:t>，近岸滩地地势较缓，高程在33.0～33.2之间，宽约90</w:t>
      </w:r>
      <w:r>
        <w:rPr>
          <w:rFonts w:hint="eastAsia" w:ascii="Times New Roman" w:hAnsi="Times New Roman" w:cs="Times New Roman"/>
          <w:kern w:val="2"/>
          <w:sz w:val="24"/>
          <w:szCs w:val="24"/>
          <w:lang w:val="en-US" w:eastAsia="zh-CN" w:bidi="ar-SA"/>
        </w:rPr>
        <w:t>m</w:t>
      </w:r>
      <w:r>
        <w:rPr>
          <w:rFonts w:hint="eastAsia" w:ascii="Times New Roman" w:hAnsi="Times New Roman" w:eastAsia="宋体" w:cs="Times New Roman"/>
          <w:kern w:val="2"/>
          <w:sz w:val="24"/>
          <w:szCs w:val="24"/>
          <w:lang w:val="en-US" w:eastAsia="zh-CN" w:bidi="ar-SA"/>
        </w:rPr>
        <w:t>；拟建码头处建有防洪大堤，堤顶高程为37.4～37.5</w:t>
      </w:r>
      <w:r>
        <w:rPr>
          <w:rFonts w:hint="eastAsia" w:ascii="Times New Roman" w:hAnsi="Times New Roman" w:cs="Times New Roman"/>
          <w:kern w:val="2"/>
          <w:sz w:val="24"/>
          <w:szCs w:val="24"/>
          <w:lang w:val="en-US" w:eastAsia="zh-CN" w:bidi="ar-SA"/>
        </w:rPr>
        <w:t>m</w:t>
      </w:r>
      <w:r>
        <w:rPr>
          <w:rFonts w:hint="eastAsia" w:ascii="Times New Roman" w:hAnsi="Times New Roman" w:eastAsia="宋体" w:cs="Times New Roman"/>
          <w:kern w:val="2"/>
          <w:sz w:val="24"/>
          <w:szCs w:val="24"/>
          <w:lang w:val="en-US" w:eastAsia="zh-CN" w:bidi="ar-SA"/>
        </w:rPr>
        <w:t>，堤顶为混凝土道路。</w:t>
      </w:r>
    </w:p>
    <w:p>
      <w:pPr>
        <w:pStyle w:val="5"/>
        <w:rPr>
          <w:color w:val="auto"/>
          <w:shd w:val="clear" w:color="auto" w:fill="auto"/>
        </w:rPr>
      </w:pPr>
      <w:r>
        <w:rPr>
          <w:rFonts w:hint="eastAsia"/>
          <w:color w:val="auto"/>
          <w:shd w:val="clear" w:color="auto" w:fill="auto"/>
          <w:lang w:val="en-US" w:eastAsia="zh-CN"/>
        </w:rPr>
        <w:t>3</w:t>
      </w:r>
      <w:r>
        <w:rPr>
          <w:rFonts w:hint="eastAsia"/>
          <w:color w:val="auto"/>
          <w:shd w:val="clear" w:color="auto" w:fill="auto"/>
        </w:rPr>
        <w:t>.1.6 工程地质</w:t>
      </w:r>
    </w:p>
    <w:p>
      <w:pPr>
        <w:bidi w:val="0"/>
        <w:rPr>
          <w:rFonts w:hint="eastAsia"/>
        </w:rPr>
      </w:pPr>
      <w:r>
        <w:rPr>
          <w:rFonts w:hint="eastAsia"/>
        </w:rPr>
        <w:t>本次地质资料参考上游太和锚地地质资料，根据收集的资料、现场调查、野外编录、原位测试和室内土工试验成果，在勘探深度范围内主要揭露地层为第四系全新统冲积层（Q4al），揭露的地层主要为粉土、粉质黏土土、粉砂等。现将本次勘探揭露的地层按其地质时代、成因类型、埋藏深度以及岩土的工程地质特征叙述如下。</w:t>
      </w:r>
    </w:p>
    <w:p>
      <w:pPr>
        <w:bidi w:val="0"/>
        <w:rPr>
          <w:rFonts w:hint="eastAsia"/>
        </w:rPr>
      </w:pPr>
      <w:r>
        <w:rPr>
          <w:rFonts w:hint="eastAsia"/>
        </w:rPr>
        <w:t>①层粉土：灰黄色、灰褐色</w:t>
      </w:r>
      <w:r>
        <w:rPr>
          <w:rFonts w:hint="eastAsia"/>
          <w:lang w:eastAsia="zh-CN"/>
        </w:rPr>
        <w:t>，</w:t>
      </w:r>
      <w:r>
        <w:rPr>
          <w:rFonts w:hint="eastAsia"/>
        </w:rPr>
        <w:t>稍密状态</w:t>
      </w:r>
      <w:r>
        <w:rPr>
          <w:rFonts w:hint="eastAsia"/>
          <w:lang w:eastAsia="zh-CN"/>
        </w:rPr>
        <w:t>，</w:t>
      </w:r>
      <w:r>
        <w:rPr>
          <w:rFonts w:hint="eastAsia"/>
        </w:rPr>
        <w:t>表层含少量种植土。层厚0.70</w:t>
      </w:r>
      <w:r>
        <w:rPr>
          <w:rFonts w:hint="eastAsia"/>
          <w:lang w:eastAsia="zh-CN"/>
        </w:rPr>
        <w:t>m</w:t>
      </w:r>
      <w:r>
        <w:rPr>
          <w:rFonts w:hint="eastAsia"/>
        </w:rPr>
        <w:t>～2.00</w:t>
      </w:r>
      <w:r>
        <w:rPr>
          <w:rFonts w:hint="eastAsia"/>
          <w:lang w:eastAsia="zh-CN"/>
        </w:rPr>
        <w:t>m</w:t>
      </w:r>
      <w:r>
        <w:rPr>
          <w:rFonts w:hint="eastAsia"/>
        </w:rPr>
        <w:t>，层底高程31.20～33.20</w:t>
      </w:r>
      <w:r>
        <w:rPr>
          <w:rFonts w:hint="eastAsia"/>
          <w:lang w:eastAsia="zh-CN"/>
        </w:rPr>
        <w:t>m</w:t>
      </w:r>
      <w:r>
        <w:rPr>
          <w:rFonts w:hint="eastAsia"/>
        </w:rPr>
        <w:t>；该层基本分布于整个场地。</w:t>
      </w:r>
    </w:p>
    <w:p>
      <w:pPr>
        <w:bidi w:val="0"/>
        <w:rPr>
          <w:rFonts w:hint="eastAsia"/>
        </w:rPr>
      </w:pPr>
      <w:r>
        <w:rPr>
          <w:rFonts w:hint="eastAsia"/>
        </w:rPr>
        <w:t>②层粉质粘土：灰黄色</w:t>
      </w:r>
      <w:r>
        <w:rPr>
          <w:rFonts w:hint="eastAsia"/>
          <w:lang w:eastAsia="zh-CN"/>
        </w:rPr>
        <w:t>，</w:t>
      </w:r>
      <w:r>
        <w:rPr>
          <w:rFonts w:hint="eastAsia"/>
        </w:rPr>
        <w:t>可塑状态</w:t>
      </w:r>
      <w:r>
        <w:rPr>
          <w:rFonts w:hint="eastAsia"/>
          <w:lang w:eastAsia="zh-CN"/>
        </w:rPr>
        <w:t>，</w:t>
      </w:r>
      <w:r>
        <w:rPr>
          <w:rFonts w:hint="eastAsia"/>
        </w:rPr>
        <w:t>含铁锰氧化物</w:t>
      </w:r>
      <w:r>
        <w:rPr>
          <w:rFonts w:hint="eastAsia"/>
          <w:lang w:eastAsia="zh-CN"/>
        </w:rPr>
        <w:t>，</w:t>
      </w:r>
      <w:r>
        <w:rPr>
          <w:rFonts w:hint="eastAsia"/>
        </w:rPr>
        <w:t>夹粉土。层厚0.30</w:t>
      </w:r>
      <w:r>
        <w:rPr>
          <w:rFonts w:hint="eastAsia"/>
          <w:lang w:eastAsia="zh-CN"/>
        </w:rPr>
        <w:t>m</w:t>
      </w:r>
      <w:r>
        <w:rPr>
          <w:rFonts w:hint="eastAsia"/>
        </w:rPr>
        <w:t>～3.30</w:t>
      </w:r>
      <w:r>
        <w:rPr>
          <w:rFonts w:hint="eastAsia"/>
          <w:lang w:eastAsia="zh-CN"/>
        </w:rPr>
        <w:t>m</w:t>
      </w:r>
      <w:r>
        <w:rPr>
          <w:rFonts w:hint="eastAsia"/>
        </w:rPr>
        <w:t>，层底高程29.60～31.70</w:t>
      </w:r>
      <w:r>
        <w:rPr>
          <w:rFonts w:hint="eastAsia"/>
          <w:lang w:eastAsia="zh-CN"/>
        </w:rPr>
        <w:t>m</w:t>
      </w:r>
      <w:r>
        <w:rPr>
          <w:rFonts w:hint="eastAsia"/>
        </w:rPr>
        <w:t>；该层基本分布于整个场地。</w:t>
      </w:r>
    </w:p>
    <w:p>
      <w:pPr>
        <w:bidi w:val="0"/>
        <w:rPr>
          <w:rFonts w:hint="eastAsia"/>
        </w:rPr>
      </w:pPr>
      <w:r>
        <w:rPr>
          <w:rFonts w:hint="eastAsia"/>
        </w:rPr>
        <w:t>②1层粉土：灰黄色</w:t>
      </w:r>
      <w:r>
        <w:rPr>
          <w:rFonts w:hint="eastAsia"/>
          <w:lang w:eastAsia="zh-CN"/>
        </w:rPr>
        <w:t>，</w:t>
      </w:r>
      <w:r>
        <w:rPr>
          <w:rFonts w:hint="eastAsia"/>
        </w:rPr>
        <w:t>稍密状态</w:t>
      </w:r>
      <w:r>
        <w:rPr>
          <w:rFonts w:hint="eastAsia"/>
          <w:lang w:eastAsia="zh-CN"/>
        </w:rPr>
        <w:t>，</w:t>
      </w:r>
      <w:r>
        <w:rPr>
          <w:rFonts w:hint="eastAsia"/>
        </w:rPr>
        <w:t>稍湿，该层以透镜体的型式分布于②层粉质黏土中，厚度约为 0.40</w:t>
      </w:r>
      <w:r>
        <w:rPr>
          <w:rFonts w:hint="eastAsia"/>
          <w:lang w:eastAsia="zh-CN"/>
        </w:rPr>
        <w:t>m</w:t>
      </w:r>
      <w:r>
        <w:rPr>
          <w:rFonts w:hint="eastAsia"/>
        </w:rPr>
        <w:t>～1.00</w:t>
      </w:r>
      <w:r>
        <w:rPr>
          <w:rFonts w:hint="eastAsia"/>
          <w:lang w:eastAsia="zh-CN"/>
        </w:rPr>
        <w:t>m</w:t>
      </w:r>
      <w:r>
        <w:rPr>
          <w:rFonts w:hint="eastAsia"/>
        </w:rPr>
        <w:t xml:space="preserve"> 不等。</w:t>
      </w:r>
    </w:p>
    <w:p>
      <w:pPr>
        <w:bidi w:val="0"/>
        <w:rPr>
          <w:rFonts w:hint="eastAsia"/>
        </w:rPr>
      </w:pPr>
      <w:r>
        <w:rPr>
          <w:rFonts w:hint="eastAsia"/>
        </w:rPr>
        <w:t>②2层粉质黏土：灰黄色</w:t>
      </w:r>
      <w:r>
        <w:rPr>
          <w:rFonts w:hint="eastAsia"/>
          <w:lang w:eastAsia="zh-CN"/>
        </w:rPr>
        <w:t>，</w:t>
      </w:r>
      <w:r>
        <w:rPr>
          <w:rFonts w:hint="eastAsia"/>
        </w:rPr>
        <w:t>可塑状态</w:t>
      </w:r>
      <w:r>
        <w:rPr>
          <w:rFonts w:hint="eastAsia"/>
          <w:lang w:eastAsia="zh-CN"/>
        </w:rPr>
        <w:t>，</w:t>
      </w:r>
      <w:r>
        <w:rPr>
          <w:rFonts w:hint="eastAsia"/>
        </w:rPr>
        <w:t>局部偏软，本次勘察该层只在ZK26钻孔中有明显揭露，揭露厚度约为1.00</w:t>
      </w:r>
      <w:r>
        <w:rPr>
          <w:rFonts w:hint="eastAsia"/>
          <w:lang w:eastAsia="zh-CN"/>
        </w:rPr>
        <w:t>m</w:t>
      </w:r>
      <w:r>
        <w:rPr>
          <w:rFonts w:hint="eastAsia"/>
        </w:rPr>
        <w:t>不等。</w:t>
      </w:r>
    </w:p>
    <w:p>
      <w:pPr>
        <w:bidi w:val="0"/>
        <w:rPr>
          <w:rFonts w:hint="eastAsia"/>
        </w:rPr>
      </w:pPr>
      <w:r>
        <w:rPr>
          <w:rFonts w:hint="eastAsia"/>
        </w:rPr>
        <w:t>③层粉质黏土：灰黄色</w:t>
      </w:r>
      <w:r>
        <w:rPr>
          <w:rFonts w:hint="eastAsia"/>
          <w:lang w:eastAsia="zh-CN"/>
        </w:rPr>
        <w:t>，</w:t>
      </w:r>
      <w:r>
        <w:rPr>
          <w:rFonts w:hint="eastAsia"/>
        </w:rPr>
        <w:t>硬塑状态</w:t>
      </w:r>
      <w:r>
        <w:rPr>
          <w:rFonts w:hint="eastAsia"/>
          <w:lang w:eastAsia="zh-CN"/>
        </w:rPr>
        <w:t>，</w:t>
      </w:r>
      <w:r>
        <w:rPr>
          <w:rFonts w:hint="eastAsia"/>
        </w:rPr>
        <w:t>含铁锰氧化物。层厚3.20</w:t>
      </w:r>
      <w:r>
        <w:rPr>
          <w:rFonts w:hint="eastAsia"/>
          <w:lang w:eastAsia="zh-CN"/>
        </w:rPr>
        <w:t>m</w:t>
      </w:r>
      <w:r>
        <w:rPr>
          <w:rFonts w:hint="eastAsia"/>
        </w:rPr>
        <w:t>～6.40</w:t>
      </w:r>
      <w:r>
        <w:rPr>
          <w:rFonts w:hint="eastAsia"/>
          <w:lang w:eastAsia="zh-CN"/>
        </w:rPr>
        <w:t>m</w:t>
      </w:r>
      <w:r>
        <w:rPr>
          <w:rFonts w:hint="eastAsia"/>
        </w:rPr>
        <w:t>，层底高程23.40～26.70</w:t>
      </w:r>
      <w:r>
        <w:rPr>
          <w:rFonts w:hint="eastAsia"/>
          <w:lang w:eastAsia="zh-CN"/>
        </w:rPr>
        <w:t>m</w:t>
      </w:r>
      <w:r>
        <w:rPr>
          <w:rFonts w:hint="eastAsia"/>
        </w:rPr>
        <w:t>；该层基本分布于整个场地。</w:t>
      </w:r>
    </w:p>
    <w:p>
      <w:pPr>
        <w:bidi w:val="0"/>
        <w:rPr>
          <w:rFonts w:hint="eastAsia"/>
        </w:rPr>
      </w:pPr>
      <w:r>
        <w:rPr>
          <w:rFonts w:hint="eastAsia"/>
        </w:rPr>
        <w:t>④层粉砂：黄色</w:t>
      </w:r>
      <w:r>
        <w:rPr>
          <w:rFonts w:hint="eastAsia"/>
          <w:lang w:eastAsia="zh-CN"/>
        </w:rPr>
        <w:t>，</w:t>
      </w:r>
      <w:r>
        <w:rPr>
          <w:rFonts w:hint="eastAsia"/>
        </w:rPr>
        <w:t>中密～密实状态</w:t>
      </w:r>
      <w:r>
        <w:rPr>
          <w:rFonts w:hint="eastAsia"/>
          <w:lang w:eastAsia="zh-CN"/>
        </w:rPr>
        <w:t>，</w:t>
      </w:r>
      <w:r>
        <w:rPr>
          <w:rFonts w:hint="eastAsia"/>
        </w:rPr>
        <w:t>饱和</w:t>
      </w:r>
      <w:r>
        <w:rPr>
          <w:rFonts w:hint="eastAsia"/>
          <w:lang w:eastAsia="zh-CN"/>
        </w:rPr>
        <w:t>，</w:t>
      </w:r>
      <w:r>
        <w:rPr>
          <w:rFonts w:hint="eastAsia"/>
        </w:rPr>
        <w:t>夹粉土薄层，局部为细砂。本次勘察该层部分钻孔未揭穿，最大揭露约为4.90</w:t>
      </w:r>
      <w:r>
        <w:rPr>
          <w:rFonts w:hint="eastAsia"/>
          <w:lang w:eastAsia="zh-CN"/>
        </w:rPr>
        <w:t>m</w:t>
      </w:r>
      <w:r>
        <w:rPr>
          <w:rFonts w:hint="eastAsia"/>
        </w:rPr>
        <w:t>；该层基本分布于整个场地。</w:t>
      </w:r>
    </w:p>
    <w:p>
      <w:pPr>
        <w:bidi w:val="0"/>
        <w:rPr>
          <w:rFonts w:hint="eastAsia"/>
        </w:rPr>
      </w:pPr>
      <w:r>
        <w:rPr>
          <w:rFonts w:hint="eastAsia"/>
        </w:rPr>
        <w:t>⑤层粉质黏土：灰黄色</w:t>
      </w:r>
      <w:r>
        <w:rPr>
          <w:rFonts w:hint="eastAsia"/>
          <w:lang w:eastAsia="zh-CN"/>
        </w:rPr>
        <w:t>，</w:t>
      </w:r>
      <w:r>
        <w:rPr>
          <w:rFonts w:hint="eastAsia"/>
        </w:rPr>
        <w:t>可塑～硬塑状态</w:t>
      </w:r>
      <w:r>
        <w:rPr>
          <w:rFonts w:hint="eastAsia"/>
          <w:lang w:eastAsia="zh-CN"/>
        </w:rPr>
        <w:t>，</w:t>
      </w:r>
      <w:r>
        <w:rPr>
          <w:rFonts w:hint="eastAsia"/>
        </w:rPr>
        <w:t>含铁锰氧化物</w:t>
      </w:r>
      <w:r>
        <w:rPr>
          <w:rFonts w:hint="eastAsia"/>
          <w:lang w:eastAsia="zh-CN"/>
        </w:rPr>
        <w:t>，</w:t>
      </w:r>
      <w:r>
        <w:rPr>
          <w:rFonts w:hint="eastAsia"/>
        </w:rPr>
        <w:t>夹粉土。本次勘察该层部分钻孔未揭穿，最大揭露约为6.50</w:t>
      </w:r>
      <w:r>
        <w:rPr>
          <w:rFonts w:hint="eastAsia"/>
          <w:lang w:eastAsia="zh-CN"/>
        </w:rPr>
        <w:t>m</w:t>
      </w:r>
      <w:r>
        <w:rPr>
          <w:rFonts w:hint="eastAsia"/>
        </w:rPr>
        <w:t>；该层基本分布于整个场地。</w:t>
      </w:r>
    </w:p>
    <w:p>
      <w:pPr>
        <w:bidi w:val="0"/>
        <w:rPr>
          <w:rFonts w:hint="eastAsia"/>
        </w:rPr>
      </w:pPr>
      <w:r>
        <w:rPr>
          <w:rFonts w:hint="eastAsia"/>
        </w:rPr>
        <w:t>⑤1层粉土：灰黄色</w:t>
      </w:r>
      <w:r>
        <w:rPr>
          <w:rFonts w:hint="eastAsia"/>
          <w:lang w:eastAsia="zh-CN"/>
        </w:rPr>
        <w:t>，</w:t>
      </w:r>
      <w:r>
        <w:rPr>
          <w:rFonts w:hint="eastAsia"/>
        </w:rPr>
        <w:t>中密～密实状态</w:t>
      </w:r>
      <w:r>
        <w:rPr>
          <w:rFonts w:hint="eastAsia"/>
          <w:lang w:eastAsia="zh-CN"/>
        </w:rPr>
        <w:t>，</w:t>
      </w:r>
      <w:r>
        <w:rPr>
          <w:rFonts w:hint="eastAsia"/>
        </w:rPr>
        <w:t>夹粉质黏土、粉细砂，该层以透镜体的型式分布于⑤层粉质黏土中，厚度约为0.70</w:t>
      </w:r>
      <w:r>
        <w:rPr>
          <w:rFonts w:hint="eastAsia"/>
          <w:lang w:eastAsia="zh-CN"/>
        </w:rPr>
        <w:t>m</w:t>
      </w:r>
      <w:r>
        <w:rPr>
          <w:rFonts w:hint="eastAsia"/>
        </w:rPr>
        <w:t>～1.30</w:t>
      </w:r>
      <w:r>
        <w:rPr>
          <w:rFonts w:hint="eastAsia"/>
          <w:lang w:eastAsia="zh-CN"/>
        </w:rPr>
        <w:t>m</w:t>
      </w:r>
      <w:r>
        <w:rPr>
          <w:rFonts w:hint="eastAsia"/>
        </w:rPr>
        <w:t>不等。</w:t>
      </w:r>
    </w:p>
    <w:p>
      <w:pPr>
        <w:bidi w:val="0"/>
        <w:rPr>
          <w:rFonts w:hint="eastAsia"/>
        </w:rPr>
      </w:pPr>
      <w:r>
        <w:rPr>
          <w:rFonts w:hint="eastAsia"/>
        </w:rPr>
        <w:t>⑥层粉土：灰黄色</w:t>
      </w:r>
      <w:r>
        <w:rPr>
          <w:rFonts w:hint="eastAsia"/>
          <w:lang w:eastAsia="zh-CN"/>
        </w:rPr>
        <w:t>，</w:t>
      </w:r>
      <w:r>
        <w:rPr>
          <w:rFonts w:hint="eastAsia"/>
        </w:rPr>
        <w:t>密实状态</w:t>
      </w:r>
      <w:r>
        <w:rPr>
          <w:rFonts w:hint="eastAsia"/>
          <w:lang w:eastAsia="zh-CN"/>
        </w:rPr>
        <w:t>，</w:t>
      </w:r>
      <w:r>
        <w:rPr>
          <w:rFonts w:hint="eastAsia"/>
        </w:rPr>
        <w:t>夹粉质黏土。本次勘察该层部分未揭穿，最大揭露约为3.80</w:t>
      </w:r>
      <w:r>
        <w:rPr>
          <w:rFonts w:hint="eastAsia"/>
          <w:lang w:eastAsia="zh-CN"/>
        </w:rPr>
        <w:t>m</w:t>
      </w:r>
      <w:r>
        <w:rPr>
          <w:rFonts w:hint="eastAsia"/>
        </w:rPr>
        <w:t>。</w:t>
      </w:r>
    </w:p>
    <w:p>
      <w:pPr>
        <w:pStyle w:val="5"/>
        <w:rPr>
          <w:color w:val="auto"/>
          <w:shd w:val="clear" w:color="auto" w:fill="auto"/>
        </w:rPr>
      </w:pPr>
      <w:r>
        <w:rPr>
          <w:rFonts w:hint="eastAsia"/>
          <w:color w:val="auto"/>
          <w:shd w:val="clear" w:color="auto" w:fill="auto"/>
          <w:lang w:val="en-US" w:eastAsia="zh-CN"/>
        </w:rPr>
        <w:t>3</w:t>
      </w:r>
      <w:r>
        <w:rPr>
          <w:rFonts w:hint="eastAsia"/>
          <w:color w:val="auto"/>
          <w:shd w:val="clear" w:color="auto" w:fill="auto"/>
        </w:rPr>
        <w:t>.1.7 地震</w:t>
      </w:r>
    </w:p>
    <w:p>
      <w:pPr>
        <w:ind w:firstLine="480"/>
        <w:rPr>
          <w:rFonts w:hint="eastAsia" w:cs="Times New Roman"/>
          <w:color w:val="auto"/>
          <w:shd w:val="clear" w:color="auto" w:fill="auto"/>
        </w:rPr>
      </w:pPr>
      <w:r>
        <w:rPr>
          <w:rFonts w:hint="eastAsia" w:cs="Times New Roman"/>
          <w:color w:val="auto"/>
          <w:shd w:val="clear" w:color="auto" w:fill="auto"/>
        </w:rPr>
        <w:t>根据《中国地震动峰值加速度区划图》（GB 18306-2015），拟建码头处于地震动峰值加速度0.05g。</w:t>
      </w:r>
    </w:p>
    <w:p>
      <w:pPr>
        <w:pStyle w:val="5"/>
        <w:rPr>
          <w:color w:val="auto"/>
          <w:shd w:val="clear" w:color="auto" w:fill="auto"/>
        </w:rPr>
      </w:pPr>
      <w:r>
        <w:rPr>
          <w:rFonts w:hint="eastAsia"/>
          <w:color w:val="auto"/>
          <w:shd w:val="clear" w:color="auto" w:fill="auto"/>
          <w:lang w:val="en-US" w:eastAsia="zh-CN"/>
        </w:rPr>
        <w:t>3</w:t>
      </w:r>
      <w:r>
        <w:rPr>
          <w:rFonts w:hint="eastAsia"/>
          <w:color w:val="auto"/>
          <w:shd w:val="clear" w:color="auto" w:fill="auto"/>
        </w:rPr>
        <w:t>.1.8 港口作业天数分析</w:t>
      </w:r>
    </w:p>
    <w:p>
      <w:pPr>
        <w:ind w:firstLine="480"/>
        <w:rPr>
          <w:rFonts w:hint="eastAsia" w:cs="Times New Roman"/>
          <w:color w:val="auto"/>
          <w:shd w:val="clear" w:color="auto" w:fill="auto"/>
        </w:rPr>
      </w:pPr>
      <w:r>
        <w:rPr>
          <w:rFonts w:hint="eastAsia" w:cs="Times New Roman"/>
          <w:color w:val="auto"/>
          <w:shd w:val="clear" w:color="auto" w:fill="auto"/>
        </w:rPr>
        <w:t>1.装卸作业标准</w:t>
      </w:r>
    </w:p>
    <w:p>
      <w:pPr>
        <w:ind w:firstLine="480"/>
        <w:rPr>
          <w:rFonts w:hint="eastAsia" w:cs="Times New Roman"/>
          <w:color w:val="auto"/>
          <w:shd w:val="clear" w:color="auto" w:fill="auto"/>
        </w:rPr>
      </w:pPr>
      <w:r>
        <w:rPr>
          <w:rFonts w:hint="eastAsia" w:cs="Times New Roman"/>
          <w:color w:val="auto"/>
          <w:shd w:val="clear" w:color="auto" w:fill="auto"/>
        </w:rPr>
        <w:t>装卸作业时允许的风、雨、雾及雷暴等级为：</w:t>
      </w:r>
    </w:p>
    <w:p>
      <w:pPr>
        <w:ind w:firstLine="480"/>
        <w:rPr>
          <w:rFonts w:hint="eastAsia" w:cs="Times New Roman"/>
          <w:color w:val="auto"/>
          <w:shd w:val="clear" w:color="auto" w:fill="auto"/>
        </w:rPr>
      </w:pPr>
      <w:r>
        <w:rPr>
          <w:rFonts w:hint="eastAsia" w:cs="Times New Roman"/>
          <w:color w:val="auto"/>
          <w:shd w:val="clear" w:color="auto" w:fill="auto"/>
        </w:rPr>
        <w:t>风：≤6级。当风＞6级时，码头停止作业；风力≥8级时，在港船舶需前往锚地避风。</w:t>
      </w:r>
    </w:p>
    <w:p>
      <w:pPr>
        <w:ind w:firstLine="480"/>
        <w:rPr>
          <w:rFonts w:hint="eastAsia" w:cs="Times New Roman"/>
          <w:color w:val="auto"/>
          <w:shd w:val="clear" w:color="auto" w:fill="auto"/>
        </w:rPr>
      </w:pPr>
      <w:r>
        <w:rPr>
          <w:rFonts w:hint="eastAsia" w:cs="Times New Roman"/>
          <w:color w:val="auto"/>
          <w:shd w:val="clear" w:color="auto" w:fill="auto"/>
        </w:rPr>
        <w:t>雨：不大于中雨，降雨强度大于中雨，停止作业。雾：能见度小于1</w:t>
      </w:r>
      <w:r>
        <w:rPr>
          <w:rFonts w:hint="eastAsia" w:cs="Times New Roman"/>
          <w:color w:val="auto"/>
          <w:shd w:val="clear" w:color="auto" w:fill="auto"/>
          <w:lang w:eastAsia="zh-CN"/>
        </w:rPr>
        <w:t>km</w:t>
      </w:r>
      <w:r>
        <w:rPr>
          <w:rFonts w:hint="eastAsia" w:cs="Times New Roman"/>
          <w:color w:val="auto"/>
          <w:shd w:val="clear" w:color="auto" w:fill="auto"/>
        </w:rPr>
        <w:t>时，船舶停止航行及进出港。雷暴：影响电气，停止作业。</w:t>
      </w:r>
    </w:p>
    <w:p>
      <w:pPr>
        <w:ind w:firstLine="480"/>
        <w:rPr>
          <w:rFonts w:hint="eastAsia" w:cs="Times New Roman"/>
          <w:color w:val="auto"/>
          <w:shd w:val="clear" w:color="auto" w:fill="auto"/>
        </w:rPr>
      </w:pPr>
      <w:r>
        <w:rPr>
          <w:rFonts w:hint="eastAsia" w:cs="Times New Roman"/>
          <w:color w:val="auto"/>
          <w:shd w:val="clear" w:color="auto" w:fill="auto"/>
        </w:rPr>
        <w:t>水位：高于设计高水位或低于设计低水位，船舶驶离码头。</w:t>
      </w:r>
    </w:p>
    <w:p>
      <w:pPr>
        <w:ind w:firstLine="480"/>
        <w:rPr>
          <w:rFonts w:hint="eastAsia" w:cs="Times New Roman"/>
          <w:color w:val="auto"/>
          <w:shd w:val="clear" w:color="auto" w:fill="auto"/>
        </w:rPr>
      </w:pPr>
      <w:r>
        <w:rPr>
          <w:rFonts w:hint="eastAsia" w:cs="Times New Roman"/>
          <w:color w:val="auto"/>
          <w:shd w:val="clear" w:color="auto" w:fill="auto"/>
        </w:rPr>
        <w:t>2.影响作业天数</w:t>
      </w:r>
    </w:p>
    <w:p>
      <w:pPr>
        <w:ind w:firstLine="480"/>
        <w:rPr>
          <w:color w:val="auto"/>
          <w:shd w:val="clear" w:color="auto" w:fill="auto"/>
        </w:rPr>
      </w:pPr>
      <w:r>
        <w:rPr>
          <w:rFonts w:hint="eastAsia" w:cs="Times New Roman"/>
          <w:color w:val="auto"/>
          <w:shd w:val="clear" w:color="auto" w:fill="auto"/>
        </w:rPr>
        <w:t>根据码头装卸作业标准，对影响港口作业的各种因素进行统计分析， 风影响约8天，雨影响约20天，雾影响约10天，雷暴影响约32天，水位影响约5天，扣除有关因素相互重叠的影响，确定本码头年影响作业天数为45天，即年工作天数为320天</w:t>
      </w:r>
      <w:r>
        <w:rPr>
          <w:rFonts w:hint="eastAsia"/>
          <w:color w:val="auto"/>
          <w:shd w:val="clear" w:color="auto" w:fill="auto"/>
        </w:rPr>
        <w:t>。</w:t>
      </w:r>
    </w:p>
    <w:p>
      <w:pPr>
        <w:pStyle w:val="4"/>
        <w:spacing w:before="156" w:after="156"/>
        <w:rPr>
          <w:rFonts w:hint="eastAsia"/>
          <w:color w:val="auto"/>
          <w:highlight w:val="none"/>
          <w:shd w:val="clear" w:color="auto" w:fill="auto"/>
        </w:rPr>
      </w:pPr>
      <w:bookmarkStart w:id="241" w:name="_Toc9896"/>
      <w:bookmarkStart w:id="242" w:name="_Toc4359_WPSOffice_Level2"/>
      <w:bookmarkStart w:id="243" w:name="_Toc20591_WPSOffice_Level2"/>
      <w:r>
        <w:rPr>
          <w:rFonts w:hint="eastAsia"/>
          <w:color w:val="auto"/>
          <w:highlight w:val="none"/>
          <w:shd w:val="clear" w:color="auto" w:fill="auto"/>
          <w:lang w:val="en-US" w:eastAsia="zh-CN"/>
        </w:rPr>
        <w:t>3</w:t>
      </w:r>
      <w:r>
        <w:rPr>
          <w:rFonts w:hint="eastAsia"/>
          <w:color w:val="auto"/>
          <w:highlight w:val="none"/>
          <w:shd w:val="clear" w:color="auto" w:fill="auto"/>
        </w:rPr>
        <w:t>.2 大气环境质量现状监测与评价</w:t>
      </w:r>
      <w:bookmarkEnd w:id="241"/>
      <w:bookmarkEnd w:id="242"/>
      <w:bookmarkEnd w:id="243"/>
    </w:p>
    <w:p>
      <w:pPr>
        <w:pStyle w:val="6"/>
        <w:bidi w:val="0"/>
        <w:rPr>
          <w:rFonts w:hint="eastAsia"/>
        </w:rPr>
      </w:pPr>
      <w:r>
        <w:rPr>
          <w:rFonts w:hint="eastAsia"/>
          <w:lang w:val="en-US" w:eastAsia="zh-CN"/>
        </w:rPr>
        <w:t>3.2.1.1</w:t>
      </w:r>
      <w:r>
        <w:rPr>
          <w:rFonts w:hint="eastAsia"/>
        </w:rPr>
        <w:t>拟建项目</w:t>
      </w:r>
      <w:r>
        <w:t>所在地环境空气质量区域达标判定</w:t>
      </w:r>
    </w:p>
    <w:p>
      <w:pPr>
        <w:bidi w:val="0"/>
        <w:rPr>
          <w:rFonts w:hint="eastAsia"/>
          <w:color w:val="auto"/>
          <w:shd w:val="clear" w:color="auto" w:fill="auto"/>
        </w:rPr>
      </w:pPr>
      <w:bookmarkStart w:id="244" w:name="_Toc14169_WPSOffice_Level2"/>
      <w:bookmarkStart w:id="245" w:name="_Toc7024_WPSOffice_Level2"/>
      <w:r>
        <w:rPr>
          <w:rFonts w:hint="eastAsia"/>
          <w:color w:val="auto"/>
          <w:shd w:val="clear" w:color="auto" w:fill="auto"/>
        </w:rPr>
        <w:t>根据《环境影响评价技术导则 大气环境》（</w:t>
      </w:r>
      <w:r>
        <w:rPr>
          <w:rFonts w:hint="default"/>
          <w:color w:val="auto"/>
          <w:shd w:val="clear" w:color="auto" w:fill="auto"/>
        </w:rPr>
        <w:t>HJ2.2-2018</w:t>
      </w:r>
      <w:r>
        <w:rPr>
          <w:rFonts w:hint="eastAsia"/>
          <w:color w:val="auto"/>
          <w:shd w:val="clear" w:color="auto" w:fill="auto"/>
        </w:rPr>
        <w:t>），项目所在区域达标情况判定优先采用国家或地方生态环境主管部门公开发布的环境质量公告或环境质量报告中的数据或结论。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引用阜阳市</w:t>
      </w:r>
      <w:r>
        <w:rPr>
          <w:rFonts w:hint="eastAsia" w:cs="Times New Roman"/>
          <w:color w:val="auto"/>
          <w:sz w:val="24"/>
          <w:szCs w:val="24"/>
          <w:lang w:val="en-US" w:eastAsia="zh-CN"/>
        </w:rPr>
        <w:t>生态环境局</w:t>
      </w:r>
      <w:r>
        <w:rPr>
          <w:rFonts w:hint="eastAsia" w:ascii="Times New Roman" w:hAnsi="Times New Roman" w:cs="Times New Roman"/>
          <w:color w:val="auto"/>
          <w:sz w:val="24"/>
          <w:szCs w:val="24"/>
          <w:lang w:val="en-US" w:eastAsia="zh-CN"/>
        </w:rPr>
        <w:t>发布的《</w:t>
      </w:r>
      <w:r>
        <w:rPr>
          <w:rFonts w:hint="eastAsia" w:cs="Times New Roman"/>
          <w:color w:val="auto"/>
          <w:sz w:val="24"/>
          <w:szCs w:val="24"/>
          <w:lang w:val="en-US" w:eastAsia="zh-CN"/>
        </w:rPr>
        <w:t>2019年</w:t>
      </w:r>
      <w:r>
        <w:rPr>
          <w:rFonts w:hint="eastAsia" w:ascii="Times New Roman" w:hAnsi="Times New Roman" w:cs="Times New Roman"/>
          <w:color w:val="auto"/>
          <w:sz w:val="24"/>
          <w:szCs w:val="24"/>
          <w:lang w:val="en-US" w:eastAsia="zh-CN"/>
        </w:rPr>
        <w:t>阜阳市</w:t>
      </w:r>
      <w:r>
        <w:rPr>
          <w:rFonts w:hint="eastAsia" w:cs="Times New Roman"/>
          <w:color w:val="auto"/>
          <w:sz w:val="24"/>
          <w:szCs w:val="24"/>
          <w:lang w:val="en-US" w:eastAsia="zh-CN"/>
        </w:rPr>
        <w:t>环境质量概要</w:t>
      </w:r>
      <w:r>
        <w:rPr>
          <w:rFonts w:hint="eastAsia" w:ascii="Times New Roman" w:hAnsi="Times New Roman" w:cs="Times New Roman"/>
          <w:color w:val="auto"/>
          <w:sz w:val="24"/>
          <w:szCs w:val="24"/>
          <w:lang w:val="en-US" w:eastAsia="zh-CN"/>
        </w:rPr>
        <w:t>》数据。</w:t>
      </w:r>
    </w:p>
    <w:p>
      <w:pPr>
        <w:bidi w:val="0"/>
        <w:rPr>
          <w:rFonts w:hint="eastAsia" w:ascii="Times New Roman" w:hAnsi="Times New Roman" w:cs="Times New Roman"/>
          <w:color w:val="auto"/>
          <w:sz w:val="24"/>
          <w:szCs w:val="24"/>
        </w:rPr>
      </w:pPr>
      <w:r>
        <w:rPr>
          <w:rFonts w:hint="eastAsia"/>
          <w:color w:val="auto"/>
          <w:shd w:val="clear" w:color="auto" w:fill="auto"/>
        </w:rPr>
        <w:t>2019年全市二氧化硫日均值浓度变化范围在2-13微克/立方米之间，均值为6微克/立方米；二氧化氮日均值浓度变化范围在9-69微克/立方米之间，均值为31微克/立方米；一氧化碳日均值浓度变化范围在0.3-1.8微克/立方米之间，均值为0.7毫克/立方米；臭氧日均值浓度变化范围在6-219微克/立方米之间，日最大8小时均值为110微克/立方米；可吸入颗粒物日均值浓度变化范围在11-306微克/立方米之间，均值为84微克/立方米；细颗粒物日均值浓度变化范围在5-251微克/立方米之间，均值为51微克/立方米，除可吸入颗粒物和细颗粒物年均浓度值超过空气环境质量二级标准，其余污染物浓度值均符合空气环境质量二级标准</w:t>
      </w:r>
      <w:r>
        <w:rPr>
          <w:rFonts w:hint="eastAsia"/>
          <w:color w:val="auto"/>
          <w:shd w:val="clear" w:color="auto" w:fill="auto"/>
          <w:lang w:val="en-US" w:eastAsia="zh-CN"/>
        </w:rPr>
        <w:t>。</w:t>
      </w:r>
      <w:r>
        <w:rPr>
          <w:rFonts w:hint="eastAsia" w:ascii="Times New Roman" w:hAnsi="Times New Roman" w:cs="Times New Roman"/>
          <w:color w:val="auto"/>
          <w:sz w:val="24"/>
          <w:szCs w:val="24"/>
        </w:rPr>
        <w:t>区域空气质量现状评价情况详见下表。</w:t>
      </w:r>
    </w:p>
    <w:p>
      <w:pPr>
        <w:tabs>
          <w:tab w:val="left" w:pos="1526"/>
        </w:tabs>
        <w:autoSpaceDE w:val="0"/>
        <w:autoSpaceDN w:val="0"/>
        <w:ind w:firstLine="0" w:firstLineChars="0"/>
        <w:jc w:val="center"/>
        <w:rPr>
          <w:rFonts w:hint="eastAsia" w:eastAsia="黑体"/>
          <w:color w:val="auto"/>
          <w:lang w:val="en-US" w:eastAsia="zh-CN"/>
        </w:rPr>
      </w:pPr>
      <w:r>
        <w:rPr>
          <w:rFonts w:hint="eastAsia" w:eastAsia="黑体"/>
          <w:color w:val="auto"/>
          <w:lang w:val="en-US" w:eastAsia="zh-CN"/>
        </w:rPr>
        <w:t>表3.2-1  区域空气质量现状评价一览表</w:t>
      </w:r>
    </w:p>
    <w:tbl>
      <w:tblPr>
        <w:tblStyle w:val="27"/>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914"/>
        <w:gridCol w:w="2380"/>
        <w:gridCol w:w="1442"/>
        <w:gridCol w:w="1176"/>
        <w:gridCol w:w="1316"/>
        <w:gridCol w:w="129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64" w:hRule="atLeast"/>
          <w:jc w:val="center"/>
        </w:trPr>
        <w:tc>
          <w:tcPr>
            <w:tcW w:w="536"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污染物</w:t>
            </w:r>
          </w:p>
        </w:tc>
        <w:tc>
          <w:tcPr>
            <w:tcW w:w="1396"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年评价指标</w:t>
            </w:r>
          </w:p>
        </w:tc>
        <w:tc>
          <w:tcPr>
            <w:tcW w:w="846"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现状浓度</w:t>
            </w:r>
            <w:r>
              <w:rPr>
                <w:rFonts w:hint="eastAsia" w:ascii="Times New Roman" w:hAnsi="Times New Roman" w:eastAsia="宋体" w:cs="Times New Roman"/>
                <w:b w:val="0"/>
                <w:bCs w:val="0"/>
                <w:color w:val="auto"/>
                <w:sz w:val="21"/>
                <w:szCs w:val="21"/>
                <w:vertAlign w:val="baseline"/>
                <w:lang w:val="en-US" w:eastAsia="zh-CN"/>
              </w:rPr>
              <w:t>（</w:t>
            </w:r>
            <w:r>
              <w:rPr>
                <w:rFonts w:hint="default" w:ascii="Times New Roman" w:hAnsi="Times New Roman" w:eastAsia="宋体" w:cs="Times New Roman"/>
                <w:b w:val="0"/>
                <w:bCs w:val="0"/>
                <w:color w:val="auto"/>
                <w:sz w:val="21"/>
                <w:szCs w:val="21"/>
                <w:vertAlign w:val="baseline"/>
                <w:lang w:val="en-US" w:eastAsia="zh-CN"/>
              </w:rPr>
              <w:t>µg/</w:t>
            </w:r>
            <w:r>
              <w:rPr>
                <w:rFonts w:hint="eastAsia" w:ascii="Times New Roman" w:hAnsi="Times New Roman" w:eastAsia="宋体" w:cs="Times New Roman"/>
                <w:b w:val="0"/>
                <w:bCs w:val="0"/>
                <w:color w:val="auto"/>
                <w:sz w:val="21"/>
                <w:szCs w:val="21"/>
                <w:vertAlign w:val="baseline"/>
                <w:lang w:val="en-US" w:eastAsia="zh-CN"/>
              </w:rPr>
              <w:t>m</w:t>
            </w:r>
            <w:r>
              <w:rPr>
                <w:rFonts w:hint="eastAsia" w:ascii="Times New Roman" w:hAnsi="Times New Roman" w:eastAsia="宋体" w:cs="Times New Roman"/>
                <w:b w:val="0"/>
                <w:bCs w:val="0"/>
                <w:color w:val="auto"/>
                <w:sz w:val="21"/>
                <w:szCs w:val="21"/>
                <w:vertAlign w:val="superscript"/>
                <w:lang w:val="en-US" w:eastAsia="zh-CN"/>
              </w:rPr>
              <w:t>3</w:t>
            </w:r>
            <w:r>
              <w:rPr>
                <w:rFonts w:hint="eastAsia" w:ascii="Times New Roman" w:hAnsi="Times New Roman" w:eastAsia="宋体" w:cs="Times New Roman"/>
                <w:b w:val="0"/>
                <w:bCs w:val="0"/>
                <w:color w:val="auto"/>
                <w:sz w:val="21"/>
                <w:szCs w:val="21"/>
                <w:vertAlign w:val="baseline"/>
                <w:lang w:val="en-US" w:eastAsia="zh-CN"/>
              </w:rPr>
              <w:t>）</w:t>
            </w:r>
          </w:p>
        </w:tc>
        <w:tc>
          <w:tcPr>
            <w:tcW w:w="690"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标准值</w:t>
            </w:r>
            <w:r>
              <w:rPr>
                <w:rFonts w:hint="eastAsia" w:ascii="Times New Roman" w:hAnsi="Times New Roman" w:eastAsia="宋体" w:cs="Times New Roman"/>
                <w:b w:val="0"/>
                <w:bCs w:val="0"/>
                <w:color w:val="auto"/>
                <w:sz w:val="21"/>
                <w:szCs w:val="21"/>
                <w:vertAlign w:val="baseline"/>
                <w:lang w:val="en-US" w:eastAsia="zh-CN"/>
              </w:rPr>
              <w:t>（</w:t>
            </w:r>
            <w:r>
              <w:rPr>
                <w:rFonts w:hint="default" w:ascii="Times New Roman" w:hAnsi="Times New Roman" w:eastAsia="宋体" w:cs="Times New Roman"/>
                <w:b w:val="0"/>
                <w:bCs w:val="0"/>
                <w:color w:val="auto"/>
                <w:sz w:val="21"/>
                <w:szCs w:val="21"/>
                <w:vertAlign w:val="baseline"/>
                <w:lang w:val="en-US" w:eastAsia="zh-CN"/>
              </w:rPr>
              <w:t>µg/</w:t>
            </w:r>
            <w:r>
              <w:rPr>
                <w:rFonts w:hint="eastAsia" w:ascii="Times New Roman" w:hAnsi="Times New Roman" w:eastAsia="宋体" w:cs="Times New Roman"/>
                <w:b w:val="0"/>
                <w:bCs w:val="0"/>
                <w:color w:val="auto"/>
                <w:sz w:val="21"/>
                <w:szCs w:val="21"/>
                <w:vertAlign w:val="baseline"/>
                <w:lang w:val="en-US" w:eastAsia="zh-CN"/>
              </w:rPr>
              <w:t>m</w:t>
            </w:r>
            <w:r>
              <w:rPr>
                <w:rFonts w:hint="eastAsia" w:ascii="Times New Roman" w:hAnsi="Times New Roman" w:eastAsia="宋体" w:cs="Times New Roman"/>
                <w:b w:val="0"/>
                <w:bCs w:val="0"/>
                <w:color w:val="auto"/>
                <w:sz w:val="21"/>
                <w:szCs w:val="21"/>
                <w:vertAlign w:val="superscript"/>
                <w:lang w:val="en-US" w:eastAsia="zh-CN"/>
              </w:rPr>
              <w:t>3</w:t>
            </w:r>
            <w:r>
              <w:rPr>
                <w:rFonts w:hint="eastAsia" w:ascii="Times New Roman" w:hAnsi="Times New Roman" w:eastAsia="宋体" w:cs="Times New Roman"/>
                <w:b w:val="0"/>
                <w:bCs w:val="0"/>
                <w:color w:val="auto"/>
                <w:sz w:val="21"/>
                <w:szCs w:val="21"/>
                <w:vertAlign w:val="baseline"/>
                <w:lang w:val="en-US" w:eastAsia="zh-CN"/>
              </w:rPr>
              <w:t>）</w:t>
            </w:r>
          </w:p>
        </w:tc>
        <w:tc>
          <w:tcPr>
            <w:tcW w:w="772"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占标率</w:t>
            </w:r>
          </w:p>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c>
          <w:tcPr>
            <w:tcW w:w="757"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达标情况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536"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SO</w:t>
            </w:r>
            <w:r>
              <w:rPr>
                <w:rFonts w:hint="eastAsia" w:ascii="Times New Roman" w:hAnsi="Times New Roman" w:eastAsia="宋体" w:cs="Times New Roman"/>
                <w:b w:val="0"/>
                <w:bCs w:val="0"/>
                <w:color w:val="auto"/>
                <w:sz w:val="21"/>
                <w:szCs w:val="21"/>
                <w:vertAlign w:val="subscript"/>
                <w:lang w:val="en-US" w:eastAsia="zh-CN"/>
              </w:rPr>
              <w:t>2</w:t>
            </w:r>
          </w:p>
        </w:tc>
        <w:tc>
          <w:tcPr>
            <w:tcW w:w="1396"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年平均质量浓度</w:t>
            </w:r>
          </w:p>
        </w:tc>
        <w:tc>
          <w:tcPr>
            <w:tcW w:w="846"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6</w:t>
            </w:r>
          </w:p>
        </w:tc>
        <w:tc>
          <w:tcPr>
            <w:tcW w:w="690"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60</w:t>
            </w:r>
          </w:p>
        </w:tc>
        <w:tc>
          <w:tcPr>
            <w:tcW w:w="1316" w:type="dxa"/>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10.00</w:t>
            </w:r>
          </w:p>
        </w:tc>
        <w:tc>
          <w:tcPr>
            <w:tcW w:w="757"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536"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NO</w:t>
            </w:r>
            <w:r>
              <w:rPr>
                <w:rFonts w:hint="eastAsia" w:ascii="Times New Roman" w:hAnsi="Times New Roman" w:eastAsia="宋体" w:cs="Times New Roman"/>
                <w:b w:val="0"/>
                <w:bCs w:val="0"/>
                <w:color w:val="auto"/>
                <w:sz w:val="21"/>
                <w:szCs w:val="21"/>
                <w:vertAlign w:val="subscript"/>
                <w:lang w:val="en-US" w:eastAsia="zh-CN"/>
              </w:rPr>
              <w:t>2</w:t>
            </w:r>
          </w:p>
        </w:tc>
        <w:tc>
          <w:tcPr>
            <w:tcW w:w="139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年平均质量浓度</w:t>
            </w:r>
          </w:p>
        </w:tc>
        <w:tc>
          <w:tcPr>
            <w:tcW w:w="846"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31</w:t>
            </w:r>
          </w:p>
        </w:tc>
        <w:tc>
          <w:tcPr>
            <w:tcW w:w="690"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40</w:t>
            </w:r>
          </w:p>
        </w:tc>
        <w:tc>
          <w:tcPr>
            <w:tcW w:w="1316" w:type="dxa"/>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77.50</w:t>
            </w:r>
          </w:p>
        </w:tc>
        <w:tc>
          <w:tcPr>
            <w:tcW w:w="75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536"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CO</w:t>
            </w:r>
          </w:p>
        </w:tc>
        <w:tc>
          <w:tcPr>
            <w:tcW w:w="139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日平均质量浓度</w:t>
            </w:r>
          </w:p>
        </w:tc>
        <w:tc>
          <w:tcPr>
            <w:tcW w:w="846"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700</w:t>
            </w:r>
          </w:p>
        </w:tc>
        <w:tc>
          <w:tcPr>
            <w:tcW w:w="690"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4000</w:t>
            </w:r>
          </w:p>
        </w:tc>
        <w:tc>
          <w:tcPr>
            <w:tcW w:w="1316" w:type="dxa"/>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17.50</w:t>
            </w:r>
          </w:p>
        </w:tc>
        <w:tc>
          <w:tcPr>
            <w:tcW w:w="75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536"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O</w:t>
            </w:r>
            <w:r>
              <w:rPr>
                <w:rFonts w:hint="eastAsia" w:ascii="Times New Roman" w:hAnsi="Times New Roman" w:eastAsia="宋体" w:cs="Times New Roman"/>
                <w:b w:val="0"/>
                <w:bCs w:val="0"/>
                <w:color w:val="auto"/>
                <w:sz w:val="21"/>
                <w:szCs w:val="21"/>
                <w:vertAlign w:val="subscript"/>
                <w:lang w:val="en-US" w:eastAsia="zh-CN"/>
              </w:rPr>
              <w:t>3</w:t>
            </w:r>
          </w:p>
        </w:tc>
        <w:tc>
          <w:tcPr>
            <w:tcW w:w="139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color w:val="auto"/>
                <w:sz w:val="21"/>
                <w:szCs w:val="21"/>
                <w:lang w:eastAsia="zh-CN"/>
              </w:rPr>
              <w:t>日最大</w:t>
            </w:r>
            <w:r>
              <w:rPr>
                <w:rFonts w:hint="default" w:ascii="Times New Roman" w:hAnsi="Times New Roman" w:cs="Times New Roman"/>
                <w:color w:val="auto"/>
                <w:sz w:val="21"/>
                <w:szCs w:val="21"/>
                <w:lang w:val="en-US" w:eastAsia="zh-CN"/>
              </w:rPr>
              <w:t>8h平均</w:t>
            </w:r>
            <w:r>
              <w:rPr>
                <w:rFonts w:hint="eastAsia" w:ascii="Times New Roman" w:hAnsi="Times New Roman" w:eastAsia="宋体" w:cs="Times New Roman"/>
                <w:b w:val="0"/>
                <w:bCs w:val="0"/>
                <w:color w:val="auto"/>
                <w:sz w:val="21"/>
                <w:szCs w:val="21"/>
                <w:vertAlign w:val="baseline"/>
                <w:lang w:val="en-US" w:eastAsia="zh-CN"/>
              </w:rPr>
              <w:t>质量浓度</w:t>
            </w:r>
          </w:p>
        </w:tc>
        <w:tc>
          <w:tcPr>
            <w:tcW w:w="846"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110</w:t>
            </w:r>
          </w:p>
        </w:tc>
        <w:tc>
          <w:tcPr>
            <w:tcW w:w="690"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160</w:t>
            </w:r>
          </w:p>
        </w:tc>
        <w:tc>
          <w:tcPr>
            <w:tcW w:w="1316" w:type="dxa"/>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68.75</w:t>
            </w:r>
          </w:p>
        </w:tc>
        <w:tc>
          <w:tcPr>
            <w:tcW w:w="75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536"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PM</w:t>
            </w:r>
            <w:r>
              <w:rPr>
                <w:rFonts w:hint="eastAsia" w:ascii="Times New Roman" w:hAnsi="Times New Roman" w:eastAsia="宋体" w:cs="Times New Roman"/>
                <w:b w:val="0"/>
                <w:bCs w:val="0"/>
                <w:color w:val="auto"/>
                <w:sz w:val="21"/>
                <w:szCs w:val="21"/>
                <w:vertAlign w:val="subscript"/>
                <w:lang w:val="en-US" w:eastAsia="zh-CN"/>
              </w:rPr>
              <w:t>10</w:t>
            </w:r>
          </w:p>
        </w:tc>
        <w:tc>
          <w:tcPr>
            <w:tcW w:w="139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年平均质量浓度</w:t>
            </w:r>
          </w:p>
        </w:tc>
        <w:tc>
          <w:tcPr>
            <w:tcW w:w="846"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84</w:t>
            </w:r>
          </w:p>
        </w:tc>
        <w:tc>
          <w:tcPr>
            <w:tcW w:w="690"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70</w:t>
            </w:r>
          </w:p>
        </w:tc>
        <w:tc>
          <w:tcPr>
            <w:tcW w:w="1316" w:type="dxa"/>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120.00</w:t>
            </w:r>
          </w:p>
        </w:tc>
        <w:tc>
          <w:tcPr>
            <w:tcW w:w="757"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不达标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9" w:hRule="atLeast"/>
          <w:jc w:val="center"/>
        </w:trPr>
        <w:tc>
          <w:tcPr>
            <w:tcW w:w="536"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PM</w:t>
            </w:r>
            <w:r>
              <w:rPr>
                <w:rFonts w:hint="eastAsia" w:ascii="Times New Roman" w:hAnsi="Times New Roman" w:eastAsia="宋体" w:cs="Times New Roman"/>
                <w:b w:val="0"/>
                <w:bCs w:val="0"/>
                <w:color w:val="auto"/>
                <w:sz w:val="21"/>
                <w:szCs w:val="21"/>
                <w:vertAlign w:val="subscript"/>
                <w:lang w:val="en-US" w:eastAsia="zh-CN"/>
              </w:rPr>
              <w:t>2.5</w:t>
            </w:r>
          </w:p>
        </w:tc>
        <w:tc>
          <w:tcPr>
            <w:tcW w:w="139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年平均质量浓度</w:t>
            </w:r>
          </w:p>
        </w:tc>
        <w:tc>
          <w:tcPr>
            <w:tcW w:w="846"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51</w:t>
            </w:r>
          </w:p>
        </w:tc>
        <w:tc>
          <w:tcPr>
            <w:tcW w:w="690"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35</w:t>
            </w:r>
          </w:p>
        </w:tc>
        <w:tc>
          <w:tcPr>
            <w:tcW w:w="1316" w:type="dxa"/>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145.71</w:t>
            </w:r>
          </w:p>
        </w:tc>
        <w:tc>
          <w:tcPr>
            <w:tcW w:w="757" w:type="pct"/>
            <w:tcBorders>
              <w:tl2br w:val="nil"/>
              <w:tr2bl w:val="nil"/>
            </w:tcBorders>
            <w:noWrap w:val="0"/>
            <w:vAlign w:val="center"/>
          </w:tcPr>
          <w:p>
            <w:pPr>
              <w:pStyle w:val="23"/>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不达标</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szCs w:val="24"/>
          <w:lang w:val="en-GB"/>
        </w:rPr>
      </w:pPr>
      <w:r>
        <w:rPr>
          <w:rFonts w:hint="eastAsia" w:ascii="Times New Roman" w:hAnsi="Times New Roman" w:cs="Times New Roman"/>
          <w:color w:val="auto"/>
          <w:sz w:val="24"/>
          <w:szCs w:val="24"/>
          <w:lang w:val="en-GB"/>
        </w:rPr>
        <w:t>根据《环境影响评价技术导则 大气环境》（HJ2.2-2018）中“6.4.1.1 城市环境空气质量达标情况评价指标为SO</w:t>
      </w:r>
      <w:r>
        <w:rPr>
          <w:rFonts w:hint="eastAsia" w:ascii="Times New Roman" w:hAnsi="Times New Roman" w:cs="Times New Roman"/>
          <w:color w:val="auto"/>
          <w:sz w:val="24"/>
          <w:szCs w:val="24"/>
          <w:vertAlign w:val="subscript"/>
          <w:lang w:val="en-GB"/>
        </w:rPr>
        <w:t>2</w:t>
      </w:r>
      <w:r>
        <w:rPr>
          <w:rFonts w:hint="eastAsia" w:ascii="Times New Roman" w:hAnsi="Times New Roman" w:cs="Times New Roman"/>
          <w:color w:val="auto"/>
          <w:sz w:val="24"/>
          <w:szCs w:val="24"/>
          <w:lang w:val="en-GB"/>
        </w:rPr>
        <w:t>、NO</w:t>
      </w:r>
      <w:r>
        <w:rPr>
          <w:rFonts w:hint="eastAsia" w:ascii="Times New Roman" w:hAnsi="Times New Roman" w:cs="Times New Roman"/>
          <w:color w:val="auto"/>
          <w:sz w:val="24"/>
          <w:szCs w:val="24"/>
          <w:vertAlign w:val="subscript"/>
          <w:lang w:val="en-GB"/>
        </w:rPr>
        <w:t>2</w:t>
      </w:r>
      <w:r>
        <w:rPr>
          <w:rFonts w:hint="eastAsia" w:ascii="Times New Roman" w:hAnsi="Times New Roman" w:cs="Times New Roman"/>
          <w:color w:val="auto"/>
          <w:sz w:val="24"/>
          <w:szCs w:val="24"/>
          <w:lang w:val="en-GB"/>
        </w:rPr>
        <w:t>、</w:t>
      </w:r>
      <w:r>
        <w:rPr>
          <w:rFonts w:hint="eastAsia" w:ascii="Times New Roman" w:hAnsi="Times New Roman" w:cs="Times New Roman"/>
          <w:color w:val="auto"/>
          <w:sz w:val="24"/>
          <w:szCs w:val="24"/>
          <w:lang w:val="en-GB" w:eastAsia="zh-CN"/>
        </w:rPr>
        <w:t>PM</w:t>
      </w:r>
      <w:r>
        <w:rPr>
          <w:rFonts w:hint="eastAsia" w:ascii="Times New Roman" w:hAnsi="Times New Roman" w:cs="Times New Roman"/>
          <w:color w:val="auto"/>
          <w:sz w:val="24"/>
          <w:szCs w:val="24"/>
          <w:vertAlign w:val="subscript"/>
          <w:lang w:val="en-GB"/>
        </w:rPr>
        <w:t>10</w:t>
      </w:r>
      <w:r>
        <w:rPr>
          <w:rFonts w:hint="eastAsia" w:ascii="Times New Roman" w:hAnsi="Times New Roman" w:cs="Times New Roman"/>
          <w:color w:val="auto"/>
          <w:sz w:val="24"/>
          <w:szCs w:val="24"/>
          <w:lang w:val="en-GB"/>
        </w:rPr>
        <w:t>、</w:t>
      </w:r>
      <w:r>
        <w:rPr>
          <w:rFonts w:hint="eastAsia" w:ascii="Times New Roman" w:hAnsi="Times New Roman" w:cs="Times New Roman"/>
          <w:color w:val="auto"/>
          <w:sz w:val="24"/>
          <w:szCs w:val="24"/>
          <w:lang w:val="en-GB" w:eastAsia="zh-CN"/>
        </w:rPr>
        <w:t>PM</w:t>
      </w:r>
      <w:r>
        <w:rPr>
          <w:rFonts w:hint="eastAsia" w:ascii="Times New Roman" w:hAnsi="Times New Roman" w:cs="Times New Roman"/>
          <w:color w:val="auto"/>
          <w:sz w:val="24"/>
          <w:szCs w:val="24"/>
          <w:vertAlign w:val="subscript"/>
          <w:lang w:val="en-GB" w:eastAsia="zh-CN"/>
        </w:rPr>
        <w:t>2.5</w:t>
      </w:r>
      <w:r>
        <w:rPr>
          <w:rFonts w:hint="eastAsia" w:ascii="Times New Roman" w:hAnsi="Times New Roman" w:cs="Times New Roman"/>
          <w:color w:val="auto"/>
          <w:sz w:val="24"/>
          <w:szCs w:val="24"/>
          <w:lang w:val="en-GB"/>
        </w:rPr>
        <w:t>、CO和O</w:t>
      </w:r>
      <w:r>
        <w:rPr>
          <w:rFonts w:hint="eastAsia" w:ascii="Times New Roman" w:hAnsi="Times New Roman" w:cs="Times New Roman"/>
          <w:color w:val="auto"/>
          <w:sz w:val="24"/>
          <w:szCs w:val="24"/>
          <w:vertAlign w:val="subscript"/>
          <w:lang w:val="en-GB"/>
        </w:rPr>
        <w:t>3</w:t>
      </w:r>
      <w:r>
        <w:rPr>
          <w:rFonts w:hint="eastAsia" w:ascii="Times New Roman" w:hAnsi="Times New Roman" w:cs="Times New Roman"/>
          <w:color w:val="auto"/>
          <w:sz w:val="24"/>
          <w:szCs w:val="24"/>
          <w:lang w:val="en-GB"/>
        </w:rPr>
        <w:t>，六项污染物全部达标即为城市环境空气质量达标。”</w:t>
      </w:r>
    </w:p>
    <w:p>
      <w:pPr>
        <w:spacing w:line="480" w:lineRule="exact"/>
        <w:ind w:firstLine="480"/>
        <w:rPr>
          <w:rFonts w:hint="eastAsia" w:ascii="瀹嬩綋" w:hAnsi="瀹嬩綋" w:eastAsia="瀹嬩綋"/>
          <w:color w:val="auto"/>
          <w:sz w:val="24"/>
          <w:shd w:val="clear" w:color="auto" w:fill="auto"/>
        </w:rPr>
      </w:pPr>
      <w:r>
        <w:rPr>
          <w:rFonts w:hint="eastAsia" w:ascii="Times New Roman" w:hAnsi="Times New Roman" w:cs="Times New Roman"/>
          <w:color w:val="auto"/>
          <w:sz w:val="24"/>
          <w:szCs w:val="24"/>
          <w:lang w:val="en-GB"/>
        </w:rPr>
        <w:t>从201</w:t>
      </w:r>
      <w:r>
        <w:rPr>
          <w:rFonts w:hint="eastAsia" w:cs="Times New Roman"/>
          <w:color w:val="auto"/>
          <w:sz w:val="24"/>
          <w:szCs w:val="24"/>
          <w:lang w:val="en-US" w:eastAsia="zh-CN"/>
        </w:rPr>
        <w:t>9</w:t>
      </w:r>
      <w:r>
        <w:rPr>
          <w:rFonts w:hint="eastAsia" w:ascii="Times New Roman" w:hAnsi="Times New Roman" w:cs="Times New Roman"/>
          <w:color w:val="auto"/>
          <w:sz w:val="24"/>
          <w:szCs w:val="24"/>
          <w:lang w:val="en-GB"/>
        </w:rPr>
        <w:t>年</w:t>
      </w:r>
      <w:r>
        <w:rPr>
          <w:rFonts w:hint="eastAsia" w:ascii="Times New Roman" w:hAnsi="Times New Roman" w:cs="Times New Roman"/>
          <w:color w:val="auto"/>
          <w:sz w:val="24"/>
          <w:szCs w:val="24"/>
          <w:lang w:val="en-US" w:eastAsia="zh-CN"/>
        </w:rPr>
        <w:t>阜阳市</w:t>
      </w:r>
      <w:r>
        <w:rPr>
          <w:rFonts w:hint="eastAsia" w:cs="Times New Roman"/>
          <w:color w:val="auto"/>
          <w:sz w:val="24"/>
          <w:szCs w:val="24"/>
          <w:lang w:val="en-US" w:eastAsia="zh-CN"/>
        </w:rPr>
        <w:t>生态环境局</w:t>
      </w:r>
      <w:r>
        <w:rPr>
          <w:rFonts w:hint="eastAsia" w:ascii="Times New Roman" w:hAnsi="Times New Roman" w:cs="Times New Roman"/>
          <w:color w:val="auto"/>
          <w:sz w:val="24"/>
          <w:szCs w:val="24"/>
          <w:lang w:val="en-GB"/>
        </w:rPr>
        <w:t>发布的区域环境质量</w:t>
      </w:r>
      <w:r>
        <w:rPr>
          <w:rFonts w:hint="eastAsia" w:cs="Times New Roman"/>
          <w:color w:val="auto"/>
          <w:sz w:val="24"/>
          <w:szCs w:val="24"/>
          <w:lang w:val="en-GB" w:eastAsia="zh-CN"/>
        </w:rPr>
        <w:t>概要</w:t>
      </w:r>
      <w:r>
        <w:rPr>
          <w:rFonts w:hint="eastAsia" w:ascii="Times New Roman" w:hAnsi="Times New Roman" w:cs="Times New Roman"/>
          <w:color w:val="auto"/>
          <w:sz w:val="24"/>
          <w:szCs w:val="24"/>
          <w:lang w:val="en-GB"/>
        </w:rPr>
        <w:t>结论可以看出阜阳市环境空气污染物六项基本项目中，二氧化硫、二氧化氮、一氧化碳、臭氧、细颗粒物（</w:t>
      </w:r>
      <w:r>
        <w:rPr>
          <w:rFonts w:hint="eastAsia" w:ascii="Times New Roman" w:hAnsi="Times New Roman" w:cs="Times New Roman"/>
          <w:color w:val="auto"/>
          <w:sz w:val="24"/>
          <w:szCs w:val="24"/>
          <w:lang w:val="en-GB" w:eastAsia="zh-CN"/>
        </w:rPr>
        <w:t>PM</w:t>
      </w:r>
      <w:r>
        <w:rPr>
          <w:rFonts w:hint="eastAsia" w:ascii="Times New Roman" w:hAnsi="Times New Roman" w:cs="Times New Roman"/>
          <w:color w:val="auto"/>
          <w:sz w:val="24"/>
          <w:szCs w:val="24"/>
          <w:vertAlign w:val="subscript"/>
          <w:lang w:val="en-GB" w:eastAsia="zh-CN"/>
        </w:rPr>
        <w:t>2.5</w:t>
      </w:r>
      <w:r>
        <w:rPr>
          <w:rFonts w:hint="eastAsia" w:ascii="Times New Roman" w:hAnsi="Times New Roman" w:cs="Times New Roman"/>
          <w:color w:val="auto"/>
          <w:sz w:val="24"/>
          <w:szCs w:val="24"/>
          <w:lang w:val="en-GB"/>
        </w:rPr>
        <w:t>）、可吸入颗粒物（</w:t>
      </w:r>
      <w:r>
        <w:rPr>
          <w:rFonts w:hint="eastAsia" w:ascii="Times New Roman" w:hAnsi="Times New Roman" w:cs="Times New Roman"/>
          <w:color w:val="auto"/>
          <w:sz w:val="24"/>
          <w:szCs w:val="24"/>
          <w:lang w:val="en-GB" w:eastAsia="zh-CN"/>
        </w:rPr>
        <w:t>PM</w:t>
      </w:r>
      <w:r>
        <w:rPr>
          <w:rFonts w:hint="eastAsia" w:ascii="Times New Roman" w:hAnsi="Times New Roman" w:cs="Times New Roman"/>
          <w:color w:val="auto"/>
          <w:sz w:val="24"/>
          <w:szCs w:val="24"/>
          <w:vertAlign w:val="subscript"/>
          <w:lang w:val="en-GB"/>
        </w:rPr>
        <w:t>10</w:t>
      </w:r>
      <w:r>
        <w:rPr>
          <w:rFonts w:hint="eastAsia" w:ascii="Times New Roman" w:hAnsi="Times New Roman" w:cs="Times New Roman"/>
          <w:color w:val="auto"/>
          <w:sz w:val="24"/>
          <w:szCs w:val="24"/>
          <w:lang w:val="en-GB"/>
        </w:rPr>
        <w:t>）年均值中，</w:t>
      </w:r>
      <w:r>
        <w:rPr>
          <w:rFonts w:hint="eastAsia" w:ascii="Times New Roman" w:hAnsi="Times New Roman" w:cs="Times New Roman"/>
          <w:color w:val="auto"/>
          <w:sz w:val="24"/>
          <w:szCs w:val="24"/>
          <w:lang w:val="en-GB" w:eastAsia="zh-CN"/>
        </w:rPr>
        <w:t>PM</w:t>
      </w:r>
      <w:r>
        <w:rPr>
          <w:rFonts w:hint="eastAsia" w:ascii="Times New Roman" w:hAnsi="Times New Roman" w:cs="Times New Roman"/>
          <w:color w:val="auto"/>
          <w:sz w:val="24"/>
          <w:szCs w:val="24"/>
          <w:vertAlign w:val="subscript"/>
          <w:lang w:val="en-GB"/>
        </w:rPr>
        <w:t>10</w:t>
      </w:r>
      <w:r>
        <w:rPr>
          <w:rFonts w:hint="eastAsia" w:ascii="Times New Roman" w:hAnsi="Times New Roman" w:cs="Times New Roman"/>
          <w:color w:val="auto"/>
          <w:sz w:val="24"/>
          <w:szCs w:val="24"/>
          <w:lang w:val="en-GB"/>
        </w:rPr>
        <w:t>、</w:t>
      </w:r>
      <w:r>
        <w:rPr>
          <w:rFonts w:hint="eastAsia" w:ascii="Times New Roman" w:hAnsi="Times New Roman" w:cs="Times New Roman"/>
          <w:color w:val="auto"/>
          <w:sz w:val="24"/>
          <w:szCs w:val="24"/>
          <w:lang w:val="en-GB" w:eastAsia="zh-CN"/>
        </w:rPr>
        <w:t>PM</w:t>
      </w:r>
      <w:r>
        <w:rPr>
          <w:rFonts w:hint="eastAsia" w:ascii="Times New Roman" w:hAnsi="Times New Roman" w:cs="Times New Roman"/>
          <w:color w:val="auto"/>
          <w:sz w:val="24"/>
          <w:szCs w:val="24"/>
          <w:vertAlign w:val="subscript"/>
          <w:lang w:val="en-GB" w:eastAsia="zh-CN"/>
        </w:rPr>
        <w:t>2.5</w:t>
      </w:r>
      <w:r>
        <w:rPr>
          <w:rFonts w:hint="eastAsia" w:ascii="Times New Roman" w:hAnsi="Times New Roman" w:cs="Times New Roman"/>
          <w:color w:val="auto"/>
          <w:sz w:val="24"/>
          <w:szCs w:val="24"/>
          <w:lang w:val="en-GB"/>
        </w:rPr>
        <w:t>均超标，最大超标倍数分别为</w:t>
      </w:r>
      <w:r>
        <w:rPr>
          <w:rFonts w:hint="eastAsia" w:cs="Times New Roman"/>
          <w:color w:val="auto"/>
          <w:sz w:val="24"/>
          <w:szCs w:val="24"/>
          <w:lang w:val="en-US" w:eastAsia="zh-CN"/>
        </w:rPr>
        <w:t>0.2</w:t>
      </w:r>
      <w:r>
        <w:rPr>
          <w:rFonts w:hint="eastAsia" w:ascii="Times New Roman" w:hAnsi="Times New Roman" w:cs="Times New Roman"/>
          <w:color w:val="auto"/>
          <w:sz w:val="24"/>
          <w:szCs w:val="24"/>
          <w:lang w:val="en-GB"/>
        </w:rPr>
        <w:t>和0.</w:t>
      </w:r>
      <w:r>
        <w:rPr>
          <w:rFonts w:hint="eastAsia" w:cs="Times New Roman"/>
          <w:color w:val="auto"/>
          <w:sz w:val="24"/>
          <w:szCs w:val="24"/>
          <w:lang w:val="en-US" w:eastAsia="zh-CN"/>
        </w:rPr>
        <w:t>4571</w:t>
      </w:r>
      <w:r>
        <w:rPr>
          <w:rFonts w:hint="eastAsia" w:ascii="Times New Roman" w:hAnsi="Times New Roman" w:cs="Times New Roman"/>
          <w:color w:val="auto"/>
          <w:sz w:val="24"/>
          <w:szCs w:val="24"/>
          <w:lang w:val="en-GB"/>
        </w:rPr>
        <w:t>倍，因此阜阳市空气质量不能满足《环境空气质量标准》（GB3095-2012）及2018年修改单中二级标准，项目所在区域</w:t>
      </w:r>
      <w:r>
        <w:rPr>
          <w:rFonts w:hint="eastAsia" w:cs="Times New Roman"/>
          <w:color w:val="auto"/>
          <w:sz w:val="24"/>
          <w:szCs w:val="24"/>
          <w:lang w:val="en-GB" w:eastAsia="zh-CN"/>
        </w:rPr>
        <w:t>为不达标区</w:t>
      </w:r>
      <w:r>
        <w:rPr>
          <w:rFonts w:hint="eastAsia" w:ascii="Times New Roman" w:hAnsi="Times New Roman" w:cs="Times New Roman"/>
          <w:color w:val="auto"/>
          <w:sz w:val="24"/>
          <w:szCs w:val="24"/>
          <w:lang w:val="en-GB"/>
        </w:rPr>
        <w:t>。</w:t>
      </w:r>
    </w:p>
    <w:bookmarkEnd w:id="244"/>
    <w:bookmarkEnd w:id="245"/>
    <w:p>
      <w:pPr>
        <w:pStyle w:val="4"/>
        <w:bidi w:val="0"/>
        <w:rPr>
          <w:rFonts w:hint="eastAsia"/>
          <w:lang w:eastAsia="zh-CN"/>
        </w:rPr>
      </w:pPr>
      <w:bookmarkStart w:id="246" w:name="_Toc10898"/>
      <w:bookmarkStart w:id="247" w:name="_Toc1600_WPSOffice_Level2"/>
      <w:bookmarkStart w:id="248" w:name="_Toc12382_WPSOffice_Level2"/>
      <w:bookmarkStart w:id="249" w:name="_Toc11375"/>
      <w:r>
        <w:rPr>
          <w:rFonts w:hint="eastAsia"/>
        </w:rPr>
        <w:t>3.</w:t>
      </w:r>
      <w:r>
        <w:rPr>
          <w:rFonts w:hint="eastAsia"/>
          <w:lang w:val="en-US" w:eastAsia="zh-CN"/>
        </w:rPr>
        <w:t>3</w:t>
      </w:r>
      <w:r>
        <w:rPr>
          <w:rFonts w:hint="eastAsia"/>
        </w:rPr>
        <w:t xml:space="preserve"> </w:t>
      </w:r>
      <w:r>
        <w:rPr>
          <w:rFonts w:hint="eastAsia"/>
          <w:lang w:eastAsia="zh-CN"/>
        </w:rPr>
        <w:t>地表水</w:t>
      </w:r>
      <w:r>
        <w:rPr>
          <w:rFonts w:hint="eastAsia"/>
        </w:rPr>
        <w:t>环境质量现状监测</w:t>
      </w:r>
      <w:r>
        <w:rPr>
          <w:rFonts w:hint="eastAsia"/>
          <w:lang w:eastAsia="zh-CN"/>
        </w:rPr>
        <w:t>与评价</w:t>
      </w:r>
      <w:bookmarkEnd w:id="246"/>
    </w:p>
    <w:p>
      <w:pPr>
        <w:pStyle w:val="5"/>
        <w:rPr>
          <w:color w:val="auto"/>
          <w:shd w:val="clear" w:color="auto" w:fill="auto"/>
        </w:rPr>
      </w:pPr>
      <w:r>
        <w:rPr>
          <w:rFonts w:hint="eastAsia"/>
          <w:color w:val="auto"/>
          <w:shd w:val="clear" w:color="auto" w:fill="auto"/>
          <w:lang w:val="en-US" w:eastAsia="zh-CN"/>
        </w:rPr>
        <w:t>3</w:t>
      </w:r>
      <w:r>
        <w:rPr>
          <w:rFonts w:hint="eastAsia"/>
          <w:color w:val="auto"/>
          <w:shd w:val="clear" w:color="auto" w:fill="auto"/>
        </w:rPr>
        <w:t xml:space="preserve">.3.1 </w:t>
      </w:r>
      <w:r>
        <w:rPr>
          <w:rFonts w:hint="eastAsia"/>
          <w:color w:val="auto"/>
          <w:shd w:val="clear" w:color="auto" w:fill="auto"/>
          <w:lang w:eastAsia="zh-CN"/>
        </w:rPr>
        <w:t>区域</w:t>
      </w:r>
      <w:r>
        <w:rPr>
          <w:rFonts w:hint="eastAsia"/>
          <w:color w:val="auto"/>
          <w:shd w:val="clear" w:color="auto" w:fill="auto"/>
        </w:rPr>
        <w:t>地表水环境质量现状</w:t>
      </w:r>
    </w:p>
    <w:p>
      <w:pPr>
        <w:ind w:firstLine="480"/>
        <w:rPr>
          <w:rFonts w:hint="eastAsia"/>
          <w:lang w:val="en-US" w:eastAsia="zh-CN"/>
        </w:rPr>
      </w:pPr>
      <w:r>
        <w:rPr>
          <w:rFonts w:hint="eastAsia"/>
          <w:lang w:val="en-US" w:eastAsia="zh-CN"/>
        </w:rPr>
        <w:t>阜阳市环境保护监测站在辖区淮河、颍河、泉河、黑茨河、济河、洪河、谷河、茨淮新河8条河流上共布设15个地表水监测断面（点位），每月监测1次，2019年阜阳境内地表水总体水质状况为轻度污染。15个监测断面（点位）中，水质为I～III类的11个，占73.33%；IV～V类的4个，占26.67%。主要污染指标为化学需氧量、总磷和氟化物。</w:t>
      </w:r>
    </w:p>
    <w:p>
      <w:pPr>
        <w:ind w:firstLine="480"/>
        <w:rPr>
          <w:rFonts w:hint="eastAsia"/>
          <w:lang w:val="en-US" w:eastAsia="zh-CN"/>
        </w:rPr>
      </w:pPr>
      <w:r>
        <w:rPr>
          <w:rFonts w:hint="eastAsia"/>
          <w:lang w:val="en-US" w:eastAsia="zh-CN"/>
        </w:rPr>
        <w:t>以COD单指标评价，阜阳境内15个地表水监测断面（点位）中，2019年有13个断面（点位）COD浓度达到Ⅲ类水质标准，占86.67%，与去年相比，达到Ⅲ类标准比例持平。</w:t>
      </w:r>
    </w:p>
    <w:p>
      <w:pPr>
        <w:ind w:firstLine="480"/>
        <w:rPr>
          <w:rFonts w:hint="eastAsia"/>
          <w:lang w:val="en-US" w:eastAsia="zh-CN"/>
        </w:rPr>
      </w:pPr>
      <w:r>
        <w:rPr>
          <w:rFonts w:hint="eastAsia"/>
          <w:lang w:val="en-US" w:eastAsia="zh-CN"/>
        </w:rPr>
        <w:t>以氨氮单指标评价，阜阳境内15个地表水监测断面（点位）中，2019年有15个断面（点位）氨氮浓度达到Ⅲ类水质标准，占100.00%，与去年相比，达到Ⅲ类标准比例持平。</w:t>
      </w:r>
    </w:p>
    <w:p>
      <w:pPr>
        <w:ind w:firstLine="480"/>
        <w:rPr>
          <w:rFonts w:hint="eastAsia"/>
          <w:lang w:val="en-US" w:eastAsia="zh-CN"/>
        </w:rPr>
      </w:pPr>
      <w:r>
        <w:rPr>
          <w:rFonts w:hint="eastAsia"/>
          <w:lang w:val="en-US" w:eastAsia="zh-CN"/>
        </w:rPr>
        <w:t>2019年淮河王家坝水质状况为良好。与去年相比，水质状况由轻度污染好转为良好。</w:t>
      </w:r>
    </w:p>
    <w:p>
      <w:pPr>
        <w:ind w:firstLine="480"/>
        <w:rPr>
          <w:rFonts w:hint="eastAsia"/>
          <w:lang w:val="en-US" w:eastAsia="zh-CN"/>
        </w:rPr>
      </w:pPr>
      <w:r>
        <w:rPr>
          <w:rFonts w:hint="eastAsia"/>
          <w:lang w:val="en-US" w:eastAsia="zh-CN"/>
        </w:rPr>
        <w:t>阜阳境内颍河水质状况为良好。与去年相比，水质状况无明显变化。</w:t>
      </w:r>
    </w:p>
    <w:p>
      <w:pPr>
        <w:ind w:firstLine="480"/>
        <w:rPr>
          <w:rFonts w:hint="eastAsia"/>
          <w:lang w:val="en-US" w:eastAsia="zh-CN"/>
        </w:rPr>
      </w:pPr>
      <w:r>
        <w:rPr>
          <w:rFonts w:hint="eastAsia"/>
          <w:lang w:val="en-US" w:eastAsia="zh-CN"/>
        </w:rPr>
        <w:t>泉河水质状况为良好。与去年相比，水质状况有轻度污染好转为良好。</w:t>
      </w:r>
    </w:p>
    <w:p>
      <w:pPr>
        <w:ind w:firstLine="480"/>
        <w:rPr>
          <w:rFonts w:hint="eastAsia"/>
          <w:lang w:val="en-US" w:eastAsia="zh-CN"/>
        </w:rPr>
      </w:pPr>
      <w:r>
        <w:rPr>
          <w:rFonts w:hint="eastAsia"/>
          <w:lang w:val="en-US" w:eastAsia="zh-CN"/>
        </w:rPr>
        <w:t>黑茨河张大桥水质状况为轻度污染。主要污染指标为氟化物。与去年相比，水质状况无明显变化。</w:t>
      </w:r>
    </w:p>
    <w:p>
      <w:pPr>
        <w:ind w:firstLine="480"/>
        <w:rPr>
          <w:rFonts w:hint="eastAsia"/>
          <w:lang w:val="en-US" w:eastAsia="zh-CN"/>
        </w:rPr>
      </w:pPr>
      <w:r>
        <w:rPr>
          <w:rFonts w:hint="eastAsia"/>
          <w:lang w:val="en-US" w:eastAsia="zh-CN"/>
        </w:rPr>
        <w:t>济河张杨渡口水质状况为良好。与去年相比，水质状况无明显变化。</w:t>
      </w:r>
    </w:p>
    <w:p>
      <w:pPr>
        <w:ind w:firstLine="480"/>
        <w:rPr>
          <w:rFonts w:hint="eastAsia"/>
          <w:lang w:val="en-US" w:eastAsia="zh-CN"/>
        </w:rPr>
      </w:pPr>
      <w:r>
        <w:rPr>
          <w:rFonts w:hint="eastAsia"/>
          <w:lang w:val="en-US" w:eastAsia="zh-CN"/>
        </w:rPr>
        <w:t>洪河陶老大桥水质状况为轻度污染。主要污染指标为总磷。与去年相比，水质状况由中度污染好转为轻度污染。</w:t>
      </w:r>
    </w:p>
    <w:p>
      <w:pPr>
        <w:ind w:firstLine="480"/>
        <w:rPr>
          <w:rFonts w:hint="eastAsia"/>
          <w:lang w:val="en-US" w:eastAsia="zh-CN"/>
        </w:rPr>
      </w:pPr>
      <w:r>
        <w:rPr>
          <w:rFonts w:hint="eastAsia"/>
          <w:lang w:val="en-US" w:eastAsia="zh-CN"/>
        </w:rPr>
        <w:t>阜南苗寺大桥水质状况为良好。与去年相比，水质状况无明显变化。</w:t>
      </w:r>
    </w:p>
    <w:p>
      <w:pPr>
        <w:ind w:firstLine="480"/>
        <w:rPr>
          <w:rFonts w:hint="eastAsia"/>
          <w:lang w:val="en-US" w:eastAsia="zh-CN"/>
        </w:rPr>
      </w:pPr>
      <w:r>
        <w:rPr>
          <w:rFonts w:hint="eastAsia"/>
          <w:lang w:val="en-US" w:eastAsia="zh-CN"/>
        </w:rPr>
        <w:t>茨淮新河二水厂取水口水质状况为良好。与去年相比，水质状况无明显变化。</w:t>
      </w:r>
    </w:p>
    <w:p>
      <w:pPr>
        <w:pStyle w:val="4"/>
        <w:spacing w:before="156" w:after="156"/>
        <w:rPr>
          <w:color w:val="auto"/>
          <w:highlight w:val="none"/>
          <w:shd w:val="clear" w:color="auto" w:fill="auto"/>
        </w:rPr>
      </w:pPr>
      <w:r>
        <w:rPr>
          <w:rFonts w:hint="eastAsia"/>
          <w:color w:val="auto"/>
          <w:highlight w:val="none"/>
          <w:shd w:val="clear" w:color="auto" w:fill="auto"/>
          <w:lang w:val="en-US" w:eastAsia="zh-CN"/>
        </w:rPr>
        <w:t>3</w:t>
      </w:r>
      <w:r>
        <w:rPr>
          <w:rFonts w:hint="eastAsia"/>
          <w:color w:val="auto"/>
          <w:highlight w:val="none"/>
          <w:shd w:val="clear" w:color="auto" w:fill="auto"/>
        </w:rPr>
        <w:t>.4 声环境质量现状监测与评价</w:t>
      </w:r>
      <w:bookmarkEnd w:id="247"/>
      <w:bookmarkEnd w:id="248"/>
      <w:bookmarkEnd w:id="249"/>
    </w:p>
    <w:p>
      <w:pPr>
        <w:pStyle w:val="5"/>
        <w:rPr>
          <w:color w:val="auto"/>
          <w:shd w:val="clear" w:color="auto" w:fill="auto"/>
        </w:rPr>
      </w:pPr>
      <w:r>
        <w:rPr>
          <w:rFonts w:hint="eastAsia"/>
          <w:color w:val="auto"/>
          <w:shd w:val="clear" w:color="auto" w:fill="auto"/>
          <w:lang w:val="en-US" w:eastAsia="zh-CN"/>
        </w:rPr>
        <w:t>3</w:t>
      </w:r>
      <w:r>
        <w:rPr>
          <w:rFonts w:hint="eastAsia"/>
          <w:color w:val="auto"/>
          <w:shd w:val="clear" w:color="auto" w:fill="auto"/>
        </w:rPr>
        <w:t>.4.1 声环境</w:t>
      </w:r>
      <w:r>
        <w:rPr>
          <w:color w:val="auto"/>
          <w:shd w:val="clear" w:color="auto" w:fill="auto"/>
        </w:rPr>
        <w:t>现状监测</w:t>
      </w:r>
    </w:p>
    <w:p>
      <w:pPr>
        <w:ind w:firstLine="480"/>
        <w:rPr>
          <w:color w:val="auto"/>
          <w:shd w:val="clear" w:color="auto" w:fill="auto"/>
        </w:rPr>
      </w:pPr>
      <w:r>
        <w:rPr>
          <w:rFonts w:hint="eastAsia"/>
          <w:color w:val="auto"/>
          <w:shd w:val="clear" w:color="auto" w:fill="auto"/>
        </w:rPr>
        <w:t>1、</w:t>
      </w:r>
      <w:r>
        <w:rPr>
          <w:color w:val="auto"/>
          <w:shd w:val="clear" w:color="auto" w:fill="auto"/>
        </w:rPr>
        <w:t>监测点布设</w:t>
      </w:r>
    </w:p>
    <w:p>
      <w:pPr>
        <w:ind w:firstLine="480"/>
        <w:rPr>
          <w:color w:val="auto"/>
          <w:shd w:val="clear" w:color="auto" w:fill="auto"/>
        </w:rPr>
      </w:pPr>
      <w:r>
        <w:rPr>
          <w:rFonts w:hint="eastAsia"/>
          <w:color w:val="auto"/>
          <w:shd w:val="clear" w:color="auto" w:fill="auto"/>
        </w:rPr>
        <w:t>根据评价范围内环境目标分布情况及区域环境现状，项目所在厂区厂界以及项目周围敏感点共布12个噪声监测点</w:t>
      </w:r>
      <w:r>
        <w:rPr>
          <w:color w:val="auto"/>
          <w:shd w:val="clear" w:color="auto" w:fill="auto"/>
        </w:rPr>
        <w:t>，监测噪声，监测点位见表</w:t>
      </w:r>
      <w:r>
        <w:rPr>
          <w:rFonts w:hint="eastAsia"/>
          <w:color w:val="auto"/>
          <w:shd w:val="clear" w:color="auto" w:fill="auto"/>
          <w:lang w:val="en-US" w:eastAsia="zh-CN"/>
        </w:rPr>
        <w:t>3</w:t>
      </w:r>
      <w:r>
        <w:rPr>
          <w:rFonts w:hint="eastAsia"/>
          <w:color w:val="auto"/>
          <w:shd w:val="clear" w:color="auto" w:fill="auto"/>
        </w:rPr>
        <w:t>.4-1，监测布点图见图</w:t>
      </w:r>
      <w:r>
        <w:rPr>
          <w:rFonts w:hint="eastAsia"/>
          <w:color w:val="auto"/>
          <w:shd w:val="clear" w:color="auto" w:fill="auto"/>
          <w:lang w:val="en-US" w:eastAsia="zh-CN"/>
        </w:rPr>
        <w:t>3.3-1</w:t>
      </w:r>
      <w:r>
        <w:rPr>
          <w:color w:val="auto"/>
          <w:shd w:val="clear" w:color="auto" w:fill="auto"/>
        </w:rPr>
        <w:t>。</w:t>
      </w:r>
    </w:p>
    <w:p>
      <w:pPr>
        <w:pStyle w:val="43"/>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color w:val="auto"/>
          <w:sz w:val="21"/>
          <w:szCs w:val="21"/>
          <w:shd w:val="clear" w:color="auto" w:fill="auto"/>
        </w:rPr>
      </w:pPr>
      <w:r>
        <w:rPr>
          <w:rFonts w:hint="eastAsia"/>
          <w:color w:val="auto"/>
          <w:sz w:val="21"/>
          <w:szCs w:val="21"/>
          <w:shd w:val="clear" w:color="auto" w:fill="auto"/>
        </w:rPr>
        <w:t>表</w:t>
      </w:r>
      <w:r>
        <w:rPr>
          <w:rFonts w:hint="eastAsia"/>
          <w:color w:val="auto"/>
          <w:sz w:val="21"/>
          <w:szCs w:val="21"/>
          <w:shd w:val="clear" w:color="auto" w:fill="auto"/>
          <w:lang w:val="en-US" w:eastAsia="zh-CN"/>
        </w:rPr>
        <w:t>3</w:t>
      </w:r>
      <w:r>
        <w:rPr>
          <w:rFonts w:hint="eastAsia"/>
          <w:color w:val="auto"/>
          <w:sz w:val="21"/>
          <w:szCs w:val="21"/>
          <w:shd w:val="clear" w:color="auto" w:fill="auto"/>
        </w:rPr>
        <w:t>.4-1 拟建项目噪声现状监测布点一览表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9"/>
        <w:gridCol w:w="2926"/>
        <w:gridCol w:w="1889"/>
        <w:gridCol w:w="18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7" w:type="pct"/>
            <w:vAlign w:val="center"/>
          </w:tcPr>
          <w:p>
            <w:pPr>
              <w:pStyle w:val="44"/>
              <w:jc w:val="center"/>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编号</w:t>
            </w:r>
          </w:p>
        </w:tc>
        <w:tc>
          <w:tcPr>
            <w:tcW w:w="1716" w:type="pct"/>
            <w:vAlign w:val="center"/>
          </w:tcPr>
          <w:p>
            <w:pPr>
              <w:pStyle w:val="44"/>
              <w:jc w:val="center"/>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监测点位置</w:t>
            </w:r>
          </w:p>
        </w:tc>
        <w:tc>
          <w:tcPr>
            <w:tcW w:w="1108" w:type="pct"/>
            <w:vAlign w:val="center"/>
          </w:tcPr>
          <w:p>
            <w:pPr>
              <w:pStyle w:val="44"/>
              <w:jc w:val="center"/>
              <w:rPr>
                <w:rFonts w:hint="default" w:ascii="Times New Roman" w:hAnsi="Times New Roman" w:cs="Times New Roman"/>
                <w:color w:val="auto"/>
                <w:shd w:val="clear" w:color="auto" w:fill="auto"/>
                <w:lang w:eastAsia="zh-CN"/>
              </w:rPr>
            </w:pPr>
            <w:r>
              <w:rPr>
                <w:rFonts w:hint="default" w:ascii="Times New Roman" w:hAnsi="Times New Roman" w:cs="Times New Roman"/>
                <w:color w:val="auto"/>
                <w:shd w:val="clear" w:color="auto" w:fill="auto"/>
                <w:lang w:eastAsia="zh-CN"/>
              </w:rPr>
              <w:t>监测时间</w:t>
            </w:r>
          </w:p>
        </w:tc>
        <w:tc>
          <w:tcPr>
            <w:tcW w:w="1107" w:type="pct"/>
            <w:vAlign w:val="center"/>
          </w:tcPr>
          <w:p>
            <w:pPr>
              <w:pStyle w:val="44"/>
              <w:jc w:val="center"/>
              <w:rPr>
                <w:rFonts w:hint="default" w:ascii="Times New Roman" w:hAnsi="Times New Roman" w:cs="Times New Roman"/>
                <w:color w:val="auto"/>
                <w:shd w:val="clear" w:color="auto" w:fill="auto"/>
                <w:lang w:eastAsia="zh-CN"/>
              </w:rPr>
            </w:pPr>
            <w:r>
              <w:rPr>
                <w:rFonts w:hint="default" w:ascii="Times New Roman" w:hAnsi="Times New Roman" w:cs="Times New Roman"/>
                <w:color w:val="auto"/>
                <w:shd w:val="clear" w:color="auto" w:fill="auto"/>
                <w:lang w:eastAsia="zh-CN"/>
              </w:rPr>
              <w:t>监测项目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7" w:type="pct"/>
            <w:vAlign w:val="center"/>
          </w:tcPr>
          <w:p>
            <w:pPr>
              <w:pStyle w:val="44"/>
              <w:jc w:val="center"/>
              <w:rPr>
                <w:rFonts w:hint="default" w:ascii="Times New Roman" w:hAnsi="Times New Roman" w:cs="Times New Roman"/>
                <w:color w:val="auto"/>
                <w:shd w:val="clear" w:color="auto" w:fill="auto"/>
                <w:lang w:eastAsia="zh-CN"/>
              </w:rPr>
            </w:pPr>
            <w:r>
              <w:rPr>
                <w:rFonts w:hint="default" w:ascii="Times New Roman" w:hAnsi="Times New Roman" w:cs="Times New Roman"/>
                <w:color w:val="auto"/>
                <w:shd w:val="clear" w:color="auto" w:fill="auto"/>
                <w:lang w:val="en-US" w:eastAsia="zh-CN"/>
              </w:rPr>
              <w:t>N1</w:t>
            </w:r>
          </w:p>
        </w:tc>
        <w:tc>
          <w:tcPr>
            <w:tcW w:w="1716" w:type="pct"/>
            <w:vAlign w:val="center"/>
          </w:tcPr>
          <w:p>
            <w:pPr>
              <w:pStyle w:val="44"/>
              <w:jc w:val="center"/>
              <w:rPr>
                <w:rFonts w:hint="default" w:ascii="Times New Roman" w:hAnsi="Times New Roman" w:cs="Times New Roman"/>
                <w:color w:val="auto"/>
                <w:shd w:val="clear" w:color="auto" w:fill="auto"/>
              </w:rPr>
            </w:pPr>
            <w:r>
              <w:rPr>
                <w:rFonts w:hint="eastAsia" w:ascii="Times New Roman" w:hAnsi="Times New Roman" w:cs="Times New Roman"/>
                <w:color w:val="auto"/>
                <w:shd w:val="clear" w:color="auto" w:fill="auto"/>
                <w:lang w:eastAsia="zh-CN"/>
              </w:rPr>
              <w:t>码头区域</w:t>
            </w:r>
            <w:r>
              <w:rPr>
                <w:rFonts w:hint="default" w:ascii="Times New Roman" w:hAnsi="Times New Roman" w:cs="Times New Roman"/>
                <w:color w:val="auto"/>
                <w:shd w:val="clear" w:color="auto" w:fill="auto"/>
              </w:rPr>
              <w:t>厂界</w:t>
            </w:r>
            <w:r>
              <w:rPr>
                <w:rFonts w:hint="default" w:ascii="Times New Roman" w:hAnsi="Times New Roman" w:cs="Times New Roman"/>
                <w:color w:val="auto"/>
                <w:shd w:val="clear" w:color="auto" w:fill="auto"/>
                <w:lang w:val="en-US" w:eastAsia="zh-CN"/>
              </w:rPr>
              <w:t>北侧</w:t>
            </w:r>
          </w:p>
        </w:tc>
        <w:tc>
          <w:tcPr>
            <w:tcW w:w="1108" w:type="pct"/>
            <w:vAlign w:val="center"/>
          </w:tcPr>
          <w:p>
            <w:pPr>
              <w:pStyle w:val="44"/>
              <w:jc w:val="center"/>
              <w:rPr>
                <w:rFonts w:hint="default"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lang w:val="en-US" w:eastAsia="zh-CN"/>
              </w:rPr>
              <w:t>昼、夜</w:t>
            </w:r>
          </w:p>
        </w:tc>
        <w:tc>
          <w:tcPr>
            <w:tcW w:w="1107" w:type="pct"/>
            <w:vMerge w:val="restart"/>
            <w:vAlign w:val="center"/>
          </w:tcPr>
          <w:p>
            <w:pPr>
              <w:pStyle w:val="44"/>
              <w:jc w:val="center"/>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连续等效</w:t>
            </w:r>
            <w:r>
              <w:rPr>
                <w:rFonts w:hint="eastAsia" w:ascii="Times New Roman" w:hAnsi="Times New Roman" w:cs="Times New Roman"/>
                <w:color w:val="auto"/>
                <w:shd w:val="clear" w:color="auto" w:fill="auto"/>
                <w:lang w:val="en-US" w:eastAsia="zh-CN"/>
              </w:rPr>
              <w:t>A</w:t>
            </w:r>
            <w:r>
              <w:rPr>
                <w:rFonts w:hint="default" w:ascii="Times New Roman" w:hAnsi="Times New Roman" w:cs="Times New Roman"/>
                <w:color w:val="auto"/>
                <w:shd w:val="clear" w:color="auto" w:fill="auto"/>
              </w:rPr>
              <w:t>声级</w:t>
            </w:r>
          </w:p>
          <w:p>
            <w:pPr>
              <w:pStyle w:val="44"/>
              <w:jc w:val="center"/>
              <w:rPr>
                <w:rFonts w:hint="default" w:ascii="Times New Roman" w:hAnsi="Times New Roman" w:cs="Times New Roman"/>
                <w:color w:val="auto"/>
                <w:shd w:val="clear" w:color="auto" w:fill="auto"/>
              </w:rPr>
            </w:pPr>
            <w:r>
              <w:rPr>
                <w:rFonts w:hint="eastAsia" w:ascii="Times New Roman" w:hAnsi="Times New Roman" w:cs="Times New Roman"/>
                <w:color w:val="auto"/>
                <w:shd w:val="clear" w:color="auto" w:fill="auto"/>
                <w:lang w:val="en-US" w:eastAsia="zh-CN"/>
              </w:rPr>
              <w:t>dB（</w:t>
            </w:r>
            <w:r>
              <w:rPr>
                <w:rFonts w:hint="default" w:ascii="Times New Roman" w:hAnsi="Times New Roman" w:cs="Times New Roman"/>
                <w:color w:val="auto"/>
                <w:shd w:val="clear" w:color="auto" w:fill="auto"/>
              </w:rPr>
              <w:t>A</w:t>
            </w:r>
            <w:r>
              <w:rPr>
                <w:rFonts w:hint="default" w:ascii="Times New Roman" w:hAnsi="Times New Roman" w:cs="Times New Roman"/>
                <w:color w:val="auto"/>
                <w:shd w:val="clear" w:color="auto" w:fil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7" w:type="pct"/>
            <w:vAlign w:val="center"/>
          </w:tcPr>
          <w:p>
            <w:pPr>
              <w:pStyle w:val="44"/>
              <w:jc w:val="center"/>
              <w:rPr>
                <w:rFonts w:hint="default"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lang w:val="en-US" w:eastAsia="zh-CN"/>
              </w:rPr>
              <w:t>N2</w:t>
            </w:r>
          </w:p>
        </w:tc>
        <w:tc>
          <w:tcPr>
            <w:tcW w:w="1716" w:type="pct"/>
            <w:vAlign w:val="center"/>
          </w:tcPr>
          <w:p>
            <w:pPr>
              <w:pStyle w:val="44"/>
              <w:jc w:val="center"/>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eastAsia="zh-CN"/>
              </w:rPr>
              <w:t>码头区域</w:t>
            </w:r>
            <w:r>
              <w:rPr>
                <w:rFonts w:hint="default" w:ascii="Times New Roman" w:hAnsi="Times New Roman" w:cs="Times New Roman"/>
                <w:color w:val="auto"/>
                <w:shd w:val="clear" w:color="auto" w:fill="auto"/>
              </w:rPr>
              <w:t>厂界</w:t>
            </w:r>
            <w:r>
              <w:rPr>
                <w:rFonts w:hint="default" w:ascii="Times New Roman" w:hAnsi="Times New Roman" w:cs="Times New Roman"/>
                <w:color w:val="auto"/>
                <w:shd w:val="clear" w:color="auto" w:fill="auto"/>
                <w:lang w:val="en-US" w:eastAsia="zh-CN"/>
              </w:rPr>
              <w:t>西侧</w:t>
            </w:r>
          </w:p>
        </w:tc>
        <w:tc>
          <w:tcPr>
            <w:tcW w:w="1108" w:type="pct"/>
            <w:vAlign w:val="center"/>
          </w:tcPr>
          <w:p>
            <w:pPr>
              <w:pStyle w:val="44"/>
              <w:jc w:val="center"/>
              <w:rPr>
                <w:rFonts w:hint="default"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lang w:val="en-US" w:eastAsia="zh-CN"/>
              </w:rPr>
              <w:t>昼、夜</w:t>
            </w:r>
          </w:p>
        </w:tc>
        <w:tc>
          <w:tcPr>
            <w:tcW w:w="1107" w:type="pct"/>
            <w:vMerge w:val="continue"/>
            <w:vAlign w:val="center"/>
          </w:tcPr>
          <w:p>
            <w:pPr>
              <w:pStyle w:val="44"/>
              <w:jc w:val="center"/>
              <w:rPr>
                <w:rFonts w:hint="default" w:ascii="Times New Roman" w:hAnsi="Times New Roman" w:cs="Times New Roman"/>
                <w:color w:val="auto"/>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67" w:type="pct"/>
            <w:vAlign w:val="center"/>
          </w:tcPr>
          <w:p>
            <w:pPr>
              <w:pStyle w:val="44"/>
              <w:jc w:val="center"/>
              <w:rPr>
                <w:rFonts w:hint="default"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lang w:val="en-US" w:eastAsia="zh-CN"/>
              </w:rPr>
              <w:t>N3</w:t>
            </w:r>
          </w:p>
        </w:tc>
        <w:tc>
          <w:tcPr>
            <w:tcW w:w="1716" w:type="pct"/>
            <w:vAlign w:val="center"/>
          </w:tcPr>
          <w:p>
            <w:pPr>
              <w:pStyle w:val="44"/>
              <w:jc w:val="center"/>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eastAsia="zh-CN"/>
              </w:rPr>
              <w:t>码头区域</w:t>
            </w:r>
            <w:r>
              <w:rPr>
                <w:rFonts w:hint="default" w:ascii="Times New Roman" w:hAnsi="Times New Roman" w:cs="Times New Roman"/>
                <w:color w:val="auto"/>
                <w:shd w:val="clear" w:color="auto" w:fill="auto"/>
              </w:rPr>
              <w:t>厂界</w:t>
            </w:r>
            <w:r>
              <w:rPr>
                <w:rFonts w:hint="default" w:ascii="Times New Roman" w:hAnsi="Times New Roman" w:cs="Times New Roman"/>
                <w:color w:val="auto"/>
                <w:shd w:val="clear" w:color="auto" w:fill="auto"/>
                <w:lang w:val="en-US" w:eastAsia="zh-CN"/>
              </w:rPr>
              <w:t>南侧</w:t>
            </w:r>
          </w:p>
        </w:tc>
        <w:tc>
          <w:tcPr>
            <w:tcW w:w="1108" w:type="pct"/>
            <w:vAlign w:val="center"/>
          </w:tcPr>
          <w:p>
            <w:pPr>
              <w:pStyle w:val="44"/>
              <w:jc w:val="center"/>
              <w:rPr>
                <w:rFonts w:hint="default"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lang w:val="en-US" w:eastAsia="zh-CN"/>
              </w:rPr>
              <w:t>昼、夜</w:t>
            </w:r>
          </w:p>
        </w:tc>
        <w:tc>
          <w:tcPr>
            <w:tcW w:w="1107" w:type="pct"/>
            <w:vMerge w:val="continue"/>
            <w:vAlign w:val="center"/>
          </w:tcPr>
          <w:p>
            <w:pPr>
              <w:pStyle w:val="44"/>
              <w:jc w:val="center"/>
              <w:rPr>
                <w:rFonts w:hint="default" w:ascii="Times New Roman" w:hAnsi="Times New Roman" w:cs="Times New Roman"/>
                <w:color w:val="auto"/>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7" w:type="pct"/>
            <w:vAlign w:val="center"/>
          </w:tcPr>
          <w:p>
            <w:pPr>
              <w:pStyle w:val="44"/>
              <w:jc w:val="center"/>
              <w:rPr>
                <w:rFonts w:hint="default"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lang w:val="en-US" w:eastAsia="zh-CN"/>
              </w:rPr>
              <w:t>N4</w:t>
            </w:r>
          </w:p>
        </w:tc>
        <w:tc>
          <w:tcPr>
            <w:tcW w:w="1716" w:type="pct"/>
            <w:vAlign w:val="center"/>
          </w:tcPr>
          <w:p>
            <w:pPr>
              <w:pStyle w:val="44"/>
              <w:jc w:val="center"/>
              <w:rPr>
                <w:rFonts w:hint="default" w:ascii="Times New Roman" w:hAnsi="Times New Roman" w:cs="Times New Roman"/>
                <w:color w:val="auto"/>
                <w:shd w:val="clear" w:color="auto" w:fill="auto"/>
                <w:lang w:eastAsia="zh-CN"/>
              </w:rPr>
            </w:pPr>
            <w:r>
              <w:rPr>
                <w:rFonts w:hint="eastAsia" w:ascii="Times New Roman" w:hAnsi="Times New Roman" w:cs="Times New Roman"/>
                <w:color w:val="auto"/>
                <w:shd w:val="clear" w:color="auto" w:fill="auto"/>
                <w:lang w:eastAsia="zh-CN"/>
              </w:rPr>
              <w:t>码头区域</w:t>
            </w:r>
            <w:r>
              <w:rPr>
                <w:rFonts w:hint="default" w:ascii="Times New Roman" w:hAnsi="Times New Roman" w:cs="Times New Roman"/>
                <w:color w:val="auto"/>
                <w:shd w:val="clear" w:color="auto" w:fill="auto"/>
              </w:rPr>
              <w:t>厂界</w:t>
            </w:r>
            <w:r>
              <w:rPr>
                <w:rFonts w:hint="default" w:ascii="Times New Roman" w:hAnsi="Times New Roman" w:cs="Times New Roman"/>
                <w:color w:val="auto"/>
                <w:shd w:val="clear" w:color="auto" w:fill="auto"/>
                <w:lang w:val="en-US" w:eastAsia="zh-CN"/>
              </w:rPr>
              <w:t>东侧</w:t>
            </w:r>
          </w:p>
        </w:tc>
        <w:tc>
          <w:tcPr>
            <w:tcW w:w="1108" w:type="pct"/>
            <w:vAlign w:val="center"/>
          </w:tcPr>
          <w:p>
            <w:pPr>
              <w:pStyle w:val="44"/>
              <w:jc w:val="center"/>
              <w:rPr>
                <w:rFonts w:hint="default"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lang w:val="en-US" w:eastAsia="zh-CN"/>
              </w:rPr>
              <w:t>昼、夜</w:t>
            </w:r>
          </w:p>
        </w:tc>
        <w:tc>
          <w:tcPr>
            <w:tcW w:w="1107" w:type="pct"/>
            <w:vMerge w:val="continue"/>
            <w:vAlign w:val="center"/>
          </w:tcPr>
          <w:p>
            <w:pPr>
              <w:pStyle w:val="44"/>
              <w:jc w:val="center"/>
              <w:rPr>
                <w:rFonts w:hint="default" w:ascii="Times New Roman" w:hAnsi="Times New Roman" w:cs="Times New Roman"/>
                <w:color w:val="auto"/>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7" w:type="pct"/>
            <w:vAlign w:val="center"/>
          </w:tcPr>
          <w:p>
            <w:pPr>
              <w:pStyle w:val="44"/>
              <w:jc w:val="center"/>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N5</w:t>
            </w:r>
          </w:p>
        </w:tc>
        <w:tc>
          <w:tcPr>
            <w:tcW w:w="1716" w:type="pct"/>
            <w:vAlign w:val="center"/>
          </w:tcPr>
          <w:p>
            <w:pPr>
              <w:pStyle w:val="44"/>
              <w:jc w:val="center"/>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仓库堆场厂界东侧</w:t>
            </w:r>
          </w:p>
        </w:tc>
        <w:tc>
          <w:tcPr>
            <w:tcW w:w="1108" w:type="pct"/>
            <w:vAlign w:val="center"/>
          </w:tcPr>
          <w:p>
            <w:pPr>
              <w:pStyle w:val="44"/>
              <w:jc w:val="center"/>
              <w:rPr>
                <w:rFonts w:hint="default"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lang w:val="en-US" w:eastAsia="zh-CN"/>
              </w:rPr>
              <w:t>昼、夜</w:t>
            </w:r>
          </w:p>
        </w:tc>
        <w:tc>
          <w:tcPr>
            <w:tcW w:w="1107" w:type="pct"/>
            <w:vMerge w:val="continue"/>
            <w:vAlign w:val="center"/>
          </w:tcPr>
          <w:p>
            <w:pPr>
              <w:pStyle w:val="44"/>
              <w:jc w:val="center"/>
              <w:rPr>
                <w:rFonts w:hint="default" w:ascii="Times New Roman" w:hAnsi="Times New Roman" w:cs="Times New Roman"/>
                <w:color w:val="auto"/>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7" w:type="pct"/>
            <w:vAlign w:val="center"/>
          </w:tcPr>
          <w:p>
            <w:pPr>
              <w:pStyle w:val="44"/>
              <w:jc w:val="center"/>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N6</w:t>
            </w:r>
          </w:p>
        </w:tc>
        <w:tc>
          <w:tcPr>
            <w:tcW w:w="1716" w:type="pct"/>
            <w:vAlign w:val="center"/>
          </w:tcPr>
          <w:p>
            <w:pPr>
              <w:pStyle w:val="44"/>
              <w:jc w:val="center"/>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仓库堆场厂界南侧</w:t>
            </w:r>
          </w:p>
        </w:tc>
        <w:tc>
          <w:tcPr>
            <w:tcW w:w="1108" w:type="pct"/>
            <w:vAlign w:val="center"/>
          </w:tcPr>
          <w:p>
            <w:pPr>
              <w:pStyle w:val="44"/>
              <w:jc w:val="center"/>
              <w:rPr>
                <w:rFonts w:hint="default"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lang w:val="en-US" w:eastAsia="zh-CN"/>
              </w:rPr>
              <w:t>昼、夜</w:t>
            </w:r>
          </w:p>
        </w:tc>
        <w:tc>
          <w:tcPr>
            <w:tcW w:w="1107" w:type="pct"/>
            <w:vMerge w:val="continue"/>
            <w:vAlign w:val="center"/>
          </w:tcPr>
          <w:p>
            <w:pPr>
              <w:pStyle w:val="44"/>
              <w:jc w:val="center"/>
              <w:rPr>
                <w:rFonts w:hint="default" w:ascii="Times New Roman" w:hAnsi="Times New Roman" w:cs="Times New Roman"/>
                <w:color w:val="auto"/>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7" w:type="pct"/>
            <w:vAlign w:val="center"/>
          </w:tcPr>
          <w:p>
            <w:pPr>
              <w:pStyle w:val="44"/>
              <w:jc w:val="center"/>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N7</w:t>
            </w:r>
          </w:p>
        </w:tc>
        <w:tc>
          <w:tcPr>
            <w:tcW w:w="1716" w:type="pct"/>
            <w:vAlign w:val="center"/>
          </w:tcPr>
          <w:p>
            <w:pPr>
              <w:pStyle w:val="44"/>
              <w:jc w:val="center"/>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仓库堆场厂界西侧</w:t>
            </w:r>
          </w:p>
        </w:tc>
        <w:tc>
          <w:tcPr>
            <w:tcW w:w="1108" w:type="pct"/>
            <w:vAlign w:val="center"/>
          </w:tcPr>
          <w:p>
            <w:pPr>
              <w:pStyle w:val="44"/>
              <w:jc w:val="center"/>
              <w:rPr>
                <w:rFonts w:hint="default"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lang w:val="en-US" w:eastAsia="zh-CN"/>
              </w:rPr>
              <w:t>昼、夜</w:t>
            </w:r>
          </w:p>
        </w:tc>
        <w:tc>
          <w:tcPr>
            <w:tcW w:w="1107" w:type="pct"/>
            <w:vMerge w:val="continue"/>
            <w:vAlign w:val="center"/>
          </w:tcPr>
          <w:p>
            <w:pPr>
              <w:pStyle w:val="44"/>
              <w:jc w:val="center"/>
              <w:rPr>
                <w:rFonts w:hint="default" w:ascii="Times New Roman" w:hAnsi="Times New Roman" w:cs="Times New Roman"/>
                <w:color w:val="auto"/>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7" w:type="pct"/>
            <w:vAlign w:val="center"/>
          </w:tcPr>
          <w:p>
            <w:pPr>
              <w:pStyle w:val="44"/>
              <w:jc w:val="center"/>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N8</w:t>
            </w:r>
          </w:p>
        </w:tc>
        <w:tc>
          <w:tcPr>
            <w:tcW w:w="1716" w:type="pct"/>
            <w:vAlign w:val="center"/>
          </w:tcPr>
          <w:p>
            <w:pPr>
              <w:pStyle w:val="44"/>
              <w:jc w:val="center"/>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仓库堆场厂界北侧</w:t>
            </w:r>
          </w:p>
        </w:tc>
        <w:tc>
          <w:tcPr>
            <w:tcW w:w="1108" w:type="pct"/>
            <w:vAlign w:val="center"/>
          </w:tcPr>
          <w:p>
            <w:pPr>
              <w:pStyle w:val="44"/>
              <w:jc w:val="center"/>
              <w:rPr>
                <w:rFonts w:hint="default"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lang w:val="en-US" w:eastAsia="zh-CN"/>
              </w:rPr>
              <w:t>昼、夜</w:t>
            </w:r>
          </w:p>
        </w:tc>
        <w:tc>
          <w:tcPr>
            <w:tcW w:w="1107" w:type="pct"/>
            <w:vMerge w:val="continue"/>
            <w:vAlign w:val="center"/>
          </w:tcPr>
          <w:p>
            <w:pPr>
              <w:pStyle w:val="44"/>
              <w:jc w:val="center"/>
              <w:rPr>
                <w:rFonts w:hint="default" w:ascii="Times New Roman" w:hAnsi="Times New Roman" w:cs="Times New Roman"/>
                <w:color w:val="auto"/>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7" w:type="pct"/>
            <w:vAlign w:val="center"/>
          </w:tcPr>
          <w:p>
            <w:pPr>
              <w:pStyle w:val="44"/>
              <w:jc w:val="center"/>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N9</w:t>
            </w:r>
          </w:p>
        </w:tc>
        <w:tc>
          <w:tcPr>
            <w:tcW w:w="1716" w:type="pct"/>
            <w:vAlign w:val="center"/>
          </w:tcPr>
          <w:p>
            <w:pPr>
              <w:pStyle w:val="44"/>
              <w:jc w:val="center"/>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玫瑰园</w:t>
            </w:r>
          </w:p>
        </w:tc>
        <w:tc>
          <w:tcPr>
            <w:tcW w:w="1108" w:type="pct"/>
            <w:vAlign w:val="center"/>
          </w:tcPr>
          <w:p>
            <w:pPr>
              <w:pStyle w:val="44"/>
              <w:jc w:val="center"/>
              <w:rPr>
                <w:rFonts w:hint="default"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lang w:val="en-US" w:eastAsia="zh-CN"/>
              </w:rPr>
              <w:t>昼、夜</w:t>
            </w:r>
          </w:p>
        </w:tc>
        <w:tc>
          <w:tcPr>
            <w:tcW w:w="1107" w:type="pct"/>
            <w:vMerge w:val="continue"/>
            <w:vAlign w:val="center"/>
          </w:tcPr>
          <w:p>
            <w:pPr>
              <w:pStyle w:val="44"/>
              <w:jc w:val="center"/>
              <w:rPr>
                <w:rFonts w:hint="default" w:ascii="Times New Roman" w:hAnsi="Times New Roman" w:cs="Times New Roman"/>
                <w:color w:val="auto"/>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7" w:type="pct"/>
            <w:vAlign w:val="center"/>
          </w:tcPr>
          <w:p>
            <w:pPr>
              <w:pStyle w:val="44"/>
              <w:jc w:val="center"/>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N10</w:t>
            </w:r>
          </w:p>
        </w:tc>
        <w:tc>
          <w:tcPr>
            <w:tcW w:w="1716" w:type="pct"/>
            <w:vAlign w:val="center"/>
          </w:tcPr>
          <w:p>
            <w:pPr>
              <w:pStyle w:val="44"/>
              <w:jc w:val="center"/>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刘窝</w:t>
            </w:r>
          </w:p>
        </w:tc>
        <w:tc>
          <w:tcPr>
            <w:tcW w:w="1108" w:type="pct"/>
            <w:vAlign w:val="center"/>
          </w:tcPr>
          <w:p>
            <w:pPr>
              <w:pStyle w:val="44"/>
              <w:jc w:val="center"/>
              <w:rPr>
                <w:rFonts w:hint="default"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lang w:val="en-US" w:eastAsia="zh-CN"/>
              </w:rPr>
              <w:t>昼、夜</w:t>
            </w:r>
          </w:p>
        </w:tc>
        <w:tc>
          <w:tcPr>
            <w:tcW w:w="1107" w:type="pct"/>
            <w:vMerge w:val="continue"/>
            <w:vAlign w:val="center"/>
          </w:tcPr>
          <w:p>
            <w:pPr>
              <w:pStyle w:val="44"/>
              <w:jc w:val="center"/>
              <w:rPr>
                <w:rFonts w:hint="default" w:ascii="Times New Roman" w:hAnsi="Times New Roman" w:cs="Times New Roman"/>
                <w:color w:val="auto"/>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7" w:type="pct"/>
            <w:vAlign w:val="center"/>
          </w:tcPr>
          <w:p>
            <w:pPr>
              <w:pStyle w:val="44"/>
              <w:jc w:val="center"/>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N11</w:t>
            </w:r>
          </w:p>
        </w:tc>
        <w:tc>
          <w:tcPr>
            <w:tcW w:w="1716" w:type="pct"/>
            <w:vAlign w:val="center"/>
          </w:tcPr>
          <w:p>
            <w:pPr>
              <w:pStyle w:val="44"/>
              <w:jc w:val="center"/>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陶桥村</w:t>
            </w:r>
          </w:p>
        </w:tc>
        <w:tc>
          <w:tcPr>
            <w:tcW w:w="1108" w:type="pct"/>
            <w:vAlign w:val="center"/>
          </w:tcPr>
          <w:p>
            <w:pPr>
              <w:pStyle w:val="44"/>
              <w:jc w:val="center"/>
              <w:rPr>
                <w:rFonts w:hint="default"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lang w:val="en-US" w:eastAsia="zh-CN"/>
              </w:rPr>
              <w:t>昼、夜</w:t>
            </w:r>
          </w:p>
        </w:tc>
        <w:tc>
          <w:tcPr>
            <w:tcW w:w="1107" w:type="pct"/>
            <w:vMerge w:val="continue"/>
            <w:vAlign w:val="center"/>
          </w:tcPr>
          <w:p>
            <w:pPr>
              <w:pStyle w:val="44"/>
              <w:jc w:val="center"/>
              <w:rPr>
                <w:rFonts w:hint="default" w:ascii="Times New Roman" w:hAnsi="Times New Roman" w:cs="Times New Roman"/>
                <w:color w:val="auto"/>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7" w:type="pct"/>
            <w:vAlign w:val="center"/>
          </w:tcPr>
          <w:p>
            <w:pPr>
              <w:pStyle w:val="44"/>
              <w:jc w:val="center"/>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N12</w:t>
            </w:r>
          </w:p>
        </w:tc>
        <w:tc>
          <w:tcPr>
            <w:tcW w:w="1716" w:type="pct"/>
            <w:vAlign w:val="center"/>
          </w:tcPr>
          <w:p>
            <w:pPr>
              <w:pStyle w:val="44"/>
              <w:jc w:val="center"/>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附近村庄</w:t>
            </w:r>
          </w:p>
        </w:tc>
        <w:tc>
          <w:tcPr>
            <w:tcW w:w="1108" w:type="pct"/>
            <w:vAlign w:val="center"/>
          </w:tcPr>
          <w:p>
            <w:pPr>
              <w:pStyle w:val="44"/>
              <w:jc w:val="center"/>
              <w:rPr>
                <w:rFonts w:hint="default"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lang w:val="en-US" w:eastAsia="zh-CN"/>
              </w:rPr>
              <w:t>昼、夜</w:t>
            </w:r>
          </w:p>
        </w:tc>
        <w:tc>
          <w:tcPr>
            <w:tcW w:w="1107" w:type="pct"/>
            <w:vMerge w:val="continue"/>
            <w:vAlign w:val="center"/>
          </w:tcPr>
          <w:p>
            <w:pPr>
              <w:pStyle w:val="44"/>
              <w:jc w:val="center"/>
              <w:rPr>
                <w:rFonts w:hint="default" w:ascii="Times New Roman" w:hAnsi="Times New Roman" w:cs="Times New Roman"/>
                <w:color w:val="auto"/>
                <w:shd w:val="clear" w:color="auto" w:fill="auto"/>
              </w:rPr>
            </w:pPr>
          </w:p>
        </w:tc>
      </w:tr>
    </w:tbl>
    <w:p>
      <w:pPr>
        <w:ind w:firstLine="480"/>
        <w:rPr>
          <w:color w:val="auto"/>
          <w:shd w:val="clear" w:color="auto" w:fill="auto"/>
        </w:rPr>
      </w:pPr>
      <w:r>
        <w:rPr>
          <w:rFonts w:hint="eastAsia"/>
          <w:color w:val="auto"/>
          <w:shd w:val="clear" w:color="auto" w:fill="auto"/>
        </w:rPr>
        <w:t>2、</w:t>
      </w:r>
      <w:r>
        <w:rPr>
          <w:color w:val="auto"/>
          <w:shd w:val="clear" w:color="auto" w:fill="auto"/>
        </w:rPr>
        <w:t>测量方法</w:t>
      </w:r>
    </w:p>
    <w:p>
      <w:pPr>
        <w:pStyle w:val="2"/>
        <w:ind w:firstLine="480"/>
        <w:rPr>
          <w:color w:val="auto"/>
          <w:shd w:val="clear" w:color="auto" w:fill="auto"/>
        </w:rPr>
      </w:pPr>
      <w:r>
        <w:rPr>
          <w:rFonts w:eastAsia="宋体" w:cs="Times New Roman"/>
          <w:color w:val="auto"/>
          <w:shd w:val="clear" w:color="auto" w:fill="auto"/>
        </w:rPr>
        <w:t>按《声环境质量标准》</w:t>
      </w:r>
      <w:r>
        <w:rPr>
          <w:rFonts w:hint="eastAsia" w:cs="Times New Roman"/>
          <w:color w:val="auto"/>
          <w:shd w:val="clear" w:color="auto" w:fill="auto"/>
          <w:lang w:eastAsia="zh-CN"/>
        </w:rPr>
        <w:t>（</w:t>
      </w:r>
      <w:r>
        <w:rPr>
          <w:rFonts w:eastAsia="宋体" w:cs="Times New Roman"/>
          <w:color w:val="auto"/>
          <w:shd w:val="clear" w:color="auto" w:fill="auto"/>
        </w:rPr>
        <w:t>GB12348-2008</w:t>
      </w:r>
      <w:r>
        <w:rPr>
          <w:rFonts w:hint="eastAsia" w:cs="Times New Roman"/>
          <w:color w:val="auto"/>
          <w:shd w:val="clear" w:color="auto" w:fill="auto"/>
          <w:lang w:eastAsia="zh-CN"/>
        </w:rPr>
        <w:t>）</w:t>
      </w:r>
      <w:r>
        <w:rPr>
          <w:rFonts w:eastAsia="宋体" w:cs="Times New Roman"/>
          <w:color w:val="auto"/>
          <w:shd w:val="clear" w:color="auto" w:fill="auto"/>
        </w:rPr>
        <w:t>中要求进行，测量仪器使用《声级计电声性能及测试方法》（GB3875-83）中规定的精度Ⅱ级以上的声级计或环境噪声自动监测仪，并在测量前后进行校准，测量时传声器加风罩。</w:t>
      </w:r>
    </w:p>
    <w:p>
      <w:pPr>
        <w:ind w:firstLine="480"/>
        <w:rPr>
          <w:color w:val="auto"/>
          <w:shd w:val="clear" w:color="auto" w:fill="auto"/>
        </w:rPr>
      </w:pPr>
      <w:r>
        <w:rPr>
          <w:rFonts w:hint="eastAsia"/>
          <w:color w:val="auto"/>
          <w:shd w:val="clear" w:color="auto" w:fill="auto"/>
        </w:rPr>
        <w:t>3、</w:t>
      </w:r>
      <w:r>
        <w:rPr>
          <w:color w:val="auto"/>
          <w:shd w:val="clear" w:color="auto" w:fill="auto"/>
        </w:rPr>
        <w:t>监测</w:t>
      </w:r>
      <w:r>
        <w:rPr>
          <w:rFonts w:hint="eastAsia"/>
          <w:color w:val="auto"/>
          <w:shd w:val="clear" w:color="auto" w:fill="auto"/>
        </w:rPr>
        <w:t>时间和</w:t>
      </w:r>
      <w:r>
        <w:rPr>
          <w:color w:val="auto"/>
          <w:shd w:val="clear" w:color="auto" w:fill="auto"/>
        </w:rPr>
        <w:t>频次</w:t>
      </w:r>
    </w:p>
    <w:p>
      <w:pPr>
        <w:widowControl/>
        <w:ind w:firstLine="480"/>
        <w:rPr>
          <w:color w:val="auto"/>
          <w:shd w:val="clear" w:color="auto" w:fill="auto"/>
        </w:rPr>
      </w:pPr>
      <w:r>
        <w:rPr>
          <w:rFonts w:eastAsia="宋体" w:cs="Times New Roman"/>
          <w:color w:val="auto"/>
          <w:shd w:val="clear" w:color="auto" w:fill="auto"/>
        </w:rPr>
        <w:t>每个测点监测2天，每天昼间（6∶00～22∶00）和夜间（22∶00～次日6∶00）各测一次。</w:t>
      </w:r>
    </w:p>
    <w:p>
      <w:pPr>
        <w:ind w:firstLine="480"/>
        <w:rPr>
          <w:color w:val="auto"/>
          <w:shd w:val="clear" w:color="auto" w:fill="auto"/>
        </w:rPr>
      </w:pPr>
      <w:r>
        <w:rPr>
          <w:rFonts w:hint="eastAsia"/>
          <w:color w:val="auto"/>
          <w:shd w:val="clear" w:color="auto" w:fill="auto"/>
        </w:rPr>
        <w:t>4、环境噪声现状监测结果</w:t>
      </w:r>
    </w:p>
    <w:p>
      <w:pPr>
        <w:ind w:firstLine="480"/>
        <w:rPr>
          <w:color w:val="auto"/>
          <w:shd w:val="clear" w:color="auto" w:fill="auto"/>
        </w:rPr>
      </w:pPr>
      <w:r>
        <w:rPr>
          <w:color w:val="auto"/>
          <w:shd w:val="clear" w:color="auto" w:fill="auto"/>
        </w:rPr>
        <w:t>根据</w:t>
      </w:r>
      <w:r>
        <w:rPr>
          <w:rFonts w:hint="eastAsia"/>
          <w:color w:val="auto"/>
          <w:shd w:val="clear" w:color="auto" w:fill="auto"/>
        </w:rPr>
        <w:t>安徽工和环境监测有限责任</w:t>
      </w:r>
      <w:r>
        <w:rPr>
          <w:color w:val="auto"/>
          <w:shd w:val="clear" w:color="auto" w:fill="auto"/>
        </w:rPr>
        <w:t>公司对本项目区域环境噪声进行的现状监测，其监测结果可见表</w:t>
      </w:r>
      <w:r>
        <w:rPr>
          <w:rFonts w:hint="eastAsia"/>
          <w:color w:val="auto"/>
          <w:shd w:val="clear" w:color="auto" w:fill="auto"/>
          <w:lang w:val="en-US" w:eastAsia="zh-CN"/>
        </w:rPr>
        <w:t>3</w:t>
      </w:r>
      <w:r>
        <w:rPr>
          <w:rFonts w:hint="eastAsia"/>
          <w:color w:val="auto"/>
          <w:shd w:val="clear" w:color="auto" w:fill="auto"/>
        </w:rPr>
        <w:t>.4-2</w:t>
      </w:r>
      <w:r>
        <w:rPr>
          <w:color w:val="auto"/>
          <w:shd w:val="clear" w:color="auto" w:fill="auto"/>
        </w:rPr>
        <w:t>。</w:t>
      </w:r>
    </w:p>
    <w:p>
      <w:pPr>
        <w:pStyle w:val="43"/>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color w:val="auto"/>
          <w:sz w:val="21"/>
          <w:szCs w:val="21"/>
          <w:shd w:val="clear" w:color="auto" w:fill="auto"/>
        </w:rPr>
      </w:pPr>
      <w:r>
        <w:rPr>
          <w:rFonts w:hint="eastAsia"/>
          <w:color w:val="auto"/>
          <w:sz w:val="21"/>
          <w:szCs w:val="21"/>
          <w:shd w:val="clear" w:color="auto" w:fill="auto"/>
        </w:rPr>
        <w:t>表</w:t>
      </w:r>
      <w:r>
        <w:rPr>
          <w:rFonts w:hint="eastAsia"/>
          <w:color w:val="auto"/>
          <w:sz w:val="21"/>
          <w:szCs w:val="21"/>
          <w:shd w:val="clear" w:color="auto" w:fill="auto"/>
          <w:lang w:val="en-US" w:eastAsia="zh-CN"/>
        </w:rPr>
        <w:t>3</w:t>
      </w:r>
      <w:r>
        <w:rPr>
          <w:rFonts w:hint="eastAsia"/>
          <w:color w:val="auto"/>
          <w:sz w:val="21"/>
          <w:szCs w:val="21"/>
          <w:shd w:val="clear" w:color="auto" w:fill="auto"/>
        </w:rPr>
        <w:t>.4-2 环境噪声现状监测结果表 单位：dB(A)</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3"/>
        <w:gridCol w:w="1240"/>
        <w:gridCol w:w="2322"/>
        <w:gridCol w:w="1401"/>
        <w:gridCol w:w="716"/>
        <w:gridCol w:w="1406"/>
        <w:gridCol w:w="7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trPr>
        <w:tc>
          <w:tcPr>
            <w:tcW w:w="401" w:type="pct"/>
            <w:vMerge w:val="restart"/>
            <w:tcBorders>
              <w:top w:val="single" w:color="auto" w:sz="4" w:space="0"/>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检测因子</w:t>
            </w:r>
          </w:p>
        </w:tc>
        <w:tc>
          <w:tcPr>
            <w:tcW w:w="728" w:type="pct"/>
            <w:vMerge w:val="restart"/>
            <w:tcBorders>
              <w:top w:val="single" w:color="auto" w:sz="4" w:space="0"/>
              <w:left w:val="nil"/>
              <w:right w:val="single" w:color="auto" w:sz="4" w:space="0"/>
            </w:tcBorders>
            <w:vAlign w:val="center"/>
          </w:tcPr>
          <w:p>
            <w:pPr>
              <w:pStyle w:val="44"/>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日期</w:t>
            </w:r>
          </w:p>
        </w:tc>
        <w:tc>
          <w:tcPr>
            <w:tcW w:w="1363" w:type="pct"/>
            <w:vMerge w:val="restart"/>
            <w:tcBorders>
              <w:top w:val="single" w:color="auto" w:sz="4" w:space="0"/>
              <w:left w:val="nil"/>
              <w:right w:val="single" w:color="auto" w:sz="4" w:space="0"/>
            </w:tcBorders>
            <w:vAlign w:val="center"/>
          </w:tcPr>
          <w:p>
            <w:pPr>
              <w:pStyle w:val="44"/>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检测点位</w:t>
            </w:r>
          </w:p>
        </w:tc>
        <w:tc>
          <w:tcPr>
            <w:tcW w:w="2506" w:type="pct"/>
            <w:gridSpan w:val="4"/>
            <w:tcBorders>
              <w:top w:val="single" w:color="auto" w:sz="4" w:space="0"/>
              <w:left w:val="nil"/>
              <w:bottom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检测结果dB（A）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vMerge w:val="continue"/>
            <w:tcBorders>
              <w:left w:val="nil"/>
              <w:bottom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822" w:type="pct"/>
            <w:tcBorders>
              <w:top w:val="single" w:color="auto" w:sz="4" w:space="0"/>
              <w:left w:val="nil"/>
              <w:bottom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时间</w:t>
            </w:r>
          </w:p>
        </w:tc>
        <w:tc>
          <w:tcPr>
            <w:tcW w:w="420" w:type="pct"/>
            <w:tcBorders>
              <w:top w:val="single" w:color="auto" w:sz="4" w:space="0"/>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Leq</w:t>
            </w:r>
          </w:p>
        </w:tc>
        <w:tc>
          <w:tcPr>
            <w:tcW w:w="825" w:type="pct"/>
            <w:tcBorders>
              <w:top w:val="single" w:color="auto" w:sz="4" w:space="0"/>
              <w:left w:val="nil"/>
              <w:bottom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时间</w:t>
            </w:r>
          </w:p>
        </w:tc>
        <w:tc>
          <w:tcPr>
            <w:tcW w:w="439" w:type="pct"/>
            <w:tcBorders>
              <w:top w:val="single" w:color="auto" w:sz="4" w:space="0"/>
              <w:left w:val="nil"/>
              <w:bottom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Leq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restar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rPr>
              <w:t>环境噪声</w:t>
            </w:r>
          </w:p>
        </w:tc>
        <w:tc>
          <w:tcPr>
            <w:tcW w:w="728" w:type="pct"/>
            <w:vMerge w:val="restar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2020-4-29</w:t>
            </w:r>
          </w:p>
        </w:tc>
        <w:tc>
          <w:tcPr>
            <w:tcW w:w="1363" w:type="pct"/>
            <w:tcBorders>
              <w:top w:val="single" w:color="auto" w:sz="4" w:space="0"/>
              <w:left w:val="nil"/>
              <w:bottom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r>
              <w:rPr>
                <w:rFonts w:hint="eastAsia" w:ascii="Times New Roman" w:hAnsi="Times New Roman" w:cs="Times New Roman"/>
                <w:color w:val="auto"/>
                <w:shd w:val="clear" w:color="auto" w:fill="auto"/>
                <w:lang w:val="en-US" w:eastAsia="zh-CN"/>
              </w:rPr>
              <w:t>N1</w:t>
            </w:r>
            <w:r>
              <w:rPr>
                <w:rFonts w:hint="eastAsia" w:ascii="Times New Roman" w:hAnsi="Times New Roman" w:cs="Times New Roman"/>
                <w:color w:val="auto"/>
                <w:shd w:val="clear" w:color="auto" w:fill="auto"/>
                <w:lang w:eastAsia="zh-CN"/>
              </w:rPr>
              <w:t>码头区域</w:t>
            </w:r>
            <w:r>
              <w:rPr>
                <w:rFonts w:hint="default" w:ascii="Times New Roman" w:hAnsi="Times New Roman" w:cs="Times New Roman"/>
                <w:color w:val="auto"/>
                <w:shd w:val="clear" w:color="auto" w:fill="auto"/>
              </w:rPr>
              <w:t>厂界</w:t>
            </w:r>
            <w:r>
              <w:rPr>
                <w:rFonts w:hint="default" w:ascii="Times New Roman" w:hAnsi="Times New Roman" w:cs="Times New Roman"/>
                <w:color w:val="auto"/>
                <w:shd w:val="clear" w:color="auto" w:fill="auto"/>
                <w:lang w:val="en-US" w:eastAsia="zh-CN"/>
              </w:rPr>
              <w:t>北侧</w:t>
            </w:r>
          </w:p>
        </w:tc>
        <w:tc>
          <w:tcPr>
            <w:tcW w:w="822" w:type="pct"/>
            <w:vMerge w:val="restart"/>
            <w:tcBorders>
              <w:top w:val="single" w:color="auto" w:sz="4" w:space="0"/>
              <w:left w:val="nil"/>
              <w:right w:val="single" w:color="auto" w:sz="4" w:space="0"/>
            </w:tcBorders>
            <w:vAlign w:val="center"/>
          </w:tcPr>
          <w:p>
            <w:pPr>
              <w:pStyle w:val="44"/>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昼间</w:t>
            </w:r>
          </w:p>
          <w:p>
            <w:pPr>
              <w:pStyle w:val="44"/>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w:t>
            </w:r>
            <w:r>
              <w:rPr>
                <w:rFonts w:hint="eastAsia" w:ascii="Times New Roman" w:hAnsi="Times New Roman" w:cs="Times New Roman"/>
                <w:color w:val="auto"/>
                <w:shd w:val="clear" w:color="auto" w:fill="auto"/>
                <w:lang w:val="en-US" w:eastAsia="zh-CN"/>
              </w:rPr>
              <w:t>08</w:t>
            </w:r>
            <w:r>
              <w:rPr>
                <w:rFonts w:hint="default" w:ascii="Times New Roman" w:hAnsi="Times New Roman" w:cs="Times New Roman"/>
                <w:color w:val="auto"/>
                <w:shd w:val="clear" w:color="auto" w:fill="auto"/>
              </w:rPr>
              <w:t>：</w:t>
            </w:r>
            <w:r>
              <w:rPr>
                <w:rFonts w:hint="eastAsia" w:ascii="Times New Roman" w:hAnsi="Times New Roman" w:cs="Times New Roman"/>
                <w:color w:val="auto"/>
                <w:shd w:val="clear" w:color="auto" w:fill="auto"/>
                <w:lang w:val="en-US" w:eastAsia="zh-CN"/>
              </w:rPr>
              <w:t>0</w:t>
            </w:r>
            <w:r>
              <w:rPr>
                <w:rFonts w:hint="default" w:ascii="Times New Roman" w:hAnsi="Times New Roman" w:cs="Times New Roman"/>
                <w:color w:val="auto"/>
                <w:shd w:val="clear" w:color="auto" w:fill="auto"/>
              </w:rPr>
              <w:t>0-</w:t>
            </w:r>
            <w:r>
              <w:rPr>
                <w:rFonts w:hint="eastAsia" w:ascii="Times New Roman" w:hAnsi="Times New Roman" w:cs="Times New Roman"/>
                <w:color w:val="auto"/>
                <w:shd w:val="clear" w:color="auto" w:fill="auto"/>
                <w:lang w:val="en-US" w:eastAsia="zh-CN"/>
              </w:rPr>
              <w:t>12</w:t>
            </w:r>
            <w:r>
              <w:rPr>
                <w:rFonts w:hint="default" w:ascii="Times New Roman" w:hAnsi="Times New Roman" w:cs="Times New Roman"/>
                <w:color w:val="auto"/>
                <w:shd w:val="clear" w:color="auto" w:fill="auto"/>
              </w:rPr>
              <w:t>：</w:t>
            </w:r>
            <w:r>
              <w:rPr>
                <w:rFonts w:hint="eastAsia" w:ascii="Times New Roman" w:hAnsi="Times New Roman" w:cs="Times New Roman"/>
                <w:color w:val="auto"/>
                <w:shd w:val="clear" w:color="auto" w:fill="auto"/>
                <w:lang w:val="en-US" w:eastAsia="zh-CN"/>
              </w:rPr>
              <w:t>0</w:t>
            </w:r>
            <w:r>
              <w:rPr>
                <w:rFonts w:hint="default" w:ascii="Times New Roman" w:hAnsi="Times New Roman" w:cs="Times New Roman"/>
                <w:color w:val="auto"/>
                <w:shd w:val="clear" w:color="auto" w:fill="auto"/>
              </w:rPr>
              <w:t>0）</w:t>
            </w: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52.3</w:t>
            </w:r>
          </w:p>
        </w:tc>
        <w:tc>
          <w:tcPr>
            <w:tcW w:w="825" w:type="pct"/>
            <w:vMerge w:val="restart"/>
            <w:tcBorders>
              <w:top w:val="single" w:color="auto" w:sz="4" w:space="0"/>
              <w:left w:val="nil"/>
              <w:right w:val="single" w:color="auto" w:sz="4" w:space="0"/>
            </w:tcBorders>
            <w:vAlign w:val="center"/>
          </w:tcPr>
          <w:p>
            <w:pPr>
              <w:pStyle w:val="44"/>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夜间</w:t>
            </w:r>
          </w:p>
          <w:p>
            <w:pPr>
              <w:pStyle w:val="44"/>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（22：00-</w:t>
            </w:r>
            <w:r>
              <w:rPr>
                <w:rFonts w:hint="eastAsia" w:ascii="Times New Roman" w:hAnsi="Times New Roman" w:cs="Times New Roman"/>
                <w:color w:val="auto"/>
                <w:shd w:val="clear" w:color="auto" w:fill="auto"/>
                <w:lang w:val="en-US" w:eastAsia="zh-CN"/>
              </w:rPr>
              <w:t>01</w:t>
            </w:r>
            <w:r>
              <w:rPr>
                <w:rFonts w:hint="default" w:ascii="Times New Roman" w:hAnsi="Times New Roman" w:cs="Times New Roman"/>
                <w:color w:val="auto"/>
                <w:shd w:val="clear" w:color="auto" w:fill="auto"/>
              </w:rPr>
              <w:t>：00）</w:t>
            </w:r>
          </w:p>
        </w:tc>
        <w:tc>
          <w:tcPr>
            <w:tcW w:w="439" w:type="pct"/>
            <w:tcBorders>
              <w:top w:val="single" w:color="auto" w:sz="4" w:space="0"/>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N2</w:t>
            </w:r>
            <w:r>
              <w:rPr>
                <w:rFonts w:hint="eastAsia" w:ascii="Times New Roman" w:hAnsi="Times New Roman" w:cs="Times New Roman"/>
                <w:color w:val="auto"/>
                <w:shd w:val="clear" w:color="auto" w:fill="auto"/>
                <w:lang w:eastAsia="zh-CN"/>
              </w:rPr>
              <w:t>码头区域</w:t>
            </w:r>
            <w:r>
              <w:rPr>
                <w:rFonts w:hint="default" w:ascii="Times New Roman" w:hAnsi="Times New Roman" w:cs="Times New Roman"/>
                <w:color w:val="auto"/>
                <w:shd w:val="clear" w:color="auto" w:fill="auto"/>
              </w:rPr>
              <w:t>厂界</w:t>
            </w:r>
            <w:r>
              <w:rPr>
                <w:rFonts w:hint="default" w:ascii="Times New Roman" w:hAnsi="Times New Roman" w:cs="Times New Roman"/>
                <w:color w:val="auto"/>
                <w:shd w:val="clear" w:color="auto" w:fill="auto"/>
                <w:lang w:val="en-US" w:eastAsia="zh-CN"/>
              </w:rPr>
              <w:t>西侧</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53.5</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r>
              <w:rPr>
                <w:rFonts w:hint="eastAsia" w:ascii="Times New Roman" w:hAnsi="Times New Roman" w:cs="Times New Roman"/>
                <w:color w:val="auto"/>
                <w:shd w:val="clear" w:color="auto" w:fill="auto"/>
                <w:lang w:val="en-US" w:eastAsia="zh-CN"/>
              </w:rPr>
              <w:t>N3</w:t>
            </w:r>
            <w:r>
              <w:rPr>
                <w:rFonts w:hint="eastAsia" w:ascii="Times New Roman" w:hAnsi="Times New Roman" w:cs="Times New Roman"/>
                <w:color w:val="auto"/>
                <w:shd w:val="clear" w:color="auto" w:fill="auto"/>
                <w:lang w:eastAsia="zh-CN"/>
              </w:rPr>
              <w:t>码头区域</w:t>
            </w:r>
            <w:r>
              <w:rPr>
                <w:rFonts w:hint="default" w:ascii="Times New Roman" w:hAnsi="Times New Roman" w:cs="Times New Roman"/>
                <w:color w:val="auto"/>
                <w:shd w:val="clear" w:color="auto" w:fill="auto"/>
              </w:rPr>
              <w:t>厂界</w:t>
            </w:r>
            <w:r>
              <w:rPr>
                <w:rFonts w:hint="default" w:ascii="Times New Roman" w:hAnsi="Times New Roman" w:cs="Times New Roman"/>
                <w:color w:val="auto"/>
                <w:shd w:val="clear" w:color="auto" w:fill="auto"/>
                <w:lang w:val="en-US" w:eastAsia="zh-CN"/>
              </w:rPr>
              <w:t>南侧</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51.3</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r>
              <w:rPr>
                <w:rFonts w:hint="eastAsia" w:ascii="Times New Roman" w:hAnsi="Times New Roman" w:cs="Times New Roman"/>
                <w:color w:val="auto"/>
                <w:shd w:val="clear" w:color="auto" w:fill="auto"/>
                <w:lang w:val="en-US" w:eastAsia="zh-CN"/>
              </w:rPr>
              <w:t>N4</w:t>
            </w:r>
            <w:r>
              <w:rPr>
                <w:rFonts w:hint="eastAsia" w:ascii="Times New Roman" w:hAnsi="Times New Roman" w:cs="Times New Roman"/>
                <w:color w:val="auto"/>
                <w:shd w:val="clear" w:color="auto" w:fill="auto"/>
                <w:lang w:eastAsia="zh-CN"/>
              </w:rPr>
              <w:t>码头区域</w:t>
            </w:r>
            <w:r>
              <w:rPr>
                <w:rFonts w:hint="default" w:ascii="Times New Roman" w:hAnsi="Times New Roman" w:cs="Times New Roman"/>
                <w:color w:val="auto"/>
                <w:shd w:val="clear" w:color="auto" w:fill="auto"/>
              </w:rPr>
              <w:t>厂界</w:t>
            </w:r>
            <w:r>
              <w:rPr>
                <w:rFonts w:hint="default" w:ascii="Times New Roman" w:hAnsi="Times New Roman" w:cs="Times New Roman"/>
                <w:color w:val="auto"/>
                <w:shd w:val="clear" w:color="auto" w:fill="auto"/>
                <w:lang w:val="en-US" w:eastAsia="zh-CN"/>
              </w:rPr>
              <w:t>东侧</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53.4</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N5仓库堆场厂界东侧</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51.3</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N6仓库堆场厂界南侧</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53.0</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N7仓库堆场厂界西侧</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53.4</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N8仓库堆场厂界北侧</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52.8</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N9玫瑰园</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51.4</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N10刘窝</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54.1</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N11陶桥村</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52.7</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N12附近村庄</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54.9</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p>
        </w:tc>
        <w:tc>
          <w:tcPr>
            <w:tcW w:w="728" w:type="pct"/>
            <w:vMerge w:val="restar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2020-4-30</w:t>
            </w:r>
          </w:p>
        </w:tc>
        <w:tc>
          <w:tcPr>
            <w:tcW w:w="1363" w:type="pct"/>
            <w:tcBorders>
              <w:top w:val="single" w:color="auto" w:sz="4" w:space="0"/>
              <w:left w:val="nil"/>
              <w:bottom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r>
              <w:rPr>
                <w:rFonts w:hint="eastAsia" w:ascii="Times New Roman" w:hAnsi="Times New Roman" w:cs="Times New Roman"/>
                <w:color w:val="auto"/>
                <w:shd w:val="clear" w:color="auto" w:fill="auto"/>
                <w:lang w:val="en-US" w:eastAsia="zh-CN"/>
              </w:rPr>
              <w:t>N1</w:t>
            </w:r>
            <w:r>
              <w:rPr>
                <w:rFonts w:hint="eastAsia" w:ascii="Times New Roman" w:hAnsi="Times New Roman" w:cs="Times New Roman"/>
                <w:color w:val="auto"/>
                <w:shd w:val="clear" w:color="auto" w:fill="auto"/>
                <w:lang w:eastAsia="zh-CN"/>
              </w:rPr>
              <w:t>码头区域</w:t>
            </w:r>
            <w:r>
              <w:rPr>
                <w:rFonts w:hint="default" w:ascii="Times New Roman" w:hAnsi="Times New Roman" w:cs="Times New Roman"/>
                <w:color w:val="auto"/>
                <w:shd w:val="clear" w:color="auto" w:fill="auto"/>
              </w:rPr>
              <w:t>厂界</w:t>
            </w:r>
            <w:r>
              <w:rPr>
                <w:rFonts w:hint="default" w:ascii="Times New Roman" w:hAnsi="Times New Roman" w:cs="Times New Roman"/>
                <w:color w:val="auto"/>
                <w:shd w:val="clear" w:color="auto" w:fill="auto"/>
                <w:lang w:val="en-US" w:eastAsia="zh-CN"/>
              </w:rPr>
              <w:t>北侧</w:t>
            </w:r>
          </w:p>
        </w:tc>
        <w:tc>
          <w:tcPr>
            <w:tcW w:w="822" w:type="pct"/>
            <w:vMerge w:val="restart"/>
            <w:tcBorders>
              <w:top w:val="single" w:color="auto" w:sz="4" w:space="0"/>
              <w:left w:val="nil"/>
              <w:right w:val="single" w:color="auto" w:sz="4" w:space="0"/>
            </w:tcBorders>
            <w:vAlign w:val="center"/>
          </w:tcPr>
          <w:p>
            <w:pPr>
              <w:pStyle w:val="44"/>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昼间</w:t>
            </w:r>
          </w:p>
          <w:p>
            <w:pPr>
              <w:pStyle w:val="44"/>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w:t>
            </w:r>
            <w:r>
              <w:rPr>
                <w:rFonts w:hint="eastAsia" w:ascii="Times New Roman" w:hAnsi="Times New Roman" w:cs="Times New Roman"/>
                <w:color w:val="auto"/>
                <w:shd w:val="clear" w:color="auto" w:fill="auto"/>
                <w:lang w:val="en-US" w:eastAsia="zh-CN"/>
              </w:rPr>
              <w:t>07</w:t>
            </w:r>
            <w:r>
              <w:rPr>
                <w:rFonts w:hint="default" w:ascii="Times New Roman" w:hAnsi="Times New Roman" w:cs="Times New Roman"/>
                <w:color w:val="auto"/>
                <w:shd w:val="clear" w:color="auto" w:fill="auto"/>
              </w:rPr>
              <w:t>：</w:t>
            </w:r>
            <w:r>
              <w:rPr>
                <w:rFonts w:hint="eastAsia" w:ascii="Times New Roman" w:hAnsi="Times New Roman" w:cs="Times New Roman"/>
                <w:color w:val="auto"/>
                <w:shd w:val="clear" w:color="auto" w:fill="auto"/>
                <w:lang w:val="en-US" w:eastAsia="zh-CN"/>
              </w:rPr>
              <w:t>0</w:t>
            </w:r>
            <w:r>
              <w:rPr>
                <w:rFonts w:hint="default" w:ascii="Times New Roman" w:hAnsi="Times New Roman" w:cs="Times New Roman"/>
                <w:color w:val="auto"/>
                <w:shd w:val="clear" w:color="auto" w:fill="auto"/>
              </w:rPr>
              <w:t>0-</w:t>
            </w:r>
            <w:r>
              <w:rPr>
                <w:rFonts w:hint="eastAsia" w:ascii="Times New Roman" w:hAnsi="Times New Roman" w:cs="Times New Roman"/>
                <w:color w:val="auto"/>
                <w:shd w:val="clear" w:color="auto" w:fill="auto"/>
                <w:lang w:val="en-US" w:eastAsia="zh-CN"/>
              </w:rPr>
              <w:t>10</w:t>
            </w:r>
            <w:r>
              <w:rPr>
                <w:rFonts w:hint="default" w:ascii="Times New Roman" w:hAnsi="Times New Roman" w:cs="Times New Roman"/>
                <w:color w:val="auto"/>
                <w:shd w:val="clear" w:color="auto" w:fill="auto"/>
              </w:rPr>
              <w:t>：</w:t>
            </w:r>
            <w:r>
              <w:rPr>
                <w:rFonts w:hint="eastAsia" w:ascii="Times New Roman" w:hAnsi="Times New Roman" w:cs="Times New Roman"/>
                <w:color w:val="auto"/>
                <w:shd w:val="clear" w:color="auto" w:fill="auto"/>
                <w:lang w:val="en-US" w:eastAsia="zh-CN"/>
              </w:rPr>
              <w:t>0</w:t>
            </w:r>
            <w:r>
              <w:rPr>
                <w:rFonts w:hint="default" w:ascii="Times New Roman" w:hAnsi="Times New Roman" w:cs="Times New Roman"/>
                <w:color w:val="auto"/>
                <w:shd w:val="clear" w:color="auto" w:fill="auto"/>
              </w:rPr>
              <w:t>0）</w:t>
            </w: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51.3</w:t>
            </w:r>
          </w:p>
        </w:tc>
        <w:tc>
          <w:tcPr>
            <w:tcW w:w="825" w:type="pct"/>
            <w:vMerge w:val="restart"/>
            <w:tcBorders>
              <w:top w:val="single" w:color="auto" w:sz="4" w:space="0"/>
              <w:left w:val="nil"/>
              <w:right w:val="single" w:color="auto" w:sz="4" w:space="0"/>
            </w:tcBorders>
            <w:vAlign w:val="center"/>
          </w:tcPr>
          <w:p>
            <w:pPr>
              <w:pStyle w:val="44"/>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夜间</w:t>
            </w:r>
          </w:p>
          <w:p>
            <w:pPr>
              <w:pStyle w:val="44"/>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（22：00-</w:t>
            </w:r>
            <w:r>
              <w:rPr>
                <w:rFonts w:hint="eastAsia" w:ascii="Times New Roman" w:hAnsi="Times New Roman" w:cs="Times New Roman"/>
                <w:color w:val="auto"/>
                <w:shd w:val="clear" w:color="auto" w:fill="auto"/>
                <w:lang w:val="en-US" w:eastAsia="zh-CN"/>
              </w:rPr>
              <w:t>06</w:t>
            </w:r>
            <w:r>
              <w:rPr>
                <w:rFonts w:hint="default" w:ascii="Times New Roman" w:hAnsi="Times New Roman" w:cs="Times New Roman"/>
                <w:color w:val="auto"/>
                <w:shd w:val="clear" w:color="auto" w:fill="auto"/>
              </w:rPr>
              <w:t>：00）</w:t>
            </w:r>
          </w:p>
        </w:tc>
        <w:tc>
          <w:tcPr>
            <w:tcW w:w="439" w:type="pct"/>
            <w:tcBorders>
              <w:top w:val="single" w:color="auto" w:sz="4" w:space="0"/>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N2</w:t>
            </w:r>
            <w:r>
              <w:rPr>
                <w:rFonts w:hint="eastAsia" w:ascii="Times New Roman" w:hAnsi="Times New Roman" w:cs="Times New Roman"/>
                <w:color w:val="auto"/>
                <w:shd w:val="clear" w:color="auto" w:fill="auto"/>
                <w:lang w:eastAsia="zh-CN"/>
              </w:rPr>
              <w:t>码头区域</w:t>
            </w:r>
            <w:r>
              <w:rPr>
                <w:rFonts w:hint="default" w:ascii="Times New Roman" w:hAnsi="Times New Roman" w:cs="Times New Roman"/>
                <w:color w:val="auto"/>
                <w:shd w:val="clear" w:color="auto" w:fill="auto"/>
              </w:rPr>
              <w:t>厂界</w:t>
            </w:r>
            <w:r>
              <w:rPr>
                <w:rFonts w:hint="default" w:ascii="Times New Roman" w:hAnsi="Times New Roman" w:cs="Times New Roman"/>
                <w:color w:val="auto"/>
                <w:shd w:val="clear" w:color="auto" w:fill="auto"/>
                <w:lang w:val="en-US" w:eastAsia="zh-CN"/>
              </w:rPr>
              <w:t>西侧</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51.9</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r>
              <w:rPr>
                <w:rFonts w:hint="eastAsia" w:ascii="Times New Roman" w:hAnsi="Times New Roman" w:cs="Times New Roman"/>
                <w:color w:val="auto"/>
                <w:shd w:val="clear" w:color="auto" w:fill="auto"/>
                <w:lang w:val="en-US" w:eastAsia="zh-CN"/>
              </w:rPr>
              <w:t>N3</w:t>
            </w:r>
            <w:r>
              <w:rPr>
                <w:rFonts w:hint="eastAsia" w:ascii="Times New Roman" w:hAnsi="Times New Roman" w:cs="Times New Roman"/>
                <w:color w:val="auto"/>
                <w:shd w:val="clear" w:color="auto" w:fill="auto"/>
                <w:lang w:eastAsia="zh-CN"/>
              </w:rPr>
              <w:t>码头区域</w:t>
            </w:r>
            <w:r>
              <w:rPr>
                <w:rFonts w:hint="default" w:ascii="Times New Roman" w:hAnsi="Times New Roman" w:cs="Times New Roman"/>
                <w:color w:val="auto"/>
                <w:shd w:val="clear" w:color="auto" w:fill="auto"/>
              </w:rPr>
              <w:t>厂界</w:t>
            </w:r>
            <w:r>
              <w:rPr>
                <w:rFonts w:hint="default" w:ascii="Times New Roman" w:hAnsi="Times New Roman" w:cs="Times New Roman"/>
                <w:color w:val="auto"/>
                <w:shd w:val="clear" w:color="auto" w:fill="auto"/>
                <w:lang w:val="en-US" w:eastAsia="zh-CN"/>
              </w:rPr>
              <w:t>南侧</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53.1</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r>
              <w:rPr>
                <w:rFonts w:hint="eastAsia" w:ascii="Times New Roman" w:hAnsi="Times New Roman" w:cs="Times New Roman"/>
                <w:color w:val="auto"/>
                <w:shd w:val="clear" w:color="auto" w:fill="auto"/>
                <w:lang w:val="en-US" w:eastAsia="zh-CN"/>
              </w:rPr>
              <w:t>N4</w:t>
            </w:r>
            <w:r>
              <w:rPr>
                <w:rFonts w:hint="eastAsia" w:ascii="Times New Roman" w:hAnsi="Times New Roman" w:cs="Times New Roman"/>
                <w:color w:val="auto"/>
                <w:shd w:val="clear" w:color="auto" w:fill="auto"/>
                <w:lang w:eastAsia="zh-CN"/>
              </w:rPr>
              <w:t>码头区域</w:t>
            </w:r>
            <w:r>
              <w:rPr>
                <w:rFonts w:hint="default" w:ascii="Times New Roman" w:hAnsi="Times New Roman" w:cs="Times New Roman"/>
                <w:color w:val="auto"/>
                <w:shd w:val="clear" w:color="auto" w:fill="auto"/>
              </w:rPr>
              <w:t>厂界</w:t>
            </w:r>
            <w:r>
              <w:rPr>
                <w:rFonts w:hint="default" w:ascii="Times New Roman" w:hAnsi="Times New Roman" w:cs="Times New Roman"/>
                <w:color w:val="auto"/>
                <w:shd w:val="clear" w:color="auto" w:fill="auto"/>
                <w:lang w:val="en-US" w:eastAsia="zh-CN"/>
              </w:rPr>
              <w:t>东侧</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53.9</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N5仓库堆场厂界东侧</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53.7</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N6仓库堆场厂界南侧</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53.3</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N7仓库堆场厂界西侧</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54.5</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N8仓库堆场厂界北侧</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54.4</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N9玫瑰园</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51.8</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N10刘窝</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53.8</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N11陶桥村</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54.6</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rPr>
            </w:pPr>
          </w:p>
        </w:tc>
        <w:tc>
          <w:tcPr>
            <w:tcW w:w="728"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1363" w:type="pct"/>
            <w:tcBorders>
              <w:top w:val="single" w:color="auto" w:sz="4" w:space="0"/>
              <w:left w:val="nil"/>
              <w:bottom w:val="single" w:color="auto" w:sz="4" w:space="0"/>
              <w:right w:val="single" w:color="auto" w:sz="4" w:space="0"/>
            </w:tcBorders>
            <w:vAlign w:val="center"/>
          </w:tcPr>
          <w:p>
            <w:pPr>
              <w:pStyle w:val="44"/>
              <w:rPr>
                <w:rFonts w:hint="eastAsia"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N12附近村庄</w:t>
            </w:r>
          </w:p>
        </w:tc>
        <w:tc>
          <w:tcPr>
            <w:tcW w:w="822"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20" w:type="pct"/>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52.3</w:t>
            </w:r>
          </w:p>
        </w:tc>
        <w:tc>
          <w:tcPr>
            <w:tcW w:w="825" w:type="pct"/>
            <w:vMerge w:val="continue"/>
            <w:tcBorders>
              <w:left w:val="nil"/>
              <w:right w:val="single" w:color="auto" w:sz="4" w:space="0"/>
            </w:tcBorders>
            <w:vAlign w:val="center"/>
          </w:tcPr>
          <w:p>
            <w:pPr>
              <w:pStyle w:val="44"/>
              <w:rPr>
                <w:rFonts w:hint="default" w:ascii="Times New Roman" w:hAnsi="Times New Roman" w:cs="Times New Roman"/>
                <w:color w:val="auto"/>
                <w:shd w:val="clear" w:color="auto" w:fill="auto"/>
              </w:rPr>
            </w:pPr>
          </w:p>
        </w:tc>
        <w:tc>
          <w:tcPr>
            <w:tcW w:w="439" w:type="pct"/>
            <w:tcBorders>
              <w:left w:val="nil"/>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eastAsia" w:ascii="Times New Roman" w:hAnsi="Times New Roman" w:cs="Times New Roman"/>
                <w:color w:val="auto"/>
                <w:shd w:val="clear" w:color="auto" w:fill="auto"/>
                <w:lang w:val="en-US" w:eastAsia="zh-CN"/>
              </w:rPr>
              <w:t>44.6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7"/>
            <w:tcBorders>
              <w:left w:val="single" w:color="auto" w:sz="4" w:space="0"/>
              <w:right w:val="single" w:color="auto" w:sz="4" w:space="0"/>
            </w:tcBorders>
            <w:vAlign w:val="center"/>
          </w:tcPr>
          <w:p>
            <w:pPr>
              <w:pStyle w:val="44"/>
              <w:rPr>
                <w:rFonts w:hint="default" w:ascii="Times New Roman" w:hAnsi="Times New Roman" w:cs="Times New Roman"/>
                <w:color w:val="auto"/>
                <w:shd w:val="clear" w:color="auto" w:fill="auto"/>
                <w:lang w:val="en-US" w:eastAsia="zh-CN"/>
              </w:rPr>
            </w:pPr>
            <w:r>
              <w:rPr>
                <w:rFonts w:hint="default" w:ascii="Times New Roman" w:hAnsi="Times New Roman" w:cs="Times New Roman"/>
                <w:color w:val="auto"/>
                <w:shd w:val="clear" w:color="auto" w:fill="auto"/>
                <w:lang w:val="en-US" w:eastAsia="zh-CN"/>
              </w:rPr>
              <w:t>注：20</w:t>
            </w:r>
            <w:r>
              <w:rPr>
                <w:rFonts w:hint="eastAsia" w:ascii="Times New Roman" w:hAnsi="Times New Roman" w:cs="Times New Roman"/>
                <w:color w:val="auto"/>
                <w:shd w:val="clear" w:color="auto" w:fill="auto"/>
                <w:lang w:val="en-US" w:eastAsia="zh-CN"/>
              </w:rPr>
              <w:t>20-4-29天气多云，监测</w:t>
            </w:r>
            <w:r>
              <w:rPr>
                <w:rFonts w:hint="default" w:ascii="Times New Roman" w:hAnsi="Times New Roman" w:cs="Times New Roman"/>
                <w:color w:val="auto"/>
                <w:shd w:val="clear" w:color="auto" w:fill="auto"/>
                <w:lang w:val="en-US" w:eastAsia="zh-CN"/>
              </w:rPr>
              <w:t>期间风速为</w:t>
            </w:r>
            <w:r>
              <w:rPr>
                <w:rFonts w:hint="eastAsia" w:ascii="Times New Roman" w:hAnsi="Times New Roman" w:cs="Times New Roman"/>
                <w:color w:val="auto"/>
                <w:shd w:val="clear" w:color="auto" w:fill="auto"/>
                <w:lang w:val="en-US" w:eastAsia="zh-CN"/>
              </w:rPr>
              <w:t>1.7~1.9</w:t>
            </w:r>
            <w:r>
              <w:rPr>
                <w:rFonts w:hint="eastAsia" w:cs="Times New Roman"/>
                <w:color w:val="auto"/>
                <w:shd w:val="clear" w:color="auto" w:fill="auto"/>
                <w:lang w:val="en-US" w:eastAsia="zh-CN"/>
              </w:rPr>
              <w:t>m</w:t>
            </w:r>
            <w:r>
              <w:rPr>
                <w:rFonts w:hint="default" w:ascii="Times New Roman" w:hAnsi="Times New Roman" w:cs="Times New Roman"/>
                <w:color w:val="auto"/>
                <w:shd w:val="clear" w:color="auto" w:fill="auto"/>
                <w:lang w:val="en-US" w:eastAsia="zh-CN"/>
              </w:rPr>
              <w:t>/s</w:t>
            </w:r>
            <w:r>
              <w:rPr>
                <w:rFonts w:hint="eastAsia" w:ascii="Times New Roman" w:hAnsi="Times New Roman" w:cs="Times New Roman"/>
                <w:color w:val="auto"/>
                <w:shd w:val="clear" w:color="auto" w:fill="auto"/>
                <w:lang w:val="en-US" w:eastAsia="zh-CN"/>
              </w:rPr>
              <w:t>；</w:t>
            </w:r>
            <w:r>
              <w:rPr>
                <w:rFonts w:hint="default" w:ascii="Times New Roman" w:hAnsi="Times New Roman" w:cs="Times New Roman"/>
                <w:color w:val="auto"/>
                <w:shd w:val="clear" w:color="auto" w:fill="auto"/>
                <w:lang w:val="en-US" w:eastAsia="zh-CN"/>
              </w:rPr>
              <w:t>20</w:t>
            </w:r>
            <w:r>
              <w:rPr>
                <w:rFonts w:hint="eastAsia" w:ascii="Times New Roman" w:hAnsi="Times New Roman" w:cs="Times New Roman"/>
                <w:color w:val="auto"/>
                <w:shd w:val="clear" w:color="auto" w:fill="auto"/>
                <w:lang w:val="en-US" w:eastAsia="zh-CN"/>
              </w:rPr>
              <w:t>20-4-30天气多云，监</w:t>
            </w:r>
            <w:r>
              <w:rPr>
                <w:rFonts w:hint="default" w:ascii="Times New Roman" w:hAnsi="Times New Roman" w:cs="Times New Roman"/>
                <w:color w:val="auto"/>
                <w:shd w:val="clear" w:color="auto" w:fill="auto"/>
                <w:lang w:val="en-US" w:eastAsia="zh-CN"/>
              </w:rPr>
              <w:t>测期间风速为</w:t>
            </w:r>
            <w:r>
              <w:rPr>
                <w:rFonts w:hint="eastAsia" w:ascii="Times New Roman" w:hAnsi="Times New Roman" w:cs="Times New Roman"/>
                <w:color w:val="auto"/>
                <w:shd w:val="clear" w:color="auto" w:fill="auto"/>
                <w:lang w:val="en-US" w:eastAsia="zh-CN"/>
              </w:rPr>
              <w:t>2</w:t>
            </w:r>
            <w:r>
              <w:rPr>
                <w:rFonts w:hint="default" w:ascii="Times New Roman" w:hAnsi="Times New Roman" w:cs="Times New Roman"/>
                <w:color w:val="auto"/>
                <w:shd w:val="clear" w:color="auto" w:fill="auto"/>
                <w:lang w:val="en-US" w:eastAsia="zh-CN"/>
              </w:rPr>
              <w:t>.</w:t>
            </w:r>
            <w:r>
              <w:rPr>
                <w:rFonts w:hint="eastAsia" w:ascii="Times New Roman" w:hAnsi="Times New Roman" w:cs="Times New Roman"/>
                <w:color w:val="auto"/>
                <w:shd w:val="clear" w:color="auto" w:fill="auto"/>
                <w:lang w:val="en-US" w:eastAsia="zh-CN"/>
              </w:rPr>
              <w:t>0~2.2</w:t>
            </w:r>
            <w:r>
              <w:rPr>
                <w:rFonts w:hint="eastAsia" w:cs="Times New Roman"/>
                <w:color w:val="auto"/>
                <w:shd w:val="clear" w:color="auto" w:fill="auto"/>
                <w:lang w:val="en-US" w:eastAsia="zh-CN"/>
              </w:rPr>
              <w:t>m</w:t>
            </w:r>
            <w:r>
              <w:rPr>
                <w:rFonts w:hint="default" w:ascii="Times New Roman" w:hAnsi="Times New Roman" w:cs="Times New Roman"/>
                <w:color w:val="auto"/>
                <w:shd w:val="clear" w:color="auto" w:fill="auto"/>
                <w:lang w:val="en-US" w:eastAsia="zh-CN"/>
              </w:rPr>
              <w:t>/s。</w:t>
            </w:r>
          </w:p>
        </w:tc>
      </w:tr>
    </w:tbl>
    <w:p>
      <w:pPr>
        <w:pStyle w:val="5"/>
        <w:rPr>
          <w:color w:val="auto"/>
          <w:shd w:val="clear" w:color="auto" w:fill="auto"/>
        </w:rPr>
      </w:pPr>
      <w:r>
        <w:rPr>
          <w:rFonts w:hint="eastAsia"/>
          <w:color w:val="auto"/>
          <w:shd w:val="clear" w:color="auto" w:fill="auto"/>
          <w:lang w:val="en-US" w:eastAsia="zh-CN"/>
        </w:rPr>
        <w:t>3</w:t>
      </w:r>
      <w:r>
        <w:rPr>
          <w:rFonts w:hint="eastAsia"/>
          <w:color w:val="auto"/>
          <w:shd w:val="clear" w:color="auto" w:fill="auto"/>
        </w:rPr>
        <w:t>.4.2 声环境</w:t>
      </w:r>
      <w:r>
        <w:rPr>
          <w:color w:val="auto"/>
          <w:shd w:val="clear" w:color="auto" w:fill="auto"/>
        </w:rPr>
        <w:t>现状评价</w:t>
      </w:r>
    </w:p>
    <w:p>
      <w:pPr>
        <w:ind w:firstLine="480"/>
        <w:rPr>
          <w:color w:val="auto"/>
          <w:shd w:val="clear" w:color="auto" w:fill="auto"/>
        </w:rPr>
      </w:pPr>
      <w:r>
        <w:rPr>
          <w:rFonts w:hint="eastAsia" w:hAnsi="宋体"/>
          <w:color w:val="auto"/>
          <w:shd w:val="clear" w:color="auto" w:fill="auto"/>
        </w:rPr>
        <w:t>1、</w:t>
      </w:r>
      <w:r>
        <w:rPr>
          <w:rFonts w:hAnsi="宋体"/>
          <w:color w:val="auto"/>
          <w:shd w:val="clear" w:color="auto" w:fill="auto"/>
        </w:rPr>
        <w:t>评价标准</w:t>
      </w:r>
    </w:p>
    <w:p>
      <w:pPr>
        <w:ind w:firstLine="480"/>
        <w:rPr>
          <w:color w:val="auto"/>
          <w:shd w:val="clear" w:color="auto" w:fill="auto"/>
        </w:rPr>
      </w:pPr>
      <w:r>
        <w:rPr>
          <w:rFonts w:hint="eastAsia"/>
          <w:color w:val="auto"/>
          <w:shd w:val="clear" w:color="auto" w:fill="auto"/>
        </w:rPr>
        <w:t>拟建工程南厂界</w:t>
      </w:r>
      <w:r>
        <w:rPr>
          <w:color w:val="auto"/>
          <w:shd w:val="clear" w:color="auto" w:fill="auto"/>
        </w:rPr>
        <w:t>执行《声环境质量标准》（GB3096-2008）中的4a类标准，</w:t>
      </w:r>
      <w:r>
        <w:rPr>
          <w:rFonts w:hint="eastAsia"/>
          <w:color w:val="auto"/>
          <w:shd w:val="clear" w:color="auto" w:fill="auto"/>
          <w:lang w:val="en-US" w:eastAsia="zh-CN"/>
        </w:rPr>
        <w:t>其余</w:t>
      </w:r>
      <w:r>
        <w:rPr>
          <w:rFonts w:hint="eastAsia"/>
          <w:color w:val="auto"/>
          <w:shd w:val="clear" w:color="auto" w:fill="auto"/>
        </w:rPr>
        <w:t>厂界</w:t>
      </w:r>
      <w:r>
        <w:rPr>
          <w:color w:val="auto"/>
          <w:shd w:val="clear" w:color="auto" w:fill="auto"/>
        </w:rPr>
        <w:t>执行该标准中</w:t>
      </w:r>
      <w:r>
        <w:rPr>
          <w:rFonts w:hint="eastAsia"/>
          <w:color w:val="auto"/>
          <w:shd w:val="clear" w:color="auto" w:fill="auto"/>
          <w:lang w:val="en-US" w:eastAsia="zh-CN"/>
        </w:rPr>
        <w:t>2</w:t>
      </w:r>
      <w:r>
        <w:rPr>
          <w:color w:val="auto"/>
          <w:shd w:val="clear" w:color="auto" w:fill="auto"/>
        </w:rPr>
        <w:t>类标准</w:t>
      </w:r>
      <w:r>
        <w:rPr>
          <w:rFonts w:hint="eastAsia"/>
          <w:color w:val="auto"/>
          <w:shd w:val="clear" w:color="auto" w:fill="auto"/>
          <w:lang w:eastAsia="zh-CN"/>
        </w:rPr>
        <w:t>，敏感点执行</w:t>
      </w:r>
      <w:r>
        <w:rPr>
          <w:rFonts w:hint="eastAsia"/>
          <w:color w:val="auto"/>
          <w:shd w:val="clear" w:color="auto" w:fill="auto"/>
          <w:lang w:val="en-US" w:eastAsia="zh-CN"/>
        </w:rPr>
        <w:t>2类标准</w:t>
      </w:r>
      <w:r>
        <w:rPr>
          <w:color w:val="auto"/>
          <w:shd w:val="clear" w:color="auto" w:fill="auto"/>
        </w:rPr>
        <w:t>。具体标准值详见表</w:t>
      </w:r>
      <w:r>
        <w:rPr>
          <w:rFonts w:hint="eastAsia"/>
          <w:color w:val="auto"/>
          <w:shd w:val="clear" w:color="auto" w:fill="auto"/>
          <w:lang w:val="en-US" w:eastAsia="zh-CN"/>
        </w:rPr>
        <w:t>3</w:t>
      </w:r>
      <w:r>
        <w:rPr>
          <w:rFonts w:hint="eastAsia"/>
          <w:color w:val="auto"/>
          <w:shd w:val="clear" w:color="auto" w:fill="auto"/>
        </w:rPr>
        <w:t>.4-3。</w:t>
      </w:r>
    </w:p>
    <w:p>
      <w:pPr>
        <w:pStyle w:val="43"/>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表3.4-3  声环境质量标准</w:t>
      </w:r>
    </w:p>
    <w:tbl>
      <w:tblPr>
        <w:tblStyle w:val="26"/>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6"/>
        <w:gridCol w:w="2782"/>
        <w:gridCol w:w="28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846" w:type="dxa"/>
            <w:vMerge w:val="restart"/>
            <w:tcBorders>
              <w:tl2br w:val="nil"/>
              <w:tr2bl w:val="nil"/>
            </w:tcBorders>
            <w:vAlign w:val="center"/>
          </w:tcPr>
          <w:p>
            <w:pPr>
              <w:pStyle w:val="44"/>
              <w:rPr>
                <w:color w:val="auto"/>
                <w:shd w:val="clear" w:color="auto" w:fill="auto"/>
              </w:rPr>
            </w:pPr>
            <w:r>
              <w:rPr>
                <w:color w:val="auto"/>
                <w:shd w:val="clear" w:color="auto" w:fill="auto"/>
              </w:rPr>
              <w:t>执行标准类别</w:t>
            </w:r>
          </w:p>
        </w:tc>
        <w:tc>
          <w:tcPr>
            <w:tcW w:w="5676" w:type="dxa"/>
            <w:gridSpan w:val="2"/>
            <w:tcBorders>
              <w:tl2br w:val="nil"/>
              <w:tr2bl w:val="nil"/>
            </w:tcBorders>
            <w:vAlign w:val="center"/>
          </w:tcPr>
          <w:p>
            <w:pPr>
              <w:pStyle w:val="44"/>
              <w:rPr>
                <w:color w:val="auto"/>
                <w:shd w:val="clear" w:color="auto" w:fill="auto"/>
              </w:rPr>
            </w:pPr>
            <w:r>
              <w:rPr>
                <w:color w:val="auto"/>
                <w:shd w:val="clear" w:color="auto" w:fill="auto"/>
              </w:rPr>
              <w:t>标准值[dB(A)]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846" w:type="dxa"/>
            <w:vMerge w:val="continue"/>
            <w:tcBorders>
              <w:tl2br w:val="nil"/>
              <w:tr2bl w:val="nil"/>
            </w:tcBorders>
            <w:vAlign w:val="center"/>
          </w:tcPr>
          <w:p>
            <w:pPr>
              <w:pStyle w:val="44"/>
              <w:rPr>
                <w:color w:val="auto"/>
                <w:shd w:val="clear" w:color="auto" w:fill="auto"/>
              </w:rPr>
            </w:pPr>
          </w:p>
        </w:tc>
        <w:tc>
          <w:tcPr>
            <w:tcW w:w="2782" w:type="dxa"/>
            <w:tcBorders>
              <w:tl2br w:val="nil"/>
              <w:tr2bl w:val="nil"/>
            </w:tcBorders>
            <w:vAlign w:val="center"/>
          </w:tcPr>
          <w:p>
            <w:pPr>
              <w:pStyle w:val="44"/>
              <w:rPr>
                <w:color w:val="auto"/>
                <w:shd w:val="clear" w:color="auto" w:fill="auto"/>
              </w:rPr>
            </w:pPr>
            <w:r>
              <w:rPr>
                <w:color w:val="auto"/>
                <w:shd w:val="clear" w:color="auto" w:fill="auto"/>
              </w:rPr>
              <w:t>昼间</w:t>
            </w:r>
          </w:p>
        </w:tc>
        <w:tc>
          <w:tcPr>
            <w:tcW w:w="2894" w:type="dxa"/>
            <w:tcBorders>
              <w:tl2br w:val="nil"/>
              <w:tr2bl w:val="nil"/>
            </w:tcBorders>
            <w:vAlign w:val="center"/>
          </w:tcPr>
          <w:p>
            <w:pPr>
              <w:pStyle w:val="44"/>
              <w:rPr>
                <w:color w:val="auto"/>
                <w:shd w:val="clear" w:color="auto" w:fill="auto"/>
              </w:rPr>
            </w:pPr>
            <w:r>
              <w:rPr>
                <w:color w:val="auto"/>
                <w:shd w:val="clear" w:color="auto" w:fill="auto"/>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846" w:type="dxa"/>
            <w:tcBorders>
              <w:tl2br w:val="nil"/>
              <w:tr2bl w:val="nil"/>
            </w:tcBorders>
            <w:vAlign w:val="center"/>
          </w:tcPr>
          <w:p>
            <w:pPr>
              <w:pStyle w:val="44"/>
              <w:rPr>
                <w:color w:val="auto"/>
                <w:shd w:val="clear" w:color="auto" w:fill="auto"/>
              </w:rPr>
            </w:pPr>
            <w:r>
              <w:rPr>
                <w:color w:val="auto"/>
                <w:shd w:val="clear" w:color="auto" w:fill="auto"/>
              </w:rPr>
              <w:t>GB3096-2008中</w:t>
            </w:r>
            <w:r>
              <w:rPr>
                <w:rFonts w:hint="eastAsia"/>
                <w:color w:val="auto"/>
                <w:shd w:val="clear" w:color="auto" w:fill="auto"/>
                <w:lang w:val="en-US" w:eastAsia="zh-CN"/>
              </w:rPr>
              <w:t>2</w:t>
            </w:r>
            <w:r>
              <w:rPr>
                <w:color w:val="auto"/>
                <w:shd w:val="clear" w:color="auto" w:fill="auto"/>
              </w:rPr>
              <w:t>类标准</w:t>
            </w:r>
          </w:p>
        </w:tc>
        <w:tc>
          <w:tcPr>
            <w:tcW w:w="2782" w:type="dxa"/>
            <w:tcBorders>
              <w:tl2br w:val="nil"/>
              <w:tr2bl w:val="nil"/>
            </w:tcBorders>
            <w:vAlign w:val="center"/>
          </w:tcPr>
          <w:p>
            <w:pPr>
              <w:pStyle w:val="44"/>
              <w:rPr>
                <w:rFonts w:hint="eastAsia" w:eastAsia="宋体"/>
                <w:color w:val="auto"/>
                <w:shd w:val="clear" w:color="auto" w:fill="auto"/>
                <w:lang w:eastAsia="zh-CN"/>
              </w:rPr>
            </w:pPr>
            <w:r>
              <w:rPr>
                <w:color w:val="auto"/>
                <w:shd w:val="clear" w:color="auto" w:fill="auto"/>
              </w:rPr>
              <w:t>6</w:t>
            </w:r>
            <w:r>
              <w:rPr>
                <w:rFonts w:hint="eastAsia"/>
                <w:color w:val="auto"/>
                <w:shd w:val="clear" w:color="auto" w:fill="auto"/>
                <w:lang w:val="en-US" w:eastAsia="zh-CN"/>
              </w:rPr>
              <w:t>0</w:t>
            </w:r>
          </w:p>
        </w:tc>
        <w:tc>
          <w:tcPr>
            <w:tcW w:w="2894" w:type="dxa"/>
            <w:tcBorders>
              <w:tl2br w:val="nil"/>
              <w:tr2bl w:val="nil"/>
            </w:tcBorders>
            <w:vAlign w:val="center"/>
          </w:tcPr>
          <w:p>
            <w:pPr>
              <w:pStyle w:val="44"/>
              <w:rPr>
                <w:rFonts w:hint="eastAsia" w:eastAsia="宋体"/>
                <w:color w:val="auto"/>
                <w:shd w:val="clear" w:color="auto" w:fill="auto"/>
                <w:lang w:eastAsia="zh-CN"/>
              </w:rPr>
            </w:pPr>
            <w:r>
              <w:rPr>
                <w:color w:val="auto"/>
                <w:shd w:val="clear" w:color="auto" w:fill="auto"/>
              </w:rPr>
              <w:t>5</w:t>
            </w:r>
            <w:r>
              <w:rPr>
                <w:rFonts w:hint="eastAsia"/>
                <w:color w:val="auto"/>
                <w:shd w:val="clear" w:color="auto" w:fill="auto"/>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846" w:type="dxa"/>
            <w:tcBorders>
              <w:tl2br w:val="nil"/>
              <w:tr2bl w:val="nil"/>
            </w:tcBorders>
            <w:vAlign w:val="center"/>
          </w:tcPr>
          <w:p>
            <w:pPr>
              <w:pStyle w:val="44"/>
              <w:ind w:firstLine="0" w:firstLineChars="0"/>
              <w:rPr>
                <w:color w:val="auto"/>
                <w:shd w:val="clear" w:color="auto" w:fill="auto"/>
              </w:rPr>
            </w:pPr>
            <w:r>
              <w:rPr>
                <w:color w:val="auto"/>
                <w:shd w:val="clear" w:color="auto" w:fill="auto"/>
              </w:rPr>
              <w:t>GB3096-2008中</w:t>
            </w:r>
            <w:r>
              <w:rPr>
                <w:rFonts w:hint="eastAsia"/>
                <w:color w:val="auto"/>
                <w:shd w:val="clear" w:color="auto" w:fill="auto"/>
              </w:rPr>
              <w:t>4a</w:t>
            </w:r>
            <w:r>
              <w:rPr>
                <w:color w:val="auto"/>
                <w:shd w:val="clear" w:color="auto" w:fill="auto"/>
              </w:rPr>
              <w:t>类标准</w:t>
            </w:r>
          </w:p>
        </w:tc>
        <w:tc>
          <w:tcPr>
            <w:tcW w:w="2782" w:type="dxa"/>
            <w:tcBorders>
              <w:tl2br w:val="nil"/>
              <w:tr2bl w:val="nil"/>
            </w:tcBorders>
            <w:vAlign w:val="center"/>
          </w:tcPr>
          <w:p>
            <w:pPr>
              <w:pStyle w:val="44"/>
              <w:ind w:firstLine="0" w:firstLineChars="0"/>
              <w:rPr>
                <w:rFonts w:hint="eastAsia"/>
                <w:color w:val="auto"/>
                <w:shd w:val="clear" w:color="auto" w:fill="auto"/>
              </w:rPr>
            </w:pPr>
            <w:r>
              <w:rPr>
                <w:rFonts w:hint="eastAsia"/>
                <w:color w:val="auto"/>
                <w:shd w:val="clear" w:color="auto" w:fill="auto"/>
              </w:rPr>
              <w:t>70</w:t>
            </w:r>
          </w:p>
        </w:tc>
        <w:tc>
          <w:tcPr>
            <w:tcW w:w="2894" w:type="dxa"/>
            <w:tcBorders>
              <w:tl2br w:val="nil"/>
              <w:tr2bl w:val="nil"/>
            </w:tcBorders>
            <w:vAlign w:val="center"/>
          </w:tcPr>
          <w:p>
            <w:pPr>
              <w:pStyle w:val="44"/>
              <w:ind w:firstLine="0" w:firstLineChars="0"/>
              <w:rPr>
                <w:rFonts w:hint="eastAsia"/>
                <w:color w:val="auto"/>
                <w:shd w:val="clear" w:color="auto" w:fill="auto"/>
              </w:rPr>
            </w:pPr>
            <w:r>
              <w:rPr>
                <w:rFonts w:hint="eastAsia"/>
                <w:color w:val="auto"/>
                <w:shd w:val="clear" w:color="auto" w:fill="auto"/>
              </w:rPr>
              <w:t>55</w:t>
            </w:r>
          </w:p>
        </w:tc>
      </w:tr>
    </w:tbl>
    <w:p>
      <w:pPr>
        <w:ind w:firstLine="480"/>
        <w:rPr>
          <w:color w:val="auto"/>
          <w:shd w:val="clear" w:color="auto" w:fill="auto"/>
        </w:rPr>
      </w:pPr>
      <w:r>
        <w:rPr>
          <w:rFonts w:hint="eastAsia"/>
          <w:color w:val="auto"/>
          <w:shd w:val="clear" w:color="auto" w:fill="auto"/>
        </w:rPr>
        <w:t>2、</w:t>
      </w:r>
      <w:r>
        <w:rPr>
          <w:color w:val="auto"/>
          <w:shd w:val="clear" w:color="auto" w:fill="auto"/>
        </w:rPr>
        <w:t>评价结果</w:t>
      </w:r>
    </w:p>
    <w:p>
      <w:pPr>
        <w:pStyle w:val="12"/>
        <w:ind w:firstLine="480"/>
        <w:rPr>
          <w:color w:val="auto"/>
          <w:shd w:val="clear" w:color="auto" w:fill="auto"/>
        </w:rPr>
      </w:pPr>
      <w:r>
        <w:rPr>
          <w:color w:val="auto"/>
          <w:shd w:val="clear" w:color="auto" w:fill="auto"/>
        </w:rPr>
        <w:t>根据表</w:t>
      </w:r>
      <w:r>
        <w:rPr>
          <w:rFonts w:hint="eastAsia"/>
          <w:color w:val="auto"/>
          <w:shd w:val="clear" w:color="auto" w:fill="auto"/>
          <w:lang w:val="en-US" w:eastAsia="zh-CN"/>
        </w:rPr>
        <w:t>3.4-2</w:t>
      </w:r>
      <w:r>
        <w:rPr>
          <w:color w:val="auto"/>
          <w:shd w:val="clear" w:color="auto" w:fill="auto"/>
        </w:rPr>
        <w:t>环境噪声现状监测结果可以看出，项目区</w:t>
      </w:r>
      <w:r>
        <w:rPr>
          <w:rFonts w:hint="eastAsia"/>
          <w:color w:val="auto"/>
          <w:shd w:val="clear" w:color="auto" w:fill="auto"/>
        </w:rPr>
        <w:t>南厂</w:t>
      </w:r>
      <w:r>
        <w:rPr>
          <w:color w:val="auto"/>
          <w:shd w:val="clear" w:color="auto" w:fill="auto"/>
        </w:rPr>
        <w:t>界</w:t>
      </w:r>
      <w:r>
        <w:rPr>
          <w:rFonts w:hint="eastAsia"/>
          <w:color w:val="auto"/>
          <w:shd w:val="clear" w:color="auto" w:fill="auto"/>
        </w:rPr>
        <w:t>声</w:t>
      </w:r>
      <w:r>
        <w:rPr>
          <w:color w:val="auto"/>
          <w:shd w:val="clear" w:color="auto" w:fill="auto"/>
        </w:rPr>
        <w:t>环境满足《声环境质量标准》（GB3096—2008）中的4a类标准</w:t>
      </w:r>
      <w:r>
        <w:rPr>
          <w:rFonts w:hint="eastAsia"/>
          <w:color w:val="auto"/>
          <w:shd w:val="clear" w:color="auto" w:fill="auto"/>
        </w:rPr>
        <w:t>，</w:t>
      </w:r>
      <w:r>
        <w:rPr>
          <w:rFonts w:hint="eastAsia" w:ascii="Times New Roman" w:hAnsi="Times New Roman" w:eastAsia="宋体" w:cs="Times New Roman"/>
          <w:color w:val="auto"/>
          <w:kern w:val="2"/>
          <w:sz w:val="24"/>
          <w:szCs w:val="24"/>
          <w:shd w:val="clear" w:color="auto" w:fill="auto"/>
          <w:lang w:val="en-US" w:eastAsia="zh-CN" w:bidi="ar-SA"/>
        </w:rPr>
        <w:t>其余厂界满足</w:t>
      </w:r>
      <w:r>
        <w:rPr>
          <w:rFonts w:hint="eastAsia" w:cs="Times New Roman"/>
          <w:color w:val="auto"/>
          <w:kern w:val="2"/>
          <w:sz w:val="24"/>
          <w:szCs w:val="24"/>
          <w:shd w:val="clear" w:color="auto" w:fill="auto"/>
          <w:lang w:val="en-US" w:eastAsia="zh-CN" w:bidi="ar-SA"/>
        </w:rPr>
        <w:t>2类标准；敏感点后陶桥声环境满足</w:t>
      </w:r>
      <w:r>
        <w:rPr>
          <w:rFonts w:hint="eastAsia" w:ascii="Times New Roman" w:hAnsi="Times New Roman" w:eastAsia="宋体" w:cs="Times New Roman"/>
          <w:color w:val="auto"/>
          <w:kern w:val="2"/>
          <w:sz w:val="24"/>
          <w:szCs w:val="24"/>
          <w:shd w:val="clear" w:color="auto" w:fill="auto"/>
          <w:lang w:val="en-US" w:eastAsia="zh-CN" w:bidi="ar-SA"/>
        </w:rPr>
        <w:t>《声环境质量标准》（GB3096—2008）中的2类标准</w:t>
      </w:r>
      <w:r>
        <w:rPr>
          <w:rFonts w:hint="eastAsia" w:cs="Times New Roman"/>
          <w:color w:val="auto"/>
          <w:kern w:val="2"/>
          <w:sz w:val="24"/>
          <w:szCs w:val="24"/>
          <w:shd w:val="clear" w:color="auto" w:fill="auto"/>
          <w:lang w:val="en-US" w:eastAsia="zh-CN" w:bidi="ar-SA"/>
        </w:rPr>
        <w:t>。</w:t>
      </w:r>
      <w:r>
        <w:rPr>
          <w:color w:val="auto"/>
          <w:shd w:val="clear" w:color="auto" w:fill="auto"/>
        </w:rPr>
        <w:t>因此，项目区声环境质量满足功能要求。</w:t>
      </w:r>
    </w:p>
    <w:p>
      <w:pPr>
        <w:pStyle w:val="4"/>
        <w:spacing w:before="156" w:after="156"/>
        <w:rPr>
          <w:color w:val="auto"/>
          <w:highlight w:val="none"/>
          <w:shd w:val="clear" w:color="auto" w:fill="auto"/>
        </w:rPr>
      </w:pPr>
      <w:bookmarkStart w:id="250" w:name="_Toc31538"/>
      <w:bookmarkStart w:id="251" w:name="_Toc19427_WPSOffice_Level2"/>
      <w:bookmarkStart w:id="252" w:name="_Toc21106_WPSOffice_Level2"/>
      <w:r>
        <w:rPr>
          <w:rFonts w:hint="eastAsia"/>
          <w:color w:val="auto"/>
          <w:highlight w:val="none"/>
          <w:shd w:val="clear" w:color="auto" w:fill="auto"/>
          <w:lang w:val="en-US" w:eastAsia="zh-CN"/>
        </w:rPr>
        <w:t>3</w:t>
      </w:r>
      <w:r>
        <w:rPr>
          <w:rFonts w:hint="eastAsia"/>
          <w:color w:val="auto"/>
          <w:highlight w:val="none"/>
          <w:shd w:val="clear" w:color="auto" w:fill="auto"/>
        </w:rPr>
        <w:t>.5 底泥环境质量现状监测与评价</w:t>
      </w:r>
      <w:bookmarkEnd w:id="250"/>
      <w:bookmarkEnd w:id="251"/>
      <w:bookmarkEnd w:id="252"/>
    </w:p>
    <w:p>
      <w:pPr>
        <w:pStyle w:val="5"/>
        <w:rPr>
          <w:color w:val="auto"/>
          <w:shd w:val="clear" w:color="auto" w:fill="auto"/>
        </w:rPr>
      </w:pPr>
      <w:r>
        <w:rPr>
          <w:rFonts w:hint="eastAsia"/>
          <w:color w:val="auto"/>
          <w:shd w:val="clear" w:color="auto" w:fill="auto"/>
          <w:lang w:val="en-US" w:eastAsia="zh-CN"/>
        </w:rPr>
        <w:t>3</w:t>
      </w:r>
      <w:r>
        <w:rPr>
          <w:rFonts w:hint="eastAsia"/>
          <w:color w:val="auto"/>
          <w:shd w:val="clear" w:color="auto" w:fill="auto"/>
        </w:rPr>
        <w:t>.5.1 底泥环境现状监测</w:t>
      </w:r>
    </w:p>
    <w:p>
      <w:pPr>
        <w:bidi w:val="0"/>
        <w:rPr>
          <w:color w:val="auto"/>
          <w:shd w:val="clear" w:color="auto" w:fill="auto"/>
        </w:rPr>
      </w:pPr>
      <w:r>
        <w:rPr>
          <w:rFonts w:hint="eastAsia"/>
          <w:color w:val="auto"/>
          <w:shd w:val="clear" w:color="auto" w:fill="auto"/>
        </w:rPr>
        <w:t>1、</w:t>
      </w:r>
      <w:r>
        <w:rPr>
          <w:color w:val="auto"/>
          <w:shd w:val="clear" w:color="auto" w:fill="auto"/>
        </w:rPr>
        <w:t>监测布点</w:t>
      </w:r>
    </w:p>
    <w:p>
      <w:pPr>
        <w:bidi w:val="0"/>
        <w:rPr>
          <w:rFonts w:hint="default"/>
          <w:color w:val="auto"/>
          <w:shd w:val="clear" w:color="auto" w:fill="auto"/>
          <w:lang w:eastAsia="zh-CN"/>
        </w:rPr>
      </w:pPr>
      <w:r>
        <w:rPr>
          <w:rFonts w:hint="default"/>
          <w:color w:val="auto"/>
          <w:shd w:val="clear" w:color="auto" w:fill="auto"/>
          <w:lang w:eastAsia="zh-CN"/>
        </w:rPr>
        <w:t>本工程</w:t>
      </w:r>
      <w:r>
        <w:rPr>
          <w:rFonts w:hint="default"/>
          <w:color w:val="auto"/>
          <w:shd w:val="clear" w:color="auto" w:fill="auto"/>
          <w:lang w:val="en-US" w:eastAsia="zh-CN"/>
        </w:rPr>
        <w:t>疏浚</w:t>
      </w:r>
      <w:r>
        <w:rPr>
          <w:rFonts w:hint="default"/>
          <w:color w:val="auto"/>
          <w:shd w:val="clear" w:color="auto" w:fill="auto"/>
          <w:lang w:eastAsia="zh-CN"/>
        </w:rPr>
        <w:t>区域</w:t>
      </w:r>
      <w:r>
        <w:rPr>
          <w:rFonts w:hint="eastAsia"/>
          <w:color w:val="auto"/>
          <w:shd w:val="clear" w:color="auto" w:fill="auto"/>
          <w:lang w:eastAsia="zh-CN"/>
        </w:rPr>
        <w:t>、抛泥区</w:t>
      </w:r>
      <w:r>
        <w:rPr>
          <w:rFonts w:hint="eastAsia"/>
          <w:color w:val="auto"/>
          <w:shd w:val="clear" w:color="auto" w:fill="auto"/>
          <w:lang w:val="en-US" w:eastAsia="zh-CN"/>
        </w:rPr>
        <w:t>底泥现状</w:t>
      </w:r>
      <w:r>
        <w:rPr>
          <w:rFonts w:hint="default"/>
          <w:color w:val="auto"/>
          <w:shd w:val="clear" w:color="auto" w:fill="auto"/>
          <w:lang w:eastAsia="zh-CN"/>
        </w:rPr>
        <w:t>环境</w:t>
      </w:r>
      <w:r>
        <w:rPr>
          <w:rFonts w:hint="eastAsia"/>
          <w:color w:val="auto"/>
          <w:shd w:val="clear" w:color="auto" w:fill="auto"/>
          <w:lang w:val="en-US" w:eastAsia="zh-CN"/>
        </w:rPr>
        <w:t>监测各设1个</w:t>
      </w:r>
      <w:r>
        <w:rPr>
          <w:rFonts w:hint="eastAsia"/>
          <w:color w:val="auto"/>
          <w:shd w:val="clear" w:color="auto" w:fill="auto"/>
        </w:rPr>
        <w:t>监测点位</w:t>
      </w:r>
      <w:r>
        <w:rPr>
          <w:rFonts w:hint="eastAsia"/>
          <w:color w:val="auto"/>
          <w:shd w:val="clear" w:color="auto" w:fill="auto"/>
          <w:lang w:eastAsia="zh-CN"/>
        </w:rPr>
        <w:t>，</w:t>
      </w:r>
      <w:r>
        <w:rPr>
          <w:rFonts w:hint="eastAsia"/>
          <w:color w:val="auto"/>
          <w:shd w:val="clear" w:color="auto" w:fill="auto"/>
        </w:rPr>
        <w:t>见图</w:t>
      </w:r>
      <w:r>
        <w:rPr>
          <w:rFonts w:hint="eastAsia"/>
          <w:color w:val="auto"/>
          <w:shd w:val="clear" w:color="auto" w:fill="auto"/>
          <w:lang w:val="en-US" w:eastAsia="zh-CN"/>
        </w:rPr>
        <w:t>3</w:t>
      </w:r>
      <w:r>
        <w:rPr>
          <w:rFonts w:hint="eastAsia"/>
          <w:color w:val="auto"/>
          <w:shd w:val="clear" w:color="auto" w:fill="auto"/>
        </w:rPr>
        <w:t>.2-1</w:t>
      </w:r>
      <w:r>
        <w:rPr>
          <w:rFonts w:hint="eastAsia"/>
          <w:color w:val="auto"/>
          <w:shd w:val="clear" w:color="auto" w:fill="auto"/>
          <w:lang w:eastAsia="zh-CN"/>
        </w:rPr>
        <w:t>；</w:t>
      </w:r>
      <w:r>
        <w:rPr>
          <w:rFonts w:hint="default"/>
          <w:color w:val="auto"/>
          <w:shd w:val="clear" w:color="auto" w:fill="auto"/>
          <w:lang w:eastAsia="zh-CN"/>
        </w:rPr>
        <w:t>底泥环境监测布点</w:t>
      </w:r>
      <w:r>
        <w:rPr>
          <w:rFonts w:hint="eastAsia"/>
          <w:color w:val="auto"/>
          <w:shd w:val="clear" w:color="auto" w:fill="auto"/>
          <w:lang w:val="en-US" w:eastAsia="zh-CN"/>
        </w:rPr>
        <w:t>及监测因子</w:t>
      </w:r>
      <w:r>
        <w:rPr>
          <w:rFonts w:hint="default"/>
          <w:color w:val="auto"/>
          <w:shd w:val="clear" w:color="auto" w:fill="auto"/>
          <w:lang w:eastAsia="zh-CN"/>
        </w:rPr>
        <w:t>详见表</w:t>
      </w:r>
      <w:r>
        <w:rPr>
          <w:rFonts w:hint="eastAsia"/>
          <w:color w:val="auto"/>
          <w:shd w:val="clear" w:color="auto" w:fill="auto"/>
          <w:lang w:val="en-US" w:eastAsia="zh-CN"/>
        </w:rPr>
        <w:t>3.5-1</w:t>
      </w:r>
      <w:r>
        <w:rPr>
          <w:rFonts w:hint="default"/>
          <w:color w:val="auto"/>
          <w:shd w:val="clear" w:color="auto" w:fill="auto"/>
          <w:lang w:eastAsia="zh-CN"/>
        </w:rPr>
        <w:t>。</w:t>
      </w:r>
    </w:p>
    <w:p>
      <w:pPr>
        <w:pStyle w:val="43"/>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color w:val="auto"/>
          <w:sz w:val="21"/>
          <w:szCs w:val="21"/>
          <w:shd w:val="clear" w:color="auto" w:fill="auto"/>
          <w:lang w:val="en-US" w:eastAsia="zh-CN"/>
        </w:rPr>
      </w:pPr>
      <w:r>
        <w:rPr>
          <w:rFonts w:hint="default"/>
          <w:color w:val="auto"/>
          <w:sz w:val="21"/>
          <w:szCs w:val="21"/>
          <w:shd w:val="clear" w:color="auto" w:fill="auto"/>
          <w:lang w:val="en-US" w:eastAsia="zh-CN"/>
        </w:rPr>
        <w:t>表</w:t>
      </w:r>
      <w:r>
        <w:rPr>
          <w:rFonts w:hint="eastAsia"/>
          <w:color w:val="auto"/>
          <w:sz w:val="21"/>
          <w:szCs w:val="21"/>
          <w:shd w:val="clear" w:color="auto" w:fill="auto"/>
          <w:lang w:val="en-US" w:eastAsia="zh-CN"/>
        </w:rPr>
        <w:t xml:space="preserve">3.5-1 </w:t>
      </w:r>
      <w:r>
        <w:rPr>
          <w:rFonts w:hint="default"/>
          <w:color w:val="auto"/>
          <w:sz w:val="21"/>
          <w:szCs w:val="21"/>
          <w:shd w:val="clear" w:color="auto" w:fill="auto"/>
          <w:lang w:val="en-US" w:eastAsia="zh-CN"/>
        </w:rPr>
        <w:t xml:space="preserve"> 底泥现状监测</w:t>
      </w:r>
      <w:r>
        <w:rPr>
          <w:rFonts w:hint="eastAsia"/>
          <w:color w:val="auto"/>
          <w:sz w:val="21"/>
          <w:szCs w:val="21"/>
          <w:shd w:val="clear" w:color="auto" w:fill="auto"/>
          <w:lang w:val="en-US" w:eastAsia="zh-CN"/>
        </w:rPr>
        <w:t>点位及监测因子表</w:t>
      </w:r>
    </w:p>
    <w:tbl>
      <w:tblPr>
        <w:tblStyle w:val="26"/>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1"/>
        <w:gridCol w:w="2055"/>
        <w:gridCol w:w="54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tcBorders>
              <w:tl2br w:val="nil"/>
              <w:tr2bl w:val="nil"/>
            </w:tcBorders>
            <w:vAlign w:val="center"/>
          </w:tcPr>
          <w:p>
            <w:pPr>
              <w:pStyle w:val="44"/>
              <w:rPr>
                <w:rFonts w:hint="default" w:ascii="Times New Roman" w:hAnsi="Times New Roman" w:eastAsia="宋体" w:cs="Times New Roman"/>
                <w:color w:val="auto"/>
                <w:shd w:val="clear" w:color="auto" w:fill="auto"/>
              </w:rPr>
            </w:pPr>
            <w:r>
              <w:rPr>
                <w:rFonts w:hint="default" w:ascii="Times New Roman" w:hAnsi="Times New Roman" w:eastAsia="宋体" w:cs="Times New Roman"/>
                <w:color w:val="auto"/>
                <w:shd w:val="clear" w:color="auto" w:fill="auto"/>
              </w:rPr>
              <w:t>序号</w:t>
            </w:r>
          </w:p>
        </w:tc>
        <w:tc>
          <w:tcPr>
            <w:tcW w:w="2055" w:type="dxa"/>
            <w:tcBorders>
              <w:tl2br w:val="nil"/>
              <w:tr2bl w:val="nil"/>
            </w:tcBorders>
            <w:vAlign w:val="center"/>
          </w:tcPr>
          <w:p>
            <w:pPr>
              <w:pStyle w:val="44"/>
              <w:rPr>
                <w:rFonts w:hint="default" w:ascii="Times New Roman" w:hAnsi="Times New Roman" w:eastAsia="宋体" w:cs="Times New Roman"/>
                <w:color w:val="auto"/>
                <w:shd w:val="clear" w:color="auto" w:fill="auto"/>
              </w:rPr>
            </w:pPr>
            <w:r>
              <w:rPr>
                <w:rFonts w:hint="default" w:ascii="Times New Roman" w:hAnsi="Times New Roman" w:eastAsia="宋体" w:cs="Times New Roman"/>
                <w:color w:val="auto"/>
                <w:shd w:val="clear" w:color="auto" w:fill="auto"/>
              </w:rPr>
              <w:t>监测点位</w:t>
            </w:r>
          </w:p>
        </w:tc>
        <w:tc>
          <w:tcPr>
            <w:tcW w:w="5446" w:type="dxa"/>
            <w:tcBorders>
              <w:tl2br w:val="nil"/>
              <w:tr2bl w:val="nil"/>
            </w:tcBorders>
            <w:vAlign w:val="center"/>
          </w:tcPr>
          <w:p>
            <w:pPr>
              <w:pStyle w:val="44"/>
              <w:rPr>
                <w:rFonts w:hint="default" w:ascii="Times New Roman" w:hAnsi="Times New Roman" w:eastAsia="宋体" w:cs="Times New Roman"/>
                <w:color w:val="auto"/>
                <w:shd w:val="clear" w:color="auto" w:fill="auto"/>
              </w:rPr>
            </w:pPr>
            <w:r>
              <w:rPr>
                <w:rFonts w:hint="default" w:ascii="Times New Roman" w:hAnsi="Times New Roman" w:eastAsia="宋体" w:cs="Times New Roman"/>
                <w:color w:val="auto"/>
                <w:shd w:val="clear" w:color="auto" w:fill="auto"/>
              </w:rPr>
              <w:t>监测项目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0" w:hRule="atLeast"/>
          <w:jc w:val="center"/>
        </w:trPr>
        <w:tc>
          <w:tcPr>
            <w:tcW w:w="1021" w:type="dxa"/>
            <w:tcBorders>
              <w:tl2br w:val="nil"/>
              <w:tr2bl w:val="nil"/>
            </w:tcBorders>
            <w:vAlign w:val="center"/>
          </w:tcPr>
          <w:p>
            <w:pPr>
              <w:pStyle w:val="44"/>
              <w:rPr>
                <w:rFonts w:hint="default" w:ascii="Times New Roman" w:hAnsi="Times New Roman" w:eastAsia="宋体" w:cs="Times New Roman"/>
                <w:color w:val="auto"/>
                <w:shd w:val="clear" w:color="auto" w:fill="auto"/>
              </w:rPr>
            </w:pPr>
            <w:r>
              <w:rPr>
                <w:rFonts w:hint="default" w:ascii="Times New Roman" w:hAnsi="Times New Roman" w:eastAsia="宋体" w:cs="Times New Roman"/>
                <w:color w:val="auto"/>
                <w:shd w:val="clear" w:color="auto" w:fill="auto"/>
                <w:lang w:val="en-US" w:eastAsia="zh-CN"/>
              </w:rPr>
              <w:t>S</w:t>
            </w:r>
            <w:r>
              <w:rPr>
                <w:rFonts w:hint="eastAsia" w:ascii="Times New Roman" w:hAnsi="Times New Roman" w:eastAsia="宋体" w:cs="Times New Roman"/>
                <w:color w:val="auto"/>
                <w:shd w:val="clear" w:color="auto" w:fill="auto"/>
                <w:lang w:val="en-US" w:eastAsia="zh-CN"/>
              </w:rPr>
              <w:t>1</w:t>
            </w:r>
          </w:p>
        </w:tc>
        <w:tc>
          <w:tcPr>
            <w:tcW w:w="2055" w:type="dxa"/>
            <w:tcBorders>
              <w:tl2br w:val="nil"/>
              <w:tr2bl w:val="nil"/>
            </w:tcBorders>
            <w:vAlign w:val="center"/>
          </w:tcPr>
          <w:p>
            <w:pPr>
              <w:pStyle w:val="44"/>
              <w:rPr>
                <w:rFonts w:hint="default" w:ascii="Times New Roman" w:hAnsi="Times New Roman" w:eastAsia="宋体" w:cs="Times New Roman"/>
                <w:color w:val="auto"/>
                <w:shd w:val="clear" w:color="auto" w:fill="auto"/>
              </w:rPr>
            </w:pPr>
            <w:r>
              <w:rPr>
                <w:rFonts w:hint="default" w:ascii="Times New Roman" w:hAnsi="Times New Roman" w:eastAsia="宋体" w:cs="Times New Roman"/>
                <w:color w:val="auto"/>
                <w:shd w:val="clear" w:color="auto" w:fill="auto"/>
                <w:lang w:eastAsia="zh-CN"/>
              </w:rPr>
              <w:t>拟建工程</w:t>
            </w:r>
            <w:r>
              <w:rPr>
                <w:rFonts w:hint="default" w:ascii="Times New Roman" w:hAnsi="Times New Roman" w:eastAsia="宋体" w:cs="Times New Roman"/>
                <w:color w:val="auto"/>
                <w:shd w:val="clear" w:color="auto" w:fill="auto"/>
                <w:lang w:val="en-US" w:eastAsia="zh-CN"/>
              </w:rPr>
              <w:t>疏浚</w:t>
            </w:r>
            <w:r>
              <w:rPr>
                <w:rFonts w:hint="default" w:ascii="Times New Roman" w:hAnsi="Times New Roman" w:eastAsia="宋体" w:cs="Times New Roman"/>
                <w:color w:val="auto"/>
                <w:shd w:val="clear" w:color="auto" w:fill="auto"/>
                <w:lang w:eastAsia="zh-CN"/>
              </w:rPr>
              <w:t>区域</w:t>
            </w:r>
          </w:p>
        </w:tc>
        <w:tc>
          <w:tcPr>
            <w:tcW w:w="5446" w:type="dxa"/>
            <w:vMerge w:val="restart"/>
            <w:tcBorders>
              <w:tl2br w:val="nil"/>
              <w:tr2bl w:val="nil"/>
            </w:tcBorders>
            <w:vAlign w:val="center"/>
          </w:tcPr>
          <w:p>
            <w:pPr>
              <w:pStyle w:val="44"/>
              <w:rPr>
                <w:rFonts w:hint="default" w:ascii="Times New Roman" w:hAnsi="Times New Roman" w:eastAsia="宋体" w:cs="Times New Roman"/>
                <w:color w:val="auto"/>
                <w:shd w:val="clear" w:color="auto" w:fill="auto"/>
                <w:lang w:val="en-US"/>
              </w:rPr>
            </w:pPr>
            <w:r>
              <w:rPr>
                <w:rFonts w:hint="eastAsia" w:ascii="Times New Roman" w:hAnsi="Times New Roman" w:eastAsia="宋体" w:cs="Times New Roman"/>
                <w:color w:val="auto"/>
                <w:shd w:val="clear" w:color="auto" w:fill="auto"/>
                <w:lang w:val="zh-CN" w:eastAsia="zh-CN"/>
              </w:rPr>
              <w:t>砷、镉、铬（六价）、铜、铅、汞、镍、挥发性有机物27种（1，1，2-三氯乙烷、氯乙烯、1，1-二氯乙烯、二氯甲烷、反-1，2-二氯乙烯、1，1-二氯乙烷、顺-1，2-二氯乙烯、氯仿、1，1，1-三氯乙烷、四氯化碳、1，2-二氯乙烷、苯、三氯乙烯、1，2-二氯丙烷、甲苯、四氯乙烯、氯苯、1，1，1，2-四氯乙烷、乙苯、间+对-二甲苯、邻-二甲苯、苯乙烯、1，1，2，2-四氯乙烷、1，2，3-三氯丙烷、1，4-二氯苯、1，2-二氯苯、氯甲烷）、半挥发性有机物11种（硝基苯、苯胺、2-氯酚、苯并a芘、苯并a蒽、苯并b荧蒽、苯并k荧蒽、二苯并（a，h）蒽、茚并（1，2，3-cd）芘、萘、䓛）</w:t>
            </w:r>
            <w:r>
              <w:rPr>
                <w:rFonts w:hint="eastAsia" w:ascii="Times New Roman" w:hAnsi="Times New Roman" w:eastAsia="宋体" w:cs="Times New Roman"/>
                <w:color w:val="auto"/>
                <w:shd w:val="clear" w:color="auto" w:fill="auto"/>
                <w:lang w:val="en-US" w:eastAsia="zh-CN"/>
              </w:rPr>
              <w:t>共45项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tcBorders>
              <w:tl2br w:val="nil"/>
              <w:tr2bl w:val="nil"/>
            </w:tcBorders>
            <w:vAlign w:val="center"/>
          </w:tcPr>
          <w:p>
            <w:pPr>
              <w:pStyle w:val="44"/>
              <w:rPr>
                <w:rFonts w:hint="default" w:ascii="Times New Roman" w:hAnsi="Times New Roman" w:eastAsia="宋体" w:cs="Times New Roman"/>
                <w:color w:val="auto"/>
                <w:shd w:val="clear" w:color="auto" w:fill="auto"/>
                <w:lang w:val="en-US" w:eastAsia="zh-CN"/>
              </w:rPr>
            </w:pPr>
            <w:r>
              <w:rPr>
                <w:rFonts w:hint="default" w:ascii="Times New Roman" w:hAnsi="Times New Roman" w:eastAsia="宋体" w:cs="Times New Roman"/>
                <w:color w:val="auto"/>
                <w:shd w:val="clear" w:color="auto" w:fill="auto"/>
                <w:lang w:val="en-US" w:eastAsia="zh-CN"/>
              </w:rPr>
              <w:t>S</w:t>
            </w:r>
            <w:r>
              <w:rPr>
                <w:rFonts w:hint="eastAsia" w:ascii="Times New Roman" w:hAnsi="Times New Roman" w:eastAsia="宋体" w:cs="Times New Roman"/>
                <w:color w:val="auto"/>
                <w:shd w:val="clear" w:color="auto" w:fill="auto"/>
                <w:lang w:val="en-US" w:eastAsia="zh-CN"/>
              </w:rPr>
              <w:t>2</w:t>
            </w:r>
          </w:p>
        </w:tc>
        <w:tc>
          <w:tcPr>
            <w:tcW w:w="2055" w:type="dxa"/>
            <w:tcBorders>
              <w:tl2br w:val="nil"/>
              <w:tr2bl w:val="nil"/>
            </w:tcBorders>
            <w:vAlign w:val="center"/>
          </w:tcPr>
          <w:p>
            <w:pPr>
              <w:pStyle w:val="44"/>
              <w:rPr>
                <w:rFonts w:hint="default" w:ascii="Times New Roman" w:hAnsi="Times New Roman" w:eastAsia="宋体" w:cs="Times New Roman"/>
                <w:color w:val="auto"/>
                <w:shd w:val="clear" w:color="auto" w:fill="auto"/>
                <w:lang w:eastAsia="zh-CN"/>
              </w:rPr>
            </w:pPr>
            <w:r>
              <w:rPr>
                <w:rFonts w:hint="default" w:ascii="Times New Roman" w:hAnsi="Times New Roman" w:eastAsia="宋体" w:cs="Times New Roman"/>
                <w:color w:val="auto"/>
                <w:shd w:val="clear" w:color="auto" w:fill="auto"/>
                <w:lang w:eastAsia="zh-CN"/>
              </w:rPr>
              <w:t>拟建工程</w:t>
            </w:r>
            <w:r>
              <w:rPr>
                <w:rFonts w:hint="eastAsia" w:ascii="Times New Roman" w:hAnsi="Times New Roman" w:eastAsia="宋体" w:cs="Times New Roman"/>
                <w:color w:val="auto"/>
                <w:shd w:val="clear" w:color="auto" w:fill="auto"/>
                <w:lang w:val="en-US" w:eastAsia="zh-CN"/>
              </w:rPr>
              <w:t>抛泥区</w:t>
            </w:r>
          </w:p>
        </w:tc>
        <w:tc>
          <w:tcPr>
            <w:tcW w:w="5446" w:type="dxa"/>
            <w:vMerge w:val="continue"/>
            <w:tcBorders>
              <w:tl2br w:val="nil"/>
              <w:tr2bl w:val="nil"/>
            </w:tcBorders>
            <w:vAlign w:val="center"/>
          </w:tcPr>
          <w:p>
            <w:pPr>
              <w:pStyle w:val="44"/>
              <w:rPr>
                <w:rFonts w:hint="eastAsia" w:ascii="Times New Roman" w:hAnsi="Times New Roman" w:eastAsia="宋体" w:cs="Times New Roman"/>
                <w:color w:val="auto"/>
                <w:shd w:val="clear" w:color="auto" w:fill="auto"/>
                <w:lang w:val="zh-CN" w:eastAsia="zh-CN"/>
              </w:rPr>
            </w:pPr>
          </w:p>
        </w:tc>
      </w:tr>
    </w:tbl>
    <w:p>
      <w:pPr>
        <w:bidi w:val="0"/>
        <w:rPr>
          <w:color w:val="auto"/>
          <w:shd w:val="clear" w:color="auto" w:fill="auto"/>
        </w:rPr>
      </w:pPr>
      <w:r>
        <w:rPr>
          <w:rFonts w:hint="eastAsia"/>
          <w:color w:val="auto"/>
          <w:shd w:val="clear" w:color="auto" w:fill="auto"/>
          <w:lang w:val="en-US" w:eastAsia="zh-CN"/>
        </w:rPr>
        <w:t>2、</w:t>
      </w:r>
      <w:r>
        <w:rPr>
          <w:rFonts w:hint="eastAsia"/>
          <w:color w:val="auto"/>
          <w:shd w:val="clear" w:color="auto" w:fill="auto"/>
        </w:rPr>
        <w:t>监测结果见表</w:t>
      </w:r>
      <w:r>
        <w:rPr>
          <w:rFonts w:hint="eastAsia"/>
          <w:color w:val="auto"/>
          <w:shd w:val="clear" w:color="auto" w:fill="auto"/>
          <w:lang w:val="en-US" w:eastAsia="zh-CN"/>
        </w:rPr>
        <w:t>3</w:t>
      </w:r>
      <w:r>
        <w:rPr>
          <w:rFonts w:hint="eastAsia"/>
          <w:color w:val="auto"/>
          <w:shd w:val="clear" w:color="auto" w:fill="auto"/>
        </w:rPr>
        <w:t>.5-</w:t>
      </w:r>
      <w:r>
        <w:rPr>
          <w:rFonts w:hint="eastAsia"/>
          <w:color w:val="auto"/>
          <w:shd w:val="clear" w:color="auto" w:fill="auto"/>
          <w:lang w:val="en-US" w:eastAsia="zh-CN"/>
        </w:rPr>
        <w:t>2</w:t>
      </w:r>
      <w:r>
        <w:rPr>
          <w:rFonts w:hint="eastAsia"/>
          <w:color w:val="auto"/>
          <w:shd w:val="clear" w:color="auto" w:fill="auto"/>
          <w:lang w:eastAsia="zh-CN"/>
        </w:rPr>
        <w:t>。</w:t>
      </w:r>
    </w:p>
    <w:p>
      <w:pPr>
        <w:pStyle w:val="43"/>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color w:val="auto"/>
          <w:sz w:val="21"/>
          <w:szCs w:val="21"/>
          <w:shd w:val="clear" w:color="auto" w:fill="auto"/>
          <w:lang w:val="en-US" w:eastAsia="zh-CN"/>
        </w:rPr>
      </w:pPr>
      <w:r>
        <w:rPr>
          <w:rFonts w:hint="default"/>
          <w:color w:val="auto"/>
          <w:sz w:val="21"/>
          <w:szCs w:val="21"/>
          <w:shd w:val="clear" w:color="auto" w:fill="auto"/>
          <w:lang w:val="en-US" w:eastAsia="zh-CN"/>
        </w:rPr>
        <w:t>表3.5-2  底泥质量现状监测结果  单位：</w:t>
      </w:r>
      <w:r>
        <w:rPr>
          <w:rFonts w:hint="eastAsia"/>
          <w:color w:val="auto"/>
          <w:sz w:val="21"/>
          <w:szCs w:val="21"/>
          <w:shd w:val="clear" w:color="auto" w:fill="auto"/>
          <w:lang w:val="en-US" w:eastAsia="zh-CN"/>
        </w:rPr>
        <w:t>m</w:t>
      </w:r>
      <w:r>
        <w:rPr>
          <w:rFonts w:hint="default"/>
          <w:color w:val="auto"/>
          <w:sz w:val="21"/>
          <w:szCs w:val="21"/>
          <w:shd w:val="clear" w:color="auto" w:fill="auto"/>
          <w:lang w:val="en-US" w:eastAsia="zh-CN"/>
        </w:rPr>
        <w:t>g/kg</w:t>
      </w:r>
    </w:p>
    <w:tbl>
      <w:tblPr>
        <w:tblStyle w:val="26"/>
        <w:tblW w:w="85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
        <w:gridCol w:w="531"/>
        <w:gridCol w:w="2190"/>
        <w:gridCol w:w="1575"/>
        <w:gridCol w:w="1500"/>
        <w:gridCol w:w="960"/>
        <w:gridCol w:w="914"/>
        <w:gridCol w:w="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07" w:hRule="atLeast"/>
        </w:trPr>
        <w:tc>
          <w:tcPr>
            <w:tcW w:w="850" w:type="dxa"/>
            <w:vMerge w:val="restart"/>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日期</w:t>
            </w:r>
          </w:p>
        </w:tc>
        <w:tc>
          <w:tcPr>
            <w:tcW w:w="2721" w:type="dxa"/>
            <w:gridSpan w:val="2"/>
            <w:vMerge w:val="restart"/>
            <w:tcBorders>
              <w:top w:val="single" w:color="auto" w:sz="4" w:space="0"/>
              <w:left w:val="nil"/>
              <w:right w:val="single" w:color="auto" w:sz="4" w:space="0"/>
            </w:tcBorders>
            <w:vAlign w:val="center"/>
            <mc:AlternateContent>
              <mc:Choice Requires="wpsCustomData">
                <wpsCustomData:diagonals>
                  <wpsCustomData:diagonal from="10000" to="30000">
                    <wpsCustomData:border w:val="single" w:color="auto" w:sz="4" w:space="0"/>
                  </wpsCustomData:diagonal>
                </wpsCustomData:diagonals>
              </mc:Choice>
            </mc:AlternateConten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cs="Times New Roman"/>
                <w:color w:val="auto"/>
                <w:sz w:val="21"/>
                <w:szCs w:val="21"/>
                <w:shd w:val="clear" w:color="auto" w:fill="auto"/>
                <w:lang w:eastAsia="zh-CN"/>
              </w:rPr>
            </w:pP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mc:AlternateContent>
                <mc:Choice Requires="wpsCustomData">
                  <wpsCustomData:diagonalParaType/>
                </mc:Choice>
              </mc:AlternateContent>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eastAsia="zh-CN"/>
              </w:rPr>
              <w:t>检测</w:t>
            </w:r>
            <w:r>
              <w:rPr>
                <w:rFonts w:hint="eastAsia" w:ascii="Times New Roman" w:hAnsi="Times New Roman" w:cs="Times New Roman"/>
                <w:color w:val="auto"/>
                <w:sz w:val="21"/>
                <w:szCs w:val="21"/>
                <w:shd w:val="clear" w:color="auto" w:fill="auto"/>
                <w:lang w:eastAsia="zh-CN"/>
              </w:rPr>
              <w:t>因子</w:t>
            </w:r>
          </w:p>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eastAsia="zh-CN"/>
              </w:rPr>
              <w:t>检测</w:t>
            </w:r>
            <w:r>
              <w:rPr>
                <w:rFonts w:hint="eastAsia" w:ascii="Times New Roman" w:hAnsi="Times New Roman" w:cs="Times New Roman"/>
                <w:color w:val="auto"/>
                <w:sz w:val="21"/>
                <w:szCs w:val="21"/>
                <w:shd w:val="clear" w:color="auto" w:fill="auto"/>
                <w:lang w:eastAsia="zh-CN"/>
              </w:rPr>
              <w:t>点位</w:t>
            </w:r>
          </w:p>
        </w:tc>
        <w:tc>
          <w:tcPr>
            <w:tcW w:w="1575" w:type="dxa"/>
            <w:vMerge w:val="restart"/>
            <w:tcBorders>
              <w:top w:val="single" w:color="auto" w:sz="4" w:space="0"/>
              <w:left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拟建工程疏浚区域</w:t>
            </w:r>
            <w:r>
              <w:rPr>
                <w:rFonts w:hint="default" w:ascii="Times New Roman" w:hAnsi="Times New Roman" w:eastAsia="宋体" w:cs="Times New Roman"/>
                <w:color w:val="auto"/>
                <w:sz w:val="21"/>
                <w:szCs w:val="21"/>
                <w:shd w:val="clear" w:color="auto" w:fill="auto"/>
                <w:lang w:val="en-US" w:eastAsia="zh-CN"/>
              </w:rPr>
              <w:t>S</w:t>
            </w:r>
            <w:r>
              <w:rPr>
                <w:rFonts w:hint="eastAsia" w:ascii="Times New Roman" w:hAnsi="Times New Roman" w:eastAsia="宋体" w:cs="Times New Roman"/>
                <w:color w:val="auto"/>
                <w:sz w:val="21"/>
                <w:szCs w:val="21"/>
                <w:shd w:val="clear" w:color="auto" w:fill="auto"/>
                <w:lang w:val="en-US" w:eastAsia="zh-CN"/>
              </w:rPr>
              <w:t>1</w:t>
            </w:r>
          </w:p>
        </w:tc>
        <w:tc>
          <w:tcPr>
            <w:tcW w:w="1500" w:type="dxa"/>
            <w:vMerge w:val="restart"/>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拟建工程抛泥区域</w:t>
            </w:r>
            <w:r>
              <w:rPr>
                <w:rFonts w:hint="default" w:ascii="Times New Roman" w:hAnsi="Times New Roman" w:eastAsia="宋体" w:cs="Times New Roman"/>
                <w:color w:val="auto"/>
                <w:sz w:val="21"/>
                <w:szCs w:val="21"/>
                <w:shd w:val="clear" w:color="auto" w:fill="auto"/>
                <w:lang w:val="en-US" w:eastAsia="zh-CN"/>
              </w:rPr>
              <w:t>S</w:t>
            </w:r>
            <w:r>
              <w:rPr>
                <w:rFonts w:hint="eastAsia" w:ascii="Times New Roman" w:hAnsi="Times New Roman" w:eastAsia="宋体" w:cs="Times New Roman"/>
                <w:color w:val="auto"/>
                <w:sz w:val="21"/>
                <w:szCs w:val="21"/>
                <w:shd w:val="clear" w:color="auto" w:fill="auto"/>
                <w:lang w:val="en-US" w:eastAsia="zh-CN"/>
              </w:rPr>
              <w:t>2</w:t>
            </w:r>
          </w:p>
        </w:tc>
        <w:tc>
          <w:tcPr>
            <w:tcW w:w="1874"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07" w:hRule="atLeast"/>
        </w:trPr>
        <w:tc>
          <w:tcPr>
            <w:tcW w:w="850" w:type="dxa"/>
            <w:vMerge w:val="continue"/>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shd w:val="clear" w:color="auto" w:fill="auto"/>
              </w:rPr>
            </w:pPr>
          </w:p>
        </w:tc>
        <w:tc>
          <w:tcPr>
            <w:tcW w:w="2721" w:type="dxa"/>
            <w:gridSpan w:val="2"/>
            <w:vMerge w:val="continue"/>
            <w:tcBorders>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shd w:val="clear" w:color="auto" w:fill="auto"/>
              </w:rPr>
            </w:pPr>
          </w:p>
        </w:tc>
        <w:tc>
          <w:tcPr>
            <w:tcW w:w="1575" w:type="dxa"/>
            <w:vMerge w:val="continue"/>
            <w:tcBorders>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shd w:val="clear" w:color="auto" w:fill="auto"/>
              </w:rPr>
            </w:pPr>
          </w:p>
        </w:tc>
        <w:tc>
          <w:tcPr>
            <w:tcW w:w="1500" w:type="dxa"/>
            <w:vMerge w:val="continue"/>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shd w:val="clear" w:color="auto" w:fill="auto"/>
              </w:rPr>
            </w:pPr>
          </w:p>
        </w:tc>
        <w:tc>
          <w:tcPr>
            <w:tcW w:w="96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筛选值</w:t>
            </w:r>
          </w:p>
        </w:tc>
        <w:tc>
          <w:tcPr>
            <w:tcW w:w="91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管制值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40" w:hRule="atLeast"/>
        </w:trPr>
        <w:tc>
          <w:tcPr>
            <w:tcW w:w="850" w:type="dxa"/>
            <w:vMerge w:val="restart"/>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eastAsia="zh-CN"/>
              </w:rPr>
              <w:t>20</w:t>
            </w:r>
            <w:r>
              <w:rPr>
                <w:rFonts w:hint="eastAsia" w:cs="Times New Roman"/>
                <w:color w:val="auto"/>
                <w:sz w:val="21"/>
                <w:szCs w:val="21"/>
                <w:shd w:val="clear" w:color="auto" w:fill="auto"/>
                <w:lang w:val="en-US" w:eastAsia="zh-CN"/>
              </w:rPr>
              <w:t>20</w:t>
            </w:r>
            <w:r>
              <w:rPr>
                <w:rFonts w:hint="eastAsia" w:ascii="Times New Roman" w:hAnsi="Times New Roman" w:eastAsia="宋体" w:cs="Times New Roman"/>
                <w:color w:val="auto"/>
                <w:sz w:val="21"/>
                <w:szCs w:val="21"/>
                <w:shd w:val="clear" w:color="auto" w:fill="auto"/>
                <w:lang w:eastAsia="zh-CN"/>
              </w:rPr>
              <w:t>-</w:t>
            </w:r>
            <w:r>
              <w:rPr>
                <w:rFonts w:hint="eastAsia" w:cs="Times New Roman"/>
                <w:color w:val="auto"/>
                <w:sz w:val="21"/>
                <w:szCs w:val="21"/>
                <w:shd w:val="clear" w:color="auto" w:fill="auto"/>
                <w:lang w:val="en-US" w:eastAsia="zh-CN"/>
              </w:rPr>
              <w:t>4</w:t>
            </w:r>
            <w:r>
              <w:rPr>
                <w:rFonts w:hint="eastAsia" w:ascii="Times New Roman" w:hAnsi="Times New Roman" w:eastAsia="宋体" w:cs="Times New Roman"/>
                <w:color w:val="auto"/>
                <w:sz w:val="21"/>
                <w:szCs w:val="21"/>
                <w:shd w:val="clear" w:color="auto" w:fill="auto"/>
                <w:lang w:eastAsia="zh-CN"/>
              </w:rPr>
              <w:t>-</w:t>
            </w:r>
            <w:r>
              <w:rPr>
                <w:rFonts w:hint="eastAsia" w:cs="Times New Roman"/>
                <w:color w:val="auto"/>
                <w:sz w:val="21"/>
                <w:szCs w:val="21"/>
                <w:shd w:val="clear" w:color="auto" w:fill="auto"/>
                <w:lang w:val="en-US" w:eastAsia="zh-CN"/>
              </w:rPr>
              <w:t>29</w:t>
            </w:r>
          </w:p>
        </w:tc>
        <w:tc>
          <w:tcPr>
            <w:tcW w:w="7670" w:type="dxa"/>
            <w:gridSpan w:val="6"/>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left"/>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重金属和无机物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eastAsia="zh-CN"/>
              </w:rPr>
            </w:pPr>
          </w:p>
        </w:tc>
        <w:tc>
          <w:tcPr>
            <w:tcW w:w="531"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1</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b w:val="0"/>
                <w:bCs w:val="0"/>
                <w:color w:val="auto"/>
                <w:sz w:val="21"/>
                <w:szCs w:val="21"/>
                <w:shd w:val="clear" w:color="auto" w:fill="auto"/>
                <w:lang w:val="en-US" w:eastAsia="zh-CN"/>
              </w:rPr>
            </w:pPr>
            <w:r>
              <w:rPr>
                <w:rFonts w:hint="eastAsia"/>
                <w:b w:val="0"/>
                <w:bCs w:val="0"/>
                <w:color w:val="auto"/>
                <w:sz w:val="21"/>
                <w:szCs w:val="21"/>
                <w:shd w:val="clear" w:color="auto" w:fill="auto"/>
                <w:lang w:val="en-US" w:eastAsia="zh-CN"/>
              </w:rPr>
              <w:t>PH</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6.82</w:t>
            </w:r>
          </w:p>
        </w:tc>
        <w:tc>
          <w:tcPr>
            <w:tcW w:w="1500"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7.23</w:t>
            </w:r>
          </w:p>
        </w:tc>
        <w:tc>
          <w:tcPr>
            <w:tcW w:w="960"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p>
        </w:tc>
        <w:tc>
          <w:tcPr>
            <w:tcW w:w="915" w:type="dxa"/>
            <w:gridSpan w:val="2"/>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eastAsia="zh-CN"/>
              </w:rPr>
            </w:pPr>
          </w:p>
        </w:tc>
        <w:tc>
          <w:tcPr>
            <w:tcW w:w="531"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eastAsia="宋体" w:cs="Times New Roman"/>
                <w:color w:val="auto"/>
                <w:sz w:val="21"/>
                <w:szCs w:val="21"/>
                <w:shd w:val="clear" w:color="auto" w:fill="auto"/>
                <w:lang w:val="en-US" w:eastAsia="zh-CN"/>
              </w:rPr>
              <w:t>2</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b w:val="0"/>
                <w:bCs w:val="0"/>
                <w:color w:val="auto"/>
                <w:sz w:val="21"/>
                <w:szCs w:val="21"/>
                <w:shd w:val="clear" w:color="auto" w:fill="auto"/>
                <w:lang w:val="zh-CN" w:eastAsia="zh-CN"/>
              </w:rPr>
            </w:pPr>
            <w:r>
              <w:rPr>
                <w:rFonts w:hint="eastAsia"/>
                <w:b w:val="0"/>
                <w:bCs w:val="0"/>
                <w:color w:val="auto"/>
                <w:sz w:val="21"/>
                <w:szCs w:val="21"/>
                <w:shd w:val="clear" w:color="auto" w:fill="auto"/>
                <w:lang w:val="zh-CN" w:eastAsia="zh-CN"/>
              </w:rPr>
              <w:t>砷</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4.29</w:t>
            </w:r>
          </w:p>
        </w:tc>
        <w:tc>
          <w:tcPr>
            <w:tcW w:w="1500"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4.57</w:t>
            </w:r>
          </w:p>
        </w:tc>
        <w:tc>
          <w:tcPr>
            <w:tcW w:w="960"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eastAsia="宋体" w:cs="Times New Roman"/>
                <w:color w:val="auto"/>
                <w:sz w:val="21"/>
                <w:szCs w:val="21"/>
                <w:shd w:val="clear" w:color="auto" w:fill="auto"/>
                <w:lang w:val="en-US" w:eastAsia="zh-CN"/>
              </w:rPr>
              <w:t>60</w:t>
            </w:r>
          </w:p>
        </w:tc>
        <w:tc>
          <w:tcPr>
            <w:tcW w:w="915" w:type="dxa"/>
            <w:gridSpan w:val="2"/>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eastAsia="宋体" w:cs="Times New Roman"/>
                <w:color w:val="auto"/>
                <w:sz w:val="21"/>
                <w:szCs w:val="21"/>
                <w:shd w:val="clear" w:color="auto" w:fill="auto"/>
                <w:lang w:val="en-US" w:eastAsia="zh-C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eastAsia="宋体" w:cs="Times New Roman"/>
                <w:color w:val="auto"/>
                <w:sz w:val="21"/>
                <w:szCs w:val="21"/>
                <w:shd w:val="clear" w:color="auto" w:fill="auto"/>
                <w:lang w:val="en-US" w:eastAsia="zh-CN"/>
              </w:rPr>
              <w:t>3</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b w:val="0"/>
                <w:bCs w:val="0"/>
                <w:color w:val="auto"/>
                <w:sz w:val="21"/>
                <w:szCs w:val="21"/>
                <w:shd w:val="clear" w:color="auto" w:fill="auto"/>
                <w:lang w:val="zh-CN" w:eastAsia="zh-CN"/>
              </w:rPr>
            </w:pPr>
            <w:r>
              <w:rPr>
                <w:rFonts w:hint="eastAsia"/>
                <w:b w:val="0"/>
                <w:bCs w:val="0"/>
                <w:color w:val="auto"/>
                <w:sz w:val="21"/>
                <w:szCs w:val="21"/>
                <w:shd w:val="clear" w:color="auto" w:fill="auto"/>
                <w:lang w:val="zh-CN" w:eastAsia="zh-CN"/>
              </w:rPr>
              <w:t>镉</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0.25</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0.13</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65</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eastAsia="宋体" w:cs="Times New Roman"/>
                <w:color w:val="auto"/>
                <w:sz w:val="21"/>
                <w:szCs w:val="21"/>
                <w:shd w:val="clear" w:color="auto" w:fill="auto"/>
                <w:lang w:val="en-US" w:eastAsia="zh-CN"/>
              </w:rPr>
              <w:t>4</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b w:val="0"/>
                <w:bCs w:val="0"/>
                <w:color w:val="auto"/>
                <w:sz w:val="21"/>
                <w:szCs w:val="21"/>
                <w:shd w:val="clear" w:color="auto" w:fill="auto"/>
                <w:lang w:val="zh-CN" w:eastAsia="zh-CN"/>
              </w:rPr>
            </w:pPr>
            <w:r>
              <w:rPr>
                <w:rFonts w:hint="eastAsia"/>
                <w:b w:val="0"/>
                <w:bCs w:val="0"/>
                <w:color w:val="auto"/>
                <w:sz w:val="21"/>
                <w:szCs w:val="21"/>
                <w:shd w:val="clear" w:color="auto" w:fill="auto"/>
                <w:lang w:val="zh-CN" w:eastAsia="zh-CN"/>
              </w:rPr>
              <w:t>铬（</w:t>
            </w:r>
            <w:r>
              <w:rPr>
                <w:rFonts w:hint="eastAsia"/>
                <w:b w:val="0"/>
                <w:bCs w:val="0"/>
                <w:color w:val="auto"/>
                <w:sz w:val="21"/>
                <w:szCs w:val="21"/>
                <w:shd w:val="clear" w:color="auto" w:fill="auto"/>
                <w:lang w:val="en-US" w:eastAsia="zh-CN"/>
              </w:rPr>
              <w:t>六价铬</w:t>
            </w:r>
            <w:r>
              <w:rPr>
                <w:rFonts w:hint="eastAsia"/>
                <w:b w:val="0"/>
                <w:bCs w:val="0"/>
                <w:color w:val="auto"/>
                <w:sz w:val="21"/>
                <w:szCs w:val="21"/>
                <w:shd w:val="clear" w:color="auto" w:fill="auto"/>
                <w:lang w:val="zh-CN" w:eastAsia="zh-CN"/>
              </w:rPr>
              <w:t>）</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5.7</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eastAsia="宋体" w:cs="Times New Roman"/>
                <w:color w:val="auto"/>
                <w:sz w:val="21"/>
                <w:szCs w:val="21"/>
                <w:shd w:val="clear" w:color="auto" w:fill="auto"/>
                <w:lang w:val="en-US" w:eastAsia="zh-CN"/>
              </w:rPr>
              <w:t>5</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b w:val="0"/>
                <w:bCs w:val="0"/>
                <w:color w:val="auto"/>
                <w:sz w:val="21"/>
                <w:szCs w:val="21"/>
                <w:shd w:val="clear" w:color="auto" w:fill="auto"/>
                <w:lang w:val="en-US" w:eastAsia="zh-CN"/>
              </w:rPr>
            </w:pPr>
            <w:r>
              <w:rPr>
                <w:rFonts w:hint="eastAsia"/>
                <w:b w:val="0"/>
                <w:bCs w:val="0"/>
                <w:color w:val="auto"/>
                <w:sz w:val="21"/>
                <w:szCs w:val="21"/>
                <w:shd w:val="clear" w:color="auto" w:fill="auto"/>
                <w:lang w:val="en-US" w:eastAsia="zh-CN"/>
              </w:rPr>
              <w:t>锌</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74</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76</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color w:val="auto"/>
                <w:sz w:val="21"/>
                <w:szCs w:val="21"/>
                <w:shd w:val="clear" w:color="auto" w:fill="auto"/>
                <w:lang w:val="en-US" w:eastAsia="zh-CN"/>
              </w:rPr>
              <w:t>6</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b w:val="0"/>
                <w:bCs w:val="0"/>
                <w:color w:val="auto"/>
                <w:sz w:val="21"/>
                <w:szCs w:val="21"/>
                <w:shd w:val="clear" w:color="auto" w:fill="auto"/>
                <w:lang w:val="zh-CN" w:eastAsia="zh-CN"/>
              </w:rPr>
            </w:pPr>
            <w:r>
              <w:rPr>
                <w:rFonts w:hint="eastAsia"/>
                <w:b w:val="0"/>
                <w:bCs w:val="0"/>
                <w:color w:val="auto"/>
                <w:sz w:val="21"/>
                <w:szCs w:val="21"/>
                <w:shd w:val="clear" w:color="auto" w:fill="auto"/>
                <w:lang w:val="zh-CN" w:eastAsia="zh-CN"/>
              </w:rPr>
              <w:t>铜</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51</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46</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18000</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36000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color w:val="auto"/>
                <w:sz w:val="21"/>
                <w:szCs w:val="21"/>
                <w:shd w:val="clear" w:color="auto" w:fill="auto"/>
                <w:lang w:val="en-US" w:eastAsia="zh-CN"/>
              </w:rPr>
              <w:t>7</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b w:val="0"/>
                <w:bCs w:val="0"/>
                <w:color w:val="auto"/>
                <w:sz w:val="21"/>
                <w:szCs w:val="21"/>
                <w:shd w:val="clear" w:color="auto" w:fill="auto"/>
                <w:lang w:val="zh-CN" w:eastAsia="zh-CN"/>
              </w:rPr>
            </w:pPr>
            <w:r>
              <w:rPr>
                <w:rFonts w:hint="eastAsia"/>
                <w:b w:val="0"/>
                <w:bCs w:val="0"/>
                <w:color w:val="auto"/>
                <w:sz w:val="21"/>
                <w:szCs w:val="21"/>
                <w:shd w:val="clear" w:color="auto" w:fill="auto"/>
                <w:lang w:val="zh-CN" w:eastAsia="zh-CN"/>
              </w:rPr>
              <w:t>铅</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15.6</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15.4</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800</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eastAsia="宋体" w:cs="Times New Roman"/>
                <w:color w:val="auto"/>
                <w:sz w:val="21"/>
                <w:szCs w:val="21"/>
                <w:shd w:val="clear" w:color="auto" w:fill="auto"/>
                <w:lang w:val="en-US" w:eastAsia="zh-CN"/>
              </w:rPr>
              <w:t>8</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b w:val="0"/>
                <w:bCs w:val="0"/>
                <w:color w:val="auto"/>
                <w:sz w:val="21"/>
                <w:szCs w:val="21"/>
                <w:shd w:val="clear" w:color="auto" w:fill="auto"/>
                <w:lang w:val="zh-CN" w:eastAsia="zh-CN"/>
              </w:rPr>
            </w:pPr>
            <w:r>
              <w:rPr>
                <w:rFonts w:hint="eastAsia"/>
                <w:b w:val="0"/>
                <w:bCs w:val="0"/>
                <w:color w:val="auto"/>
                <w:sz w:val="21"/>
                <w:szCs w:val="21"/>
                <w:shd w:val="clear" w:color="auto" w:fill="auto"/>
                <w:lang w:val="zh-CN" w:eastAsia="zh-CN"/>
              </w:rPr>
              <w:t>汞</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0.543</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0.568</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38</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eastAsia="宋体" w:cs="Times New Roman"/>
                <w:color w:val="auto"/>
                <w:sz w:val="21"/>
                <w:szCs w:val="21"/>
                <w:shd w:val="clear" w:color="auto" w:fill="auto"/>
                <w:lang w:val="en-US" w:eastAsia="zh-CN"/>
              </w:rPr>
              <w:t>9</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b w:val="0"/>
                <w:bCs w:val="0"/>
                <w:color w:val="auto"/>
                <w:sz w:val="21"/>
                <w:szCs w:val="21"/>
                <w:shd w:val="clear" w:color="auto" w:fill="auto"/>
                <w:lang w:val="zh-CN" w:eastAsia="zh-CN"/>
              </w:rPr>
            </w:pPr>
            <w:r>
              <w:rPr>
                <w:rFonts w:hint="eastAsia"/>
                <w:b w:val="0"/>
                <w:bCs w:val="0"/>
                <w:color w:val="auto"/>
                <w:sz w:val="21"/>
                <w:szCs w:val="21"/>
                <w:shd w:val="clear" w:color="auto" w:fill="auto"/>
                <w:lang w:val="zh-CN" w:eastAsia="zh-CN"/>
              </w:rPr>
              <w:t>镍</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28</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24</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900</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7670" w:type="dxa"/>
            <w:gridSpan w:val="6"/>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left"/>
              <w:textAlignment w:val="auto"/>
              <w:rPr>
                <w:rFonts w:hint="eastAsia" w:ascii="Times New Roman" w:hAnsi="Times New Roman" w:eastAsia="宋体" w:cs="Times New Roman"/>
                <w:color w:val="auto"/>
                <w:sz w:val="21"/>
                <w:szCs w:val="21"/>
                <w:shd w:val="clear" w:color="auto" w:fill="auto"/>
                <w:lang w:eastAsia="zh-CN"/>
              </w:rPr>
            </w:pPr>
            <w:r>
              <w:rPr>
                <w:rFonts w:hint="eastAsia" w:ascii="Times New Roman" w:hAnsi="Times New Roman" w:eastAsia="宋体" w:cs="Times New Roman"/>
                <w:color w:val="auto"/>
                <w:sz w:val="21"/>
                <w:szCs w:val="21"/>
                <w:shd w:val="clear" w:color="auto" w:fill="auto"/>
                <w:lang w:eastAsia="zh-CN"/>
              </w:rPr>
              <w:t>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eastAsia="zh-CN"/>
              </w:rPr>
            </w:pPr>
          </w:p>
        </w:tc>
        <w:tc>
          <w:tcPr>
            <w:tcW w:w="531" w:type="dxa"/>
            <w:tcBorders>
              <w:top w:val="single" w:color="auto" w:sz="4" w:space="0"/>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1，1，2-三氯乙烷</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420" w:firstLineChars="200"/>
              <w:jc w:val="left"/>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未检出</w:t>
            </w:r>
          </w:p>
        </w:tc>
        <w:tc>
          <w:tcPr>
            <w:tcW w:w="1500"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420" w:firstLineChars="200"/>
              <w:jc w:val="left"/>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未检出</w:t>
            </w:r>
          </w:p>
        </w:tc>
        <w:tc>
          <w:tcPr>
            <w:tcW w:w="960"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2.8</w:t>
            </w:r>
          </w:p>
        </w:tc>
        <w:tc>
          <w:tcPr>
            <w:tcW w:w="915" w:type="dxa"/>
            <w:gridSpan w:val="2"/>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氯乙烯</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420" w:firstLineChars="200"/>
              <w:jc w:val="left"/>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420" w:firstLineChars="200"/>
              <w:jc w:val="left"/>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0.43</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10</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1，1-二氯乙烯</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420" w:firstLineChars="200"/>
              <w:jc w:val="left"/>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420" w:firstLineChars="200"/>
              <w:jc w:val="left"/>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66</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11</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二氯甲烷</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420" w:firstLineChars="200"/>
              <w:jc w:val="left"/>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420" w:firstLineChars="200"/>
              <w:jc w:val="left"/>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616</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12</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反-1，2-二氯乙烯</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420" w:firstLineChars="200"/>
              <w:jc w:val="left"/>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420" w:firstLineChars="200"/>
              <w:jc w:val="left"/>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54</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13</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1，1-二氯乙烷</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9</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14</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顺-1，2-二氯乙烯</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596</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15</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氯仿</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0.9</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16</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1，1，1-三氯乙烷</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840</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17</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四氯化碳</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2.8</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highlight w:val="none"/>
                <w:shd w:val="clear" w:color="auto" w:fill="auto"/>
                <w:lang w:val="en-US" w:eastAsia="zh-CN"/>
              </w:rPr>
            </w:pPr>
            <w:r>
              <w:rPr>
                <w:rFonts w:hint="eastAsia" w:ascii="Times New Roman" w:hAnsi="Times New Roman" w:cs="Times New Roman"/>
                <w:b w:val="0"/>
                <w:bCs w:val="0"/>
                <w:color w:val="auto"/>
                <w:sz w:val="21"/>
                <w:szCs w:val="21"/>
                <w:highlight w:val="none"/>
                <w:shd w:val="clear" w:color="auto" w:fill="auto"/>
                <w:lang w:val="en-US" w:eastAsia="zh-CN"/>
              </w:rPr>
              <w:t>18</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highlight w:val="none"/>
                <w:shd w:val="clear" w:color="auto" w:fill="auto"/>
                <w:lang w:val="en-US" w:eastAsia="zh-CN"/>
              </w:rPr>
            </w:pPr>
            <w:r>
              <w:rPr>
                <w:rFonts w:hint="default" w:ascii="Times New Roman" w:hAnsi="Times New Roman" w:cs="Times New Roman"/>
                <w:b w:val="0"/>
                <w:bCs w:val="0"/>
                <w:color w:val="auto"/>
                <w:sz w:val="21"/>
                <w:szCs w:val="21"/>
                <w:highlight w:val="none"/>
                <w:shd w:val="clear" w:color="auto" w:fill="auto"/>
                <w:lang w:val="zh-CN" w:eastAsia="zh-CN"/>
              </w:rPr>
              <w:t>1，2-二氯乙烷</w:t>
            </w:r>
            <w:r>
              <w:rPr>
                <w:rFonts w:hint="eastAsia" w:ascii="Times New Roman" w:hAnsi="Times New Roman" w:cs="Times New Roman"/>
                <w:b w:val="0"/>
                <w:bCs w:val="0"/>
                <w:color w:val="auto"/>
                <w:sz w:val="21"/>
                <w:szCs w:val="21"/>
                <w:highlight w:val="none"/>
                <w:shd w:val="clear" w:color="auto" w:fill="auto"/>
                <w:lang w:val="en-US" w:eastAsia="zh-CN"/>
              </w:rPr>
              <w:t>+</w:t>
            </w:r>
            <w:r>
              <w:rPr>
                <w:rFonts w:hint="default" w:ascii="Times New Roman" w:hAnsi="Times New Roman" w:cs="Times New Roman"/>
                <w:b w:val="0"/>
                <w:bCs w:val="0"/>
                <w:color w:val="auto"/>
                <w:sz w:val="21"/>
                <w:szCs w:val="21"/>
                <w:highlight w:val="none"/>
                <w:shd w:val="clear" w:color="auto" w:fill="auto"/>
                <w:lang w:val="zh-CN" w:eastAsia="zh-CN"/>
              </w:rPr>
              <w:t>苯</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highlight w:val="none"/>
                <w:shd w:val="clear" w:color="auto" w:fill="auto"/>
                <w:lang w:val="en-US" w:eastAsia="zh-CN"/>
              </w:rPr>
            </w:pPr>
            <w:r>
              <w:rPr>
                <w:rFonts w:hint="eastAsia" w:ascii="Times New Roman" w:hAnsi="Times New Roman" w:cs="Times New Roman"/>
                <w:b w:val="0"/>
                <w:bCs w:val="0"/>
                <w:color w:val="auto"/>
                <w:sz w:val="21"/>
                <w:szCs w:val="21"/>
                <w:highlight w:val="none"/>
                <w:shd w:val="clear" w:color="auto" w:fill="auto"/>
                <w:lang w:val="en-US" w:eastAsia="zh-CN"/>
              </w:rPr>
              <w:t>4</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highlight w:val="none"/>
                <w:shd w:val="clear" w:color="auto" w:fill="auto"/>
                <w:lang w:val="en-US" w:eastAsia="zh-CN"/>
              </w:rPr>
            </w:pPr>
            <w:r>
              <w:rPr>
                <w:rFonts w:hint="eastAsia" w:ascii="Times New Roman" w:hAnsi="Times New Roman" w:cs="Times New Roman"/>
                <w:b w:val="0"/>
                <w:bCs w:val="0"/>
                <w:color w:val="auto"/>
                <w:sz w:val="21"/>
                <w:szCs w:val="21"/>
                <w:highlight w:val="none"/>
                <w:shd w:val="clear" w:color="auto" w:fill="auto"/>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19</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三氯乙烯</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2.8</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20</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1，2-二氯丙烷</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5</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21</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甲苯</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1200</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22</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四氯乙烯</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53</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23</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氯苯</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270</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24</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1，1，1，2-四氯乙烷</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10</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25</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乙苯</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28</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26</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间+对-二甲苯</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570</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27</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highlight w:val="none"/>
                <w:shd w:val="clear" w:color="auto" w:fill="auto"/>
                <w:lang w:val="en-US" w:eastAsia="zh-CN"/>
              </w:rPr>
            </w:pPr>
            <w:r>
              <w:rPr>
                <w:rFonts w:hint="default" w:ascii="Times New Roman" w:hAnsi="Times New Roman" w:cs="Times New Roman"/>
                <w:b w:val="0"/>
                <w:bCs w:val="0"/>
                <w:color w:val="auto"/>
                <w:sz w:val="21"/>
                <w:szCs w:val="21"/>
                <w:highlight w:val="none"/>
                <w:shd w:val="clear" w:color="auto" w:fill="auto"/>
                <w:lang w:val="zh-CN" w:eastAsia="zh-CN"/>
              </w:rPr>
              <w:t>邻-二甲苯</w:t>
            </w:r>
            <w:r>
              <w:rPr>
                <w:rFonts w:hint="eastAsia" w:ascii="Times New Roman" w:hAnsi="Times New Roman" w:cs="Times New Roman"/>
                <w:b w:val="0"/>
                <w:bCs w:val="0"/>
                <w:color w:val="auto"/>
                <w:sz w:val="21"/>
                <w:szCs w:val="21"/>
                <w:highlight w:val="none"/>
                <w:shd w:val="clear" w:color="auto" w:fill="auto"/>
                <w:lang w:val="en-US" w:eastAsia="zh-CN"/>
              </w:rPr>
              <w:t>+</w:t>
            </w:r>
            <w:r>
              <w:rPr>
                <w:rFonts w:hint="default" w:ascii="Times New Roman" w:hAnsi="Times New Roman" w:cs="Times New Roman"/>
                <w:b w:val="0"/>
                <w:bCs w:val="0"/>
                <w:color w:val="auto"/>
                <w:sz w:val="21"/>
                <w:szCs w:val="21"/>
                <w:highlight w:val="none"/>
                <w:shd w:val="clear" w:color="auto" w:fill="auto"/>
                <w:lang w:val="zh-CN" w:eastAsia="zh-CN"/>
              </w:rPr>
              <w:t>苯乙烯</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highlight w:val="none"/>
                <w:shd w:val="clear" w:color="auto" w:fill="auto"/>
                <w:lang w:val="en-US" w:eastAsia="zh-CN"/>
              </w:rPr>
            </w:pPr>
            <w:r>
              <w:rPr>
                <w:rFonts w:hint="eastAsia" w:ascii="Times New Roman" w:hAnsi="Times New Roman" w:cs="Times New Roman"/>
                <w:b w:val="0"/>
                <w:bCs w:val="0"/>
                <w:color w:val="auto"/>
                <w:sz w:val="21"/>
                <w:szCs w:val="21"/>
                <w:highlight w:val="none"/>
                <w:shd w:val="clear" w:color="auto" w:fill="auto"/>
                <w:lang w:val="en-US" w:eastAsia="zh-CN"/>
              </w:rPr>
              <w:t>640</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highlight w:val="none"/>
                <w:shd w:val="clear" w:color="auto" w:fill="auto"/>
                <w:lang w:val="en-US" w:eastAsia="zh-CN"/>
              </w:rPr>
            </w:pPr>
            <w:r>
              <w:rPr>
                <w:rFonts w:hint="eastAsia" w:ascii="Times New Roman" w:hAnsi="Times New Roman" w:cs="Times New Roman"/>
                <w:b w:val="0"/>
                <w:bCs w:val="0"/>
                <w:color w:val="auto"/>
                <w:sz w:val="21"/>
                <w:szCs w:val="21"/>
                <w:highlight w:val="none"/>
                <w:shd w:val="clear" w:color="auto" w:fill="auto"/>
                <w:lang w:val="en-US" w:eastAsia="zh-CN"/>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28</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1，1，2，2-四氯乙烷</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6.8</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29</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1，2，3-三氯丙烷</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0.5</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30</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1，4-二氯苯</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20</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31</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1，2-二氯苯</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560</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cs="Times New Roman"/>
                <w:b w:val="0"/>
                <w:bCs w:val="0"/>
                <w:color w:val="auto"/>
                <w:sz w:val="21"/>
                <w:szCs w:val="21"/>
                <w:shd w:val="clear" w:color="auto" w:fill="auto"/>
                <w:lang w:val="en-US" w:eastAsia="zh-CN"/>
              </w:rPr>
              <w:t>32</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氯甲烷</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37</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7670" w:type="dxa"/>
            <w:gridSpan w:val="6"/>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left"/>
              <w:textAlignment w:val="auto"/>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eastAsia="宋体" w:cs="Times New Roman"/>
                <w:color w:val="auto"/>
                <w:sz w:val="21"/>
                <w:szCs w:val="21"/>
                <w:shd w:val="clear" w:color="auto" w:fill="auto"/>
                <w:lang w:eastAsia="zh-CN"/>
              </w:rPr>
              <w:t>半挥发性有机物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eastAsia="zh-CN"/>
              </w:rPr>
            </w:pPr>
          </w:p>
        </w:tc>
        <w:tc>
          <w:tcPr>
            <w:tcW w:w="531" w:type="dxa"/>
            <w:tcBorders>
              <w:top w:val="single" w:color="auto" w:sz="4" w:space="0"/>
              <w:left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33</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硝基苯</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76</w:t>
            </w:r>
          </w:p>
        </w:tc>
        <w:tc>
          <w:tcPr>
            <w:tcW w:w="915" w:type="dxa"/>
            <w:gridSpan w:val="2"/>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34</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苯胺</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260</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top w:val="single" w:color="auto" w:sz="4" w:space="0"/>
              <w:left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3</w:t>
            </w:r>
            <w:r>
              <w:rPr>
                <w:rFonts w:hint="eastAsia" w:cs="Times New Roman"/>
                <w:color w:val="auto"/>
                <w:sz w:val="21"/>
                <w:szCs w:val="21"/>
                <w:shd w:val="clear" w:color="auto" w:fill="auto"/>
                <w:lang w:val="en-US" w:eastAsia="zh-CN"/>
              </w:rPr>
              <w:t>5</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2-氯酚</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2256</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36</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苯并（a）芘</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37</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苯并（a）蒽</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38</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苯并（b）荧蒽</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39</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苯并（k）荧蒽</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151</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40</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二苯并（a，h）蒽</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41</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茚并（1，2，3-cd）芘</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42</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萘</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70</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rPr>
            </w:pPr>
          </w:p>
        </w:tc>
        <w:tc>
          <w:tcPr>
            <w:tcW w:w="531" w:type="dxa"/>
            <w:tcBorders>
              <w:left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en-US" w:eastAsia="zh-CN"/>
              </w:rPr>
            </w:pPr>
            <w:r>
              <w:rPr>
                <w:rFonts w:hint="eastAsia" w:ascii="Times New Roman" w:hAnsi="Times New Roman" w:cs="Times New Roman"/>
                <w:b w:val="0"/>
                <w:bCs w:val="0"/>
                <w:color w:val="auto"/>
                <w:sz w:val="21"/>
                <w:szCs w:val="21"/>
                <w:shd w:val="clear" w:color="auto" w:fill="auto"/>
                <w:lang w:val="en-US" w:eastAsia="zh-CN"/>
              </w:rPr>
              <w:t>43</w:t>
            </w:r>
          </w:p>
        </w:tc>
        <w:tc>
          <w:tcPr>
            <w:tcW w:w="219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val="0"/>
                <w:color w:val="auto"/>
                <w:sz w:val="21"/>
                <w:szCs w:val="21"/>
                <w:shd w:val="clear" w:color="auto" w:fill="auto"/>
                <w:lang w:val="zh-CN" w:eastAsia="zh-CN"/>
              </w:rPr>
            </w:pPr>
            <w:r>
              <w:rPr>
                <w:rFonts w:hint="default" w:ascii="Times New Roman" w:hAnsi="Times New Roman" w:cs="Times New Roman"/>
                <w:b w:val="0"/>
                <w:bCs w:val="0"/>
                <w:color w:val="auto"/>
                <w:sz w:val="21"/>
                <w:szCs w:val="21"/>
                <w:shd w:val="clear" w:color="auto" w:fill="auto"/>
                <w:lang w:val="zh-CN" w:eastAsia="zh-CN"/>
              </w:rPr>
              <w:t>䓛</w:t>
            </w:r>
          </w:p>
        </w:tc>
        <w:tc>
          <w:tcPr>
            <w:tcW w:w="1575"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150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未检出</w:t>
            </w:r>
          </w:p>
        </w:tc>
        <w:tc>
          <w:tcPr>
            <w:tcW w:w="96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1293</w:t>
            </w:r>
          </w:p>
        </w:tc>
        <w:tc>
          <w:tcPr>
            <w:tcW w:w="915" w:type="dxa"/>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12900</w:t>
            </w:r>
          </w:p>
        </w:tc>
      </w:tr>
    </w:tbl>
    <w:p>
      <w:pPr>
        <w:pStyle w:val="5"/>
        <w:rPr>
          <w:color w:val="auto"/>
          <w:shd w:val="clear" w:color="auto" w:fill="auto"/>
        </w:rPr>
      </w:pPr>
      <w:bookmarkStart w:id="253" w:name="_Toc480848177"/>
      <w:r>
        <w:rPr>
          <w:rFonts w:hint="eastAsia"/>
          <w:color w:val="auto"/>
          <w:shd w:val="clear" w:color="auto" w:fill="auto"/>
          <w:lang w:val="en-US" w:eastAsia="zh-CN"/>
        </w:rPr>
        <w:t>3</w:t>
      </w:r>
      <w:r>
        <w:rPr>
          <w:rFonts w:hint="eastAsia"/>
          <w:color w:val="auto"/>
          <w:shd w:val="clear" w:color="auto" w:fill="auto"/>
        </w:rPr>
        <w:t xml:space="preserve">.5.2 </w:t>
      </w:r>
      <w:r>
        <w:rPr>
          <w:color w:val="auto"/>
          <w:shd w:val="clear" w:color="auto" w:fill="auto"/>
        </w:rPr>
        <w:t>底泥现状评价</w:t>
      </w:r>
      <w:bookmarkEnd w:id="253"/>
    </w:p>
    <w:p>
      <w:pPr>
        <w:ind w:firstLine="480"/>
        <w:rPr>
          <w:color w:val="auto"/>
          <w:highlight w:val="yellow"/>
          <w:shd w:val="clear" w:color="auto" w:fill="auto"/>
        </w:rPr>
      </w:pPr>
      <w:r>
        <w:rPr>
          <w:color w:val="auto"/>
          <w:sz w:val="24"/>
          <w:shd w:val="clear" w:color="auto" w:fill="auto"/>
        </w:rPr>
        <w:t>本次</w:t>
      </w:r>
      <w:r>
        <w:rPr>
          <w:rFonts w:hint="eastAsia"/>
          <w:color w:val="auto"/>
          <w:sz w:val="24"/>
          <w:shd w:val="clear" w:color="auto" w:fill="auto"/>
          <w:lang w:eastAsia="zh-CN"/>
        </w:rPr>
        <w:t>监测</w:t>
      </w:r>
      <w:r>
        <w:rPr>
          <w:color w:val="auto"/>
          <w:sz w:val="24"/>
          <w:shd w:val="clear" w:color="auto" w:fill="auto"/>
        </w:rPr>
        <w:t>结果表明，本工程</w:t>
      </w:r>
      <w:r>
        <w:rPr>
          <w:rFonts w:hint="eastAsia"/>
          <w:color w:val="auto"/>
          <w:sz w:val="24"/>
          <w:shd w:val="clear" w:color="auto" w:fill="auto"/>
          <w:lang w:eastAsia="zh-CN"/>
        </w:rPr>
        <w:t>疏浚区域底泥、抛泥区土壤</w:t>
      </w:r>
      <w:r>
        <w:rPr>
          <w:color w:val="auto"/>
          <w:sz w:val="24"/>
          <w:shd w:val="clear" w:color="auto" w:fill="auto"/>
        </w:rPr>
        <w:t xml:space="preserve">的现状监测指标均满足《土壤环境质量 </w:t>
      </w:r>
      <w:r>
        <w:rPr>
          <w:rFonts w:hint="eastAsia"/>
          <w:color w:val="auto"/>
          <w:sz w:val="24"/>
          <w:shd w:val="clear" w:color="auto" w:fill="auto"/>
          <w:lang w:val="en-US" w:eastAsia="zh-CN"/>
        </w:rPr>
        <w:t>建设用</w:t>
      </w:r>
      <w:r>
        <w:rPr>
          <w:color w:val="auto"/>
          <w:sz w:val="24"/>
          <w:shd w:val="clear" w:color="auto" w:fill="auto"/>
        </w:rPr>
        <w:t>地土壤污染风险管控标准（试行）》</w:t>
      </w:r>
      <w:r>
        <w:rPr>
          <w:rFonts w:hint="eastAsia"/>
          <w:color w:val="auto"/>
          <w:sz w:val="24"/>
          <w:shd w:val="clear" w:color="auto" w:fill="auto"/>
        </w:rPr>
        <w:t>（</w:t>
      </w:r>
      <w:r>
        <w:rPr>
          <w:color w:val="auto"/>
          <w:sz w:val="24"/>
          <w:shd w:val="clear" w:color="auto" w:fill="auto"/>
        </w:rPr>
        <w:t>GB</w:t>
      </w:r>
      <w:r>
        <w:rPr>
          <w:rFonts w:hint="eastAsia"/>
          <w:color w:val="auto"/>
          <w:sz w:val="24"/>
          <w:shd w:val="clear" w:color="auto" w:fill="auto"/>
          <w:lang w:val="en-US" w:eastAsia="zh-CN"/>
        </w:rPr>
        <w:t>36600</w:t>
      </w:r>
      <w:r>
        <w:rPr>
          <w:color w:val="auto"/>
          <w:sz w:val="24"/>
          <w:shd w:val="clear" w:color="auto" w:fill="auto"/>
        </w:rPr>
        <w:t>-</w:t>
      </w:r>
      <w:r>
        <w:rPr>
          <w:rFonts w:hint="eastAsia"/>
          <w:color w:val="auto"/>
          <w:sz w:val="24"/>
          <w:shd w:val="clear" w:color="auto" w:fill="auto"/>
        </w:rPr>
        <w:t>2018）</w:t>
      </w:r>
      <w:r>
        <w:rPr>
          <w:rFonts w:hint="eastAsia" w:hAnsi="宋体"/>
          <w:bCs/>
          <w:color w:val="auto"/>
          <w:kern w:val="0"/>
          <w:sz w:val="24"/>
          <w:shd w:val="clear" w:color="auto" w:fill="auto"/>
        </w:rPr>
        <w:t>中</w:t>
      </w:r>
      <w:r>
        <w:rPr>
          <w:rFonts w:hint="eastAsia"/>
          <w:color w:val="auto"/>
          <w:sz w:val="24"/>
          <w:shd w:val="clear" w:color="auto" w:fill="auto"/>
        </w:rPr>
        <w:t>表1第二类用地</w:t>
      </w:r>
      <w:r>
        <w:rPr>
          <w:color w:val="auto"/>
          <w:sz w:val="24"/>
          <w:shd w:val="clear" w:color="auto" w:fill="auto"/>
        </w:rPr>
        <w:t>标准。</w:t>
      </w:r>
    </w:p>
    <w:p>
      <w:pPr>
        <w:pStyle w:val="4"/>
        <w:bidi w:val="0"/>
        <w:rPr>
          <w:rFonts w:hint="eastAsia"/>
          <w:lang w:eastAsia="zh-CN"/>
        </w:rPr>
      </w:pPr>
      <w:bookmarkStart w:id="254" w:name="_Toc15394_WPSOffice_Level2"/>
      <w:bookmarkStart w:id="255" w:name="_Toc16782_WPSOffice_Level2"/>
      <w:bookmarkStart w:id="256" w:name="_Toc23146"/>
      <w:r>
        <w:rPr>
          <w:rFonts w:hint="eastAsia"/>
          <w:lang w:val="en-US" w:eastAsia="zh-CN"/>
        </w:rPr>
        <w:t>3</w:t>
      </w:r>
      <w:r>
        <w:rPr>
          <w:rFonts w:hint="eastAsia"/>
        </w:rPr>
        <w:t>.6 生态环境</w:t>
      </w:r>
      <w:bookmarkEnd w:id="254"/>
      <w:bookmarkEnd w:id="255"/>
      <w:bookmarkEnd w:id="256"/>
      <w:r>
        <w:rPr>
          <w:rFonts w:hint="eastAsia"/>
          <w:lang w:val="en-US" w:eastAsia="zh-CN"/>
        </w:rPr>
        <w:t>质量</w:t>
      </w:r>
    </w:p>
    <w:p>
      <w:pPr>
        <w:pStyle w:val="5"/>
        <w:bidi w:val="0"/>
        <w:rPr>
          <w:rFonts w:hint="eastAsia"/>
        </w:rPr>
      </w:pPr>
      <w:r>
        <w:rPr>
          <w:rFonts w:hint="eastAsia"/>
          <w:lang w:val="en-US" w:eastAsia="zh-CN"/>
        </w:rPr>
        <w:t>3.6.1</w:t>
      </w:r>
      <w:r>
        <w:rPr>
          <w:rFonts w:hint="eastAsia"/>
        </w:rPr>
        <w:t>生态环境现状调查与评价方法</w:t>
      </w:r>
    </w:p>
    <w:p>
      <w:pPr>
        <w:bidi w:val="0"/>
        <w:rPr>
          <w:rFonts w:hint="eastAsia"/>
        </w:rPr>
      </w:pPr>
      <w:r>
        <w:rPr>
          <w:rFonts w:hint="eastAsia"/>
        </w:rPr>
        <w:t>评价组</w:t>
      </w:r>
      <w:r>
        <w:t>收集整理</w:t>
      </w:r>
      <w:r>
        <w:rPr>
          <w:rFonts w:hint="eastAsia"/>
        </w:rPr>
        <w:t>沙颍河（安徽段）沿线区域</w:t>
      </w:r>
      <w:r>
        <w:t>现有生物多样性资料，包括</w:t>
      </w:r>
      <w:r>
        <w:rPr>
          <w:rFonts w:hint="eastAsia"/>
        </w:rPr>
        <w:t>所涉县市县志、</w:t>
      </w:r>
      <w:r>
        <w:t>统计年鉴以及林业、环保、水利、农业、国土资源等部门提供的相关资料</w:t>
      </w:r>
      <w:r>
        <w:rPr>
          <w:rFonts w:hint="eastAsia"/>
        </w:rPr>
        <w:t>，</w:t>
      </w:r>
      <w:r>
        <w:t>并且参考</w:t>
      </w:r>
      <w:r>
        <w:rPr>
          <w:rFonts w:hint="eastAsia"/>
        </w:rPr>
        <w:t>关于沙颍河、淮河流域等相关</w:t>
      </w:r>
      <w:r>
        <w:t>科研论文</w:t>
      </w:r>
      <w:r>
        <w:rPr>
          <w:rFonts w:hint="eastAsia"/>
        </w:rPr>
        <w:t>及书籍；并与合作单位安徽大学生命科学学院于2009年12月对沙颍河（安徽段）沿线区域的生态环境（包括植被和野生动物资源）进行了野外实地调查。</w:t>
      </w:r>
    </w:p>
    <w:p>
      <w:pPr>
        <w:pStyle w:val="6"/>
        <w:bidi w:val="0"/>
      </w:pPr>
      <w:r>
        <w:rPr>
          <w:rFonts w:hint="eastAsia"/>
          <w:lang w:val="en-US" w:eastAsia="zh-CN"/>
        </w:rPr>
        <w:t>3.6.1.1</w:t>
      </w:r>
      <w:r>
        <w:rPr>
          <w:rFonts w:hint="eastAsia"/>
        </w:rPr>
        <w:t>评价范围</w:t>
      </w:r>
    </w:p>
    <w:p>
      <w:pPr>
        <w:bidi w:val="0"/>
        <w:rPr>
          <w:rFonts w:hint="eastAsia"/>
        </w:rPr>
      </w:pPr>
      <w:r>
        <w:rPr>
          <w:rFonts w:hint="eastAsia"/>
        </w:rPr>
        <w:t>此次生态现状调查的基本范围为沙颍河（安徽段）河流及沿岸陆域、航道整治相关工程（包括拆除重建桥梁、削滩、抛泥区等）影响区域，调查范围按河流流向、桥梁、削滩段、抛泥区等工程的分布，以及是否存在珍稀动植物等因素，适当扩大其评价范围，野生动物调查扩大到其活动栖息范围。</w:t>
      </w:r>
    </w:p>
    <w:p>
      <w:pPr>
        <w:bidi w:val="0"/>
        <w:rPr>
          <w:rFonts w:hint="eastAsia"/>
        </w:rPr>
      </w:pPr>
      <w:r>
        <w:rPr>
          <w:rFonts w:hint="eastAsia"/>
        </w:rPr>
        <w:t>本评价的生态影响评价范围为常胜沟</w:t>
      </w:r>
      <w:r>
        <w:t>至</w:t>
      </w:r>
      <w:r>
        <w:rPr>
          <w:rFonts w:hint="eastAsia"/>
        </w:rPr>
        <w:t>沫河口205.6</w:t>
      </w:r>
      <w:r>
        <w:t>公里河道两岸1</w:t>
      </w:r>
      <w:r>
        <w:rPr>
          <w:rFonts w:hint="eastAsia"/>
          <w:lang w:eastAsia="zh-CN"/>
        </w:rPr>
        <w:t>km</w:t>
      </w:r>
      <w:r>
        <w:t>区域</w:t>
      </w:r>
      <w:r>
        <w:rPr>
          <w:rFonts w:hint="eastAsia"/>
        </w:rPr>
        <w:t>。</w:t>
      </w:r>
    </w:p>
    <w:p>
      <w:pPr>
        <w:pStyle w:val="6"/>
        <w:bidi w:val="0"/>
      </w:pPr>
      <w:r>
        <w:rPr>
          <w:rFonts w:hint="eastAsia"/>
          <w:lang w:val="en-US" w:eastAsia="zh-CN"/>
        </w:rPr>
        <w:t>3.6.1.2</w:t>
      </w:r>
      <w:r>
        <w:rPr>
          <w:rFonts w:hint="eastAsia"/>
        </w:rPr>
        <w:t>重点调查点位</w:t>
      </w:r>
    </w:p>
    <w:p>
      <w:pPr>
        <w:bidi w:val="0"/>
        <w:rPr>
          <w:rFonts w:hint="eastAsia"/>
        </w:rPr>
      </w:pPr>
      <w:r>
        <w:rPr>
          <w:rFonts w:hint="eastAsia"/>
        </w:rPr>
        <w:t>（1）布点原则</w:t>
      </w:r>
    </w:p>
    <w:p>
      <w:pPr>
        <w:bidi w:val="0"/>
        <w:rPr>
          <w:rFonts w:hint="eastAsia"/>
        </w:rPr>
      </w:pPr>
      <w:r>
        <w:rPr>
          <w:rFonts w:hint="eastAsia"/>
        </w:rPr>
        <w:t>调查取样的目的是要通过样方的研究准确地推测评价区植被、野生动物和水生生态的总体状况，所选取的样方应具有代表性，能通过尽可能少的抽样获得较为准确的有关总体的特征。</w:t>
      </w:r>
    </w:p>
    <w:p>
      <w:pPr>
        <w:bidi w:val="0"/>
        <w:rPr>
          <w:rFonts w:hint="eastAsia"/>
        </w:rPr>
      </w:pPr>
      <w:r>
        <w:rPr>
          <w:rFonts w:hint="eastAsia"/>
        </w:rPr>
        <w:t>① 所选取的样点植被为评价区分布比较普遍的类型，并应包括了绝大部分主要植被类型，代表野生动物的主要生境类型。并考虑全线布点的均匀性。</w:t>
      </w:r>
    </w:p>
    <w:p>
      <w:pPr>
        <w:bidi w:val="0"/>
        <w:rPr>
          <w:rFonts w:hint="eastAsia"/>
        </w:rPr>
      </w:pPr>
      <w:r>
        <w:rPr>
          <w:rFonts w:hint="eastAsia"/>
        </w:rPr>
        <w:t>② 样点的设置避免对同一种植被进行重复设点，特别重要的植被则根据林内植物变化较大的情况进行增加设点。</w:t>
      </w:r>
    </w:p>
    <w:p>
      <w:pPr>
        <w:bidi w:val="0"/>
        <w:rPr>
          <w:rFonts w:hint="eastAsia"/>
        </w:rPr>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 xml:space="preserve"> 尽量避免非取样误差，避免选择路边易到之处。</w:t>
      </w:r>
    </w:p>
    <w:p>
      <w:pPr>
        <w:bidi w:val="0"/>
        <w:rPr>
          <w:rFonts w:hint="eastAsia"/>
        </w:rPr>
      </w:pPr>
      <w:r>
        <w:rPr>
          <w:rFonts w:hint="eastAsia"/>
        </w:rPr>
        <w:t>④ 结合河道形态、工程施工区域等设置水生生态调查点位。</w:t>
      </w:r>
    </w:p>
    <w:p>
      <w:pPr>
        <w:bidi w:val="0"/>
        <w:rPr>
          <w:rFonts w:hint="eastAsia"/>
        </w:rPr>
      </w:pPr>
      <w:r>
        <w:rPr>
          <w:rFonts w:hint="eastAsia"/>
        </w:rPr>
        <w:t>（2）重点调查点位</w:t>
      </w:r>
    </w:p>
    <w:p>
      <w:pPr>
        <w:bidi w:val="0"/>
        <w:rPr>
          <w:rFonts w:hint="eastAsia"/>
        </w:rPr>
      </w:pPr>
      <w:r>
        <w:rPr>
          <w:rFonts w:hint="eastAsia"/>
        </w:rPr>
        <w:t>陆生生态调查点位：包括耿楼船闸附近（k26）、阜阳船闸附近（k80）、沫河口附近（k202+700），其他河流沿线均匀布设样方。</w:t>
      </w:r>
    </w:p>
    <w:p>
      <w:pPr>
        <w:bidi w:val="0"/>
        <w:rPr>
          <w:rFonts w:hint="eastAsia"/>
        </w:rPr>
      </w:pPr>
      <w:r>
        <w:rPr>
          <w:rFonts w:hint="eastAsia"/>
        </w:rPr>
        <w:t>水生生态调查点位：重点布设于阜阳至袁寨河段（包括4个点位：</w:t>
      </w:r>
      <w:r>
        <w:t>K</w:t>
      </w:r>
      <w:r>
        <w:rPr>
          <w:rFonts w:hint="eastAsia"/>
        </w:rPr>
        <w:t>78+500、k80、k81+500、k83）和杨湖镇至沫河口河段（包括4个点位：k92、k94+500、k192+500、k202+700），其他河流沿线均匀布设样方。</w:t>
      </w:r>
    </w:p>
    <w:p>
      <w:pPr>
        <w:pStyle w:val="6"/>
        <w:bidi w:val="0"/>
      </w:pPr>
      <w:bookmarkStart w:id="257" w:name="_Toc233786359"/>
      <w:r>
        <w:rPr>
          <w:rFonts w:hint="eastAsia"/>
          <w:lang w:val="en-US" w:eastAsia="zh-CN"/>
        </w:rPr>
        <w:t>3.6.1.3</w:t>
      </w:r>
      <w:r>
        <w:rPr>
          <w:rFonts w:hint="eastAsia"/>
        </w:rPr>
        <w:t>生态环境现状评价方法</w:t>
      </w:r>
      <w:bookmarkEnd w:id="257"/>
    </w:p>
    <w:p>
      <w:pPr>
        <w:bidi w:val="0"/>
        <w:rPr>
          <w:rFonts w:hint="eastAsia"/>
        </w:rPr>
      </w:pPr>
      <w:r>
        <w:rPr>
          <w:rFonts w:hint="eastAsia"/>
        </w:rPr>
        <w:t>生态环境现状调查与评价，</w:t>
      </w:r>
      <w:r>
        <w:t>总体</w:t>
      </w:r>
      <w:r>
        <w:rPr>
          <w:rFonts w:hint="eastAsia"/>
        </w:rPr>
        <w:t>上</w:t>
      </w:r>
      <w:r>
        <w:t>采用</w:t>
      </w:r>
      <w:r>
        <w:rPr>
          <w:rFonts w:hint="eastAsia"/>
        </w:rPr>
        <w:t>资料调研、遥感影象分析与实地调查相结合，</w:t>
      </w:r>
      <w:r>
        <w:t>定性分析与定量分析相结合的方法</w:t>
      </w:r>
      <w:r>
        <w:rPr>
          <w:rFonts w:hint="eastAsia"/>
        </w:rPr>
        <w:t>，同时充分重视</w:t>
      </w:r>
      <w:r>
        <w:t>走访</w:t>
      </w:r>
      <w:r>
        <w:rPr>
          <w:rFonts w:hint="eastAsia"/>
        </w:rPr>
        <w:t>沿线村民和林业工作者作为采集区域生态环境背景信息的重要补充</w:t>
      </w:r>
      <w:r>
        <w:t>。</w:t>
      </w:r>
    </w:p>
    <w:p>
      <w:pPr>
        <w:bidi w:val="0"/>
        <w:rPr>
          <w:rFonts w:hint="eastAsia"/>
        </w:rPr>
      </w:pPr>
      <w:r>
        <w:rPr>
          <w:rFonts w:hint="eastAsia"/>
        </w:rPr>
        <w:t>（1）资料收集</w:t>
      </w:r>
    </w:p>
    <w:p>
      <w:pPr>
        <w:bidi w:val="0"/>
        <w:rPr>
          <w:rFonts w:hint="eastAsia"/>
        </w:rPr>
      </w:pPr>
      <w:r>
        <w:t>收集整理</w:t>
      </w:r>
      <w:r>
        <w:rPr>
          <w:rFonts w:hint="eastAsia"/>
        </w:rPr>
        <w:t>沙颍河（安徽段）沿线区域</w:t>
      </w:r>
      <w:r>
        <w:t>现有生物多样性资料，包括</w:t>
      </w:r>
      <w:r>
        <w:rPr>
          <w:rFonts w:hint="eastAsia"/>
        </w:rPr>
        <w:t>所涉县市县志、</w:t>
      </w:r>
      <w:r>
        <w:t>统计年鉴以及林业、环保、水利、农业、国土资源等部门提供的相关资料</w:t>
      </w:r>
      <w:r>
        <w:rPr>
          <w:rFonts w:hint="eastAsia"/>
        </w:rPr>
        <w:t>，</w:t>
      </w:r>
      <w:r>
        <w:t>并且参考</w:t>
      </w:r>
      <w:r>
        <w:rPr>
          <w:rFonts w:hint="eastAsia"/>
        </w:rPr>
        <w:t>关于沙颍河、淮河流域等相关</w:t>
      </w:r>
      <w:r>
        <w:t>科研论文</w:t>
      </w:r>
      <w:r>
        <w:rPr>
          <w:rFonts w:hint="eastAsia"/>
        </w:rPr>
        <w:t>及书籍</w:t>
      </w:r>
      <w:r>
        <w:t>。</w:t>
      </w:r>
    </w:p>
    <w:p>
      <w:pPr>
        <w:bidi w:val="0"/>
        <w:rPr>
          <w:rFonts w:hint="eastAsia"/>
        </w:rPr>
      </w:pPr>
      <w:r>
        <w:rPr>
          <w:rFonts w:hint="eastAsia"/>
        </w:rPr>
        <w:t>（2）野外实地考察</w:t>
      </w:r>
    </w:p>
    <w:p>
      <w:pPr>
        <w:bidi w:val="0"/>
      </w:pPr>
      <w:r>
        <w:rPr>
          <w:rFonts w:hint="eastAsia"/>
        </w:rPr>
        <w:t>1）</w:t>
      </w:r>
      <w:r>
        <w:t>GPS地面类型及植被调查取样</w:t>
      </w:r>
    </w:p>
    <w:p>
      <w:pPr>
        <w:bidi w:val="0"/>
      </w:pPr>
      <w:r>
        <w:t xml:space="preserve">GPS样点是卫星遥感影像判读各种景观类型的基础，根据室内判读的植被与土地利用类型图，现场核实判读的正误率，并对每个GPS取样点作如下记录： </w:t>
      </w:r>
    </w:p>
    <w:p>
      <w:pPr>
        <w:bidi w:val="0"/>
      </w:pPr>
      <w:r>
        <w:rPr>
          <w:rFonts w:hint="eastAsia"/>
        </w:rPr>
        <w:t xml:space="preserve">① </w:t>
      </w:r>
      <w:r>
        <w:t>GPS读出测点的海拔值和经纬度；</w:t>
      </w:r>
    </w:p>
    <w:p>
      <w:pPr>
        <w:bidi w:val="0"/>
      </w:pPr>
      <w:r>
        <w:rPr>
          <w:rFonts w:hint="eastAsia"/>
        </w:rPr>
        <w:t xml:space="preserve">② </w:t>
      </w:r>
      <w:r>
        <w:t>记录样点植被类型，以群系为单位，同时记录坡向、土壤类型；</w:t>
      </w:r>
    </w:p>
    <w:p>
      <w:pPr>
        <w:bidi w:val="0"/>
      </w:pPr>
      <w:r>
        <w:rPr>
          <w:rFonts w:hint="eastAsia"/>
        </w:rPr>
        <w:t xml:space="preserve">③ </w:t>
      </w:r>
      <w:r>
        <w:t>记录样点优势植物以及观察动物活动的情况；</w:t>
      </w:r>
    </w:p>
    <w:p>
      <w:pPr>
        <w:bidi w:val="0"/>
      </w:pPr>
      <w:r>
        <w:rPr>
          <w:rFonts w:hint="eastAsia"/>
        </w:rPr>
        <w:t xml:space="preserve">④ </w:t>
      </w:r>
      <w:r>
        <w:t>拍摄典型植被外貌与结构特征。</w:t>
      </w:r>
    </w:p>
    <w:p>
      <w:pPr>
        <w:bidi w:val="0"/>
      </w:pPr>
      <w:r>
        <w:rPr>
          <w:rFonts w:hint="eastAsia"/>
        </w:rPr>
        <w:t>2）</w:t>
      </w:r>
      <w:r>
        <w:t>植物群落调查</w:t>
      </w:r>
    </w:p>
    <w:p>
      <w:pPr>
        <w:bidi w:val="0"/>
      </w:pPr>
      <w:r>
        <w:t>在实地踏</w:t>
      </w:r>
      <w:r>
        <w:rPr>
          <w:rFonts w:hint="eastAsia"/>
        </w:rPr>
        <w:t>勘</w:t>
      </w:r>
      <w:r>
        <w:t>的基础上，确定典型的群落地段，采用法瑞学派样地记录法进行群落调查，乔木群落样方面积为</w:t>
      </w:r>
      <w:r>
        <w:rPr>
          <w:rFonts w:hint="eastAsia"/>
        </w:rPr>
        <w:t>1</w:t>
      </w:r>
      <w:r>
        <w:t>0×</w:t>
      </w:r>
      <w:r>
        <w:rPr>
          <w:rFonts w:hint="eastAsia"/>
        </w:rPr>
        <w:t>1</w:t>
      </w:r>
      <w:r>
        <w:t>0</w:t>
      </w:r>
      <w:r>
        <w:rPr>
          <w:rFonts w:hint="eastAsia"/>
          <w:vertAlign w:val="baseline"/>
          <w:lang w:eastAsia="zh-CN"/>
        </w:rPr>
        <w:t>m</w:t>
      </w:r>
      <w:r>
        <w:rPr>
          <w:rFonts w:hint="eastAsia"/>
          <w:vertAlign w:val="superscript"/>
          <w:lang w:eastAsia="zh-CN"/>
        </w:rPr>
        <w:t>2</w:t>
      </w:r>
      <w:r>
        <w:t>，灌木样方为</w:t>
      </w:r>
      <w:r>
        <w:rPr>
          <w:rFonts w:hint="eastAsia"/>
        </w:rPr>
        <w:t>10</w:t>
      </w:r>
      <w:r>
        <w:t>×</w:t>
      </w:r>
      <w:r>
        <w:rPr>
          <w:rFonts w:hint="eastAsia"/>
        </w:rPr>
        <w:t>10</w:t>
      </w:r>
      <w:r>
        <w:rPr>
          <w:rFonts w:hint="eastAsia"/>
          <w:vertAlign w:val="baseline"/>
          <w:lang w:eastAsia="zh-CN"/>
        </w:rPr>
        <w:t>m</w:t>
      </w:r>
      <w:r>
        <w:rPr>
          <w:rFonts w:hint="eastAsia"/>
          <w:vertAlign w:val="superscript"/>
          <w:lang w:eastAsia="zh-CN"/>
        </w:rPr>
        <w:t>2</w:t>
      </w:r>
      <w:r>
        <w:t>，草本样方为1×1</w:t>
      </w:r>
      <w:r>
        <w:rPr>
          <w:rFonts w:hint="eastAsia"/>
          <w:vertAlign w:val="baseline"/>
          <w:lang w:eastAsia="zh-CN"/>
        </w:rPr>
        <w:t>m</w:t>
      </w:r>
      <w:r>
        <w:rPr>
          <w:rFonts w:hint="eastAsia"/>
          <w:vertAlign w:val="superscript"/>
          <w:lang w:eastAsia="zh-CN"/>
        </w:rPr>
        <w:t>2</w:t>
      </w:r>
      <w:r>
        <w:t>，记录样地的所有种类</w:t>
      </w:r>
      <w:r>
        <w:rPr>
          <w:rFonts w:hint="eastAsia"/>
        </w:rPr>
        <w:t>、优势种、郁闭度（盖度）</w:t>
      </w:r>
      <w:r>
        <w:t>，</w:t>
      </w:r>
      <w:r>
        <w:rPr>
          <w:rFonts w:hint="eastAsia"/>
        </w:rPr>
        <w:t>树高、胸径等数据</w:t>
      </w:r>
      <w:r>
        <w:t>，利用GPS确定样方位置。</w:t>
      </w:r>
    </w:p>
    <w:p>
      <w:pPr>
        <w:bidi w:val="0"/>
      </w:pPr>
      <w:r>
        <w:t>在对评价范围内生物资源历年资料检索分析的基础上，根据实地踏</w:t>
      </w:r>
      <w:r>
        <w:rPr>
          <w:rFonts w:hint="eastAsia"/>
        </w:rPr>
        <w:t>勘</w:t>
      </w:r>
      <w:r>
        <w:t>及考察时间，</w:t>
      </w:r>
      <w:r>
        <w:rPr>
          <w:rFonts w:hint="eastAsia"/>
        </w:rPr>
        <w:t>选择典型</w:t>
      </w:r>
      <w:r>
        <w:t>生态环境进行样方布设及现场调查。</w:t>
      </w:r>
    </w:p>
    <w:p>
      <w:pPr>
        <w:bidi w:val="0"/>
      </w:pPr>
      <w:r>
        <w:rPr>
          <w:rFonts w:hint="eastAsia"/>
        </w:rPr>
        <w:t>3）</w:t>
      </w:r>
      <w:r>
        <w:t>植物种类调查</w:t>
      </w:r>
    </w:p>
    <w:p>
      <w:pPr>
        <w:bidi w:val="0"/>
      </w:pPr>
      <w:r>
        <w:t>在调查过程中，确定评价范围内的植物种类及资源状况、珍稀濒危植物的种类及生存状况等。实地调查采取路线踏查法与样方调查相结合的方法，对于没有原生植被的区域采取路线踏查法，在重点施工区域（如</w:t>
      </w:r>
      <w:r>
        <w:rPr>
          <w:rFonts w:hint="eastAsia"/>
        </w:rPr>
        <w:t>削滩</w:t>
      </w:r>
      <w:r>
        <w:t>、</w:t>
      </w:r>
      <w:r>
        <w:rPr>
          <w:rFonts w:hint="eastAsia"/>
        </w:rPr>
        <w:t>抛泥区</w:t>
      </w:r>
      <w:r>
        <w:t>等）以及植被状况良好的区域实行样方重点调查；对珍稀濒危植物</w:t>
      </w:r>
      <w:r>
        <w:rPr>
          <w:rFonts w:hint="eastAsia"/>
        </w:rPr>
        <w:t>、古木大树</w:t>
      </w:r>
      <w:r>
        <w:t>调查采取野外调查</w:t>
      </w:r>
      <w:r>
        <w:rPr>
          <w:rFonts w:hint="eastAsia"/>
        </w:rPr>
        <w:t>、</w:t>
      </w:r>
      <w:r>
        <w:t>民间访问</w:t>
      </w:r>
      <w:r>
        <w:rPr>
          <w:rFonts w:hint="eastAsia"/>
        </w:rPr>
        <w:t>和</w:t>
      </w:r>
      <w:r>
        <w:t>市场调查相结合的方法进行。对有疑问</w:t>
      </w:r>
      <w:r>
        <w:rPr>
          <w:rFonts w:hint="eastAsia"/>
        </w:rPr>
        <w:t>植物</w:t>
      </w:r>
      <w:r>
        <w:t>还采集了凭证标本</w:t>
      </w:r>
      <w:r>
        <w:rPr>
          <w:rFonts w:hint="eastAsia"/>
        </w:rPr>
        <w:t>并</w:t>
      </w:r>
      <w:r>
        <w:t>拍摄照片。</w:t>
      </w:r>
    </w:p>
    <w:p>
      <w:pPr>
        <w:bidi w:val="0"/>
      </w:pPr>
      <w:r>
        <w:rPr>
          <w:rFonts w:hint="eastAsia"/>
        </w:rPr>
        <w:t>4）</w:t>
      </w:r>
      <w:r>
        <w:t>陆生动物资源调查</w:t>
      </w:r>
    </w:p>
    <w:p>
      <w:pPr>
        <w:bidi w:val="0"/>
        <w:rPr>
          <w:rFonts w:hint="eastAsia"/>
        </w:rPr>
      </w:pPr>
      <w:r>
        <w:rPr>
          <w:rFonts w:hint="eastAsia"/>
        </w:rPr>
        <w:t>由于本次调查在冬季，两栖爬行动物主要以实地访问调查和查阅文献资料为主；</w:t>
      </w:r>
      <w:r>
        <w:t>哺乳动物</w:t>
      </w:r>
      <w:r>
        <w:rPr>
          <w:rFonts w:hint="eastAsia"/>
        </w:rPr>
        <w:t>的</w:t>
      </w:r>
      <w:r>
        <w:t>调查方法主要有五步铗</w:t>
      </w:r>
      <w:r>
        <w:rPr>
          <w:rFonts w:hint="eastAsia"/>
        </w:rPr>
        <w:t>实地调查法</w:t>
      </w:r>
      <w:r>
        <w:t>、访问</w:t>
      </w:r>
      <w:r>
        <w:rPr>
          <w:rFonts w:hint="eastAsia"/>
        </w:rPr>
        <w:t>和查阅文献资料；鸟类主要采用</w:t>
      </w:r>
      <w:r>
        <w:t>采用定点观察、路线法等调查方法</w:t>
      </w:r>
      <w:r>
        <w:rPr>
          <w:rFonts w:hint="eastAsia"/>
        </w:rPr>
        <w:t>，</w:t>
      </w:r>
      <w:r>
        <w:t>在</w:t>
      </w:r>
      <w:r>
        <w:rPr>
          <w:rFonts w:hint="eastAsia"/>
        </w:rPr>
        <w:t>重点调查点位</w:t>
      </w:r>
      <w:r>
        <w:t>增加调查点密度，或者采取样带法调查</w:t>
      </w:r>
      <w:r>
        <w:rPr>
          <w:rFonts w:hint="eastAsia"/>
        </w:rPr>
        <w:t>，</w:t>
      </w:r>
      <w:r>
        <w:t>调查时记录鸟类分布的生境特点</w:t>
      </w:r>
      <w:r>
        <w:rPr>
          <w:rFonts w:hint="eastAsia"/>
        </w:rPr>
        <w:t>，并</w:t>
      </w:r>
      <w:r>
        <w:t>借助单、双筒望远镜、GPS定位仪、数码照相机等仪器设备完成</w:t>
      </w:r>
      <w:r>
        <w:rPr>
          <w:rFonts w:hint="eastAsia"/>
        </w:rPr>
        <w:t>。</w:t>
      </w:r>
      <w:r>
        <w:t>在调查过程中，确定评价范围内动物的种类</w:t>
      </w:r>
      <w:r>
        <w:rPr>
          <w:rFonts w:hint="eastAsia"/>
        </w:rPr>
        <w:t>、</w:t>
      </w:r>
      <w:r>
        <w:t>资源状况</w:t>
      </w:r>
      <w:r>
        <w:rPr>
          <w:rFonts w:hint="eastAsia"/>
        </w:rPr>
        <w:t>及</w:t>
      </w:r>
      <w:r>
        <w:t>生存状况，尤其是</w:t>
      </w:r>
      <w:r>
        <w:rPr>
          <w:rFonts w:hint="eastAsia"/>
        </w:rPr>
        <w:t>国家</w:t>
      </w:r>
      <w:r>
        <w:t>重点保护种类。</w:t>
      </w:r>
    </w:p>
    <w:p>
      <w:pPr>
        <w:bidi w:val="0"/>
        <w:rPr>
          <w:rFonts w:hint="eastAsia"/>
        </w:rPr>
      </w:pPr>
      <w:r>
        <w:rPr>
          <w:rFonts w:hint="eastAsia"/>
        </w:rPr>
        <w:t>5）水生生物调查</w:t>
      </w:r>
    </w:p>
    <w:p>
      <w:pPr>
        <w:bidi w:val="0"/>
        <w:rPr>
          <w:rFonts w:hint="eastAsia"/>
        </w:rPr>
      </w:pPr>
      <w:r>
        <w:rPr>
          <w:rFonts w:hint="eastAsia"/>
        </w:rPr>
        <w:t>浮游生物</w:t>
      </w:r>
      <w:r>
        <w:t>定性样品采样，采用25号定性网在选定的采集样点上进行水平拖取。</w:t>
      </w:r>
      <w:r>
        <w:rPr>
          <w:rFonts w:hint="eastAsia"/>
        </w:rPr>
        <w:t>浮游生物</w:t>
      </w:r>
      <w:r>
        <w:t>定量样品的采集，采用容量为2L的采水器，在水面以下深约50厘米处采水，将水样倒入浮游生物网过滤，剩余在橡胶管中的滤液倒入样品管中。采用拖网、采泥器采集</w:t>
      </w:r>
      <w:r>
        <w:rPr>
          <w:rFonts w:hint="eastAsia"/>
        </w:rPr>
        <w:t>底栖动物</w:t>
      </w:r>
      <w:r>
        <w:t>定性样品，在岸边浅水区下水划定样方捡取底栖动物，同时借助渔民收集部分软体动物标本。</w:t>
      </w:r>
      <w:r>
        <w:rPr>
          <w:rFonts w:hint="eastAsia"/>
        </w:rPr>
        <w:t>定量样品</w:t>
      </w:r>
      <w:r>
        <w:t>使用改良的彼德生采泥器采集底泥表层泥样，同时采集附着于水生维管束植物上的底栖动物。用筛网洗涤泥样，然后用镊子检出样品，样品用75%酒精固定。通过在调查线路周边市场，如</w:t>
      </w:r>
      <w:r>
        <w:rPr>
          <w:rFonts w:hint="eastAsia"/>
        </w:rPr>
        <w:t>杨湖镇市场、袁寨市场</w:t>
      </w:r>
      <w:r>
        <w:t>，进行采购与询问相结合的的方法调查鱼类资源的种类组成。</w:t>
      </w:r>
    </w:p>
    <w:p>
      <w:pPr>
        <w:bidi w:val="0"/>
        <w:rPr>
          <w:rFonts w:hint="eastAsia"/>
        </w:rPr>
      </w:pPr>
      <w:r>
        <w:rPr>
          <w:rFonts w:hint="eastAsia"/>
        </w:rPr>
        <w:t>6）沿河湿地类型调查</w:t>
      </w:r>
    </w:p>
    <w:p>
      <w:pPr>
        <w:bidi w:val="0"/>
        <w:rPr>
          <w:rFonts w:hint="eastAsia"/>
        </w:rPr>
      </w:pPr>
      <w:r>
        <w:rPr>
          <w:rFonts w:hint="eastAsia"/>
        </w:rPr>
        <w:t>对沙颍河（安徽段）湿地类型调查采用实地调查法，在沙颍河两岸1</w:t>
      </w:r>
      <w:r>
        <w:rPr>
          <w:rFonts w:hint="eastAsia"/>
          <w:lang w:eastAsia="zh-CN"/>
        </w:rPr>
        <w:t>km</w:t>
      </w:r>
      <w:r>
        <w:rPr>
          <w:rFonts w:hint="eastAsia"/>
        </w:rPr>
        <w:t>范围内调查，记录调查区域内湿地类型，同时调查并记录湿地内水生植物、底栖动物、浮游生物等生物资源。</w:t>
      </w:r>
    </w:p>
    <w:p>
      <w:pPr>
        <w:pStyle w:val="6"/>
        <w:bidi w:val="0"/>
      </w:pPr>
      <w:r>
        <w:rPr>
          <w:rFonts w:hint="eastAsia"/>
          <w:lang w:val="en-US" w:eastAsia="zh-CN"/>
        </w:rPr>
        <w:t>3.6.1.4</w:t>
      </w:r>
      <w:r>
        <w:t>生物生产力的测定与估算</w:t>
      </w:r>
    </w:p>
    <w:p>
      <w:pPr>
        <w:bidi w:val="0"/>
      </w:pPr>
      <w:r>
        <w:t>对灌丛、高草丛、农作物采取直接收割法，乔木林采取材积测量的方法估算生物量；群落平均净生产力参考国内外有关资料，并根据当地的实际情况作适当调查，估算出评价区域区的植被类型生物生产力。</w:t>
      </w:r>
    </w:p>
    <w:p>
      <w:pPr>
        <w:pStyle w:val="5"/>
        <w:bidi w:val="0"/>
        <w:rPr>
          <w:rFonts w:hint="eastAsia"/>
        </w:rPr>
      </w:pPr>
      <w:r>
        <w:rPr>
          <w:rFonts w:hint="eastAsia"/>
          <w:lang w:val="en-US" w:eastAsia="zh-CN"/>
        </w:rPr>
        <w:t>3.6.2</w:t>
      </w:r>
      <w:r>
        <w:rPr>
          <w:rFonts w:hint="eastAsia"/>
        </w:rPr>
        <w:t>陆生生态环境现状</w:t>
      </w:r>
    </w:p>
    <w:p>
      <w:pPr>
        <w:pStyle w:val="6"/>
        <w:bidi w:val="0"/>
      </w:pPr>
      <w:r>
        <w:rPr>
          <w:rFonts w:hint="eastAsia"/>
          <w:lang w:val="en-US" w:eastAsia="zh-CN"/>
        </w:rPr>
        <w:t>3.6.2.1</w:t>
      </w:r>
      <w:r>
        <w:rPr>
          <w:rFonts w:hint="eastAsia"/>
        </w:rPr>
        <w:t>土壤</w:t>
      </w:r>
    </w:p>
    <w:p>
      <w:pPr>
        <w:bidi w:val="0"/>
        <w:rPr>
          <w:rFonts w:hint="eastAsia"/>
        </w:rPr>
      </w:pPr>
      <w:r>
        <w:t>沙颍河流域分布有褐土、潮土、砂礓黑土和水稻土四大土壤类型，水源条件较好地区均有水稻土分布。</w:t>
      </w:r>
    </w:p>
    <w:p>
      <w:pPr>
        <w:pStyle w:val="6"/>
        <w:bidi w:val="0"/>
        <w:rPr>
          <w:rFonts w:hint="eastAsia"/>
        </w:rPr>
      </w:pPr>
      <w:r>
        <w:rPr>
          <w:rFonts w:hint="eastAsia"/>
          <w:lang w:val="en-US" w:eastAsia="zh-CN"/>
        </w:rPr>
        <w:t>3.6.2.2</w:t>
      </w:r>
      <w:r>
        <w:rPr>
          <w:rFonts w:hint="eastAsia"/>
        </w:rPr>
        <w:t>植被</w:t>
      </w:r>
    </w:p>
    <w:p>
      <w:pPr>
        <w:bidi w:val="0"/>
      </w:pPr>
      <w:r>
        <w:rPr>
          <w:rFonts w:hint="eastAsia"/>
        </w:rPr>
        <w:t>（1）物种组成</w:t>
      </w:r>
    </w:p>
    <w:p>
      <w:pPr>
        <w:bidi w:val="0"/>
        <w:rPr>
          <w:rFonts w:hint="eastAsia"/>
        </w:rPr>
      </w:pPr>
      <w:r>
        <w:rPr>
          <w:rFonts w:hint="eastAsia"/>
        </w:rPr>
        <w:t>1）</w:t>
      </w:r>
      <w:r>
        <w:t>水生</w:t>
      </w:r>
      <w:r>
        <w:rPr>
          <w:rFonts w:hint="eastAsia"/>
        </w:rPr>
        <w:t>维</w:t>
      </w:r>
      <w:r>
        <w:t>管</w:t>
      </w:r>
      <w:r>
        <w:rPr>
          <w:rFonts w:hint="eastAsia"/>
        </w:rPr>
        <w:t>束</w:t>
      </w:r>
      <w:r>
        <w:t>植物</w:t>
      </w:r>
    </w:p>
    <w:p>
      <w:pPr>
        <w:bidi w:val="0"/>
      </w:pPr>
      <w:r>
        <w:rPr>
          <w:rFonts w:hint="eastAsia"/>
        </w:rPr>
        <w:t>①</w:t>
      </w:r>
      <w:r>
        <w:t>水生</w:t>
      </w:r>
      <w:r>
        <w:rPr>
          <w:rFonts w:hint="eastAsia"/>
        </w:rPr>
        <w:t>维</w:t>
      </w:r>
      <w:r>
        <w:t>管</w:t>
      </w:r>
      <w:r>
        <w:rPr>
          <w:rFonts w:hint="eastAsia"/>
        </w:rPr>
        <w:t>束</w:t>
      </w:r>
      <w:r>
        <w:t>植物种类组成</w:t>
      </w:r>
    </w:p>
    <w:p>
      <w:pPr>
        <w:bidi w:val="0"/>
      </w:pPr>
      <w:r>
        <w:rPr>
          <w:rFonts w:hint="eastAsia"/>
        </w:rPr>
        <w:t>沙颍河（安徽段）</w:t>
      </w:r>
      <w:r>
        <w:t>的水生维管束植物共</w:t>
      </w:r>
      <w:r>
        <w:rPr>
          <w:rFonts w:hint="eastAsia"/>
        </w:rPr>
        <w:t>28</w:t>
      </w:r>
      <w:r>
        <w:t>种</w:t>
      </w:r>
      <w:r>
        <w:rPr>
          <w:rFonts w:hint="eastAsia"/>
        </w:rPr>
        <w:t>，</w:t>
      </w:r>
      <w:r>
        <w:t>共</w:t>
      </w:r>
      <w:r>
        <w:rPr>
          <w:rFonts w:hint="eastAsia"/>
        </w:rPr>
        <w:t>17</w:t>
      </w:r>
      <w:r>
        <w:t>科</w:t>
      </w:r>
      <w:r>
        <w:rPr>
          <w:rFonts w:hint="eastAsia"/>
        </w:rPr>
        <w:t>22</w:t>
      </w:r>
      <w:r>
        <w:t>属。</w:t>
      </w:r>
      <w:r>
        <w:rPr>
          <w:rFonts w:hint="eastAsia"/>
        </w:rPr>
        <w:t>均为</w:t>
      </w:r>
      <w:r>
        <w:t>被子植物(Angiosper</w:t>
      </w:r>
      <w:r>
        <w:rPr>
          <w:rFonts w:hint="eastAsia"/>
          <w:lang w:eastAsia="zh-CN"/>
        </w:rPr>
        <w:t>m</w:t>
      </w:r>
      <w:r>
        <w:t>ae)。</w:t>
      </w:r>
    </w:p>
    <w:p>
      <w:pPr>
        <w:bidi w:val="0"/>
      </w:pPr>
      <w:r>
        <w:rPr>
          <w:rFonts w:hint="eastAsia"/>
        </w:rPr>
        <w:t>②</w:t>
      </w:r>
      <w:r>
        <w:t>生活型和生态类型</w:t>
      </w:r>
    </w:p>
    <w:p>
      <w:pPr>
        <w:bidi w:val="0"/>
      </w:pPr>
      <w:r>
        <w:t>按照植物生态类型和生活型等方面来划分</w:t>
      </w:r>
      <w:r>
        <w:rPr>
          <w:rFonts w:hint="eastAsia"/>
        </w:rPr>
        <w:t>，沙颍河（安徽段）</w:t>
      </w:r>
      <w:r>
        <w:t>湿地水生维管束植物可分为水生植物和湿生植物</w:t>
      </w:r>
      <w:r>
        <w:rPr>
          <w:rFonts w:hint="eastAsia"/>
        </w:rPr>
        <w:t>2</w:t>
      </w:r>
      <w:r>
        <w:t>种类型：</w:t>
      </w:r>
    </w:p>
    <w:p>
      <w:pPr>
        <w:bidi w:val="0"/>
      </w:pPr>
      <w:r>
        <w:fldChar w:fldCharType="begin"/>
      </w:r>
      <w:r>
        <w:instrText xml:space="preserve"> </w:instrText>
      </w:r>
      <w:r>
        <w:rPr>
          <w:rFonts w:hint="eastAsia"/>
        </w:rPr>
        <w:instrText xml:space="preserve">= 1 \* ROMAN</w:instrText>
      </w:r>
      <w:r>
        <w:instrText xml:space="preserve"> </w:instrText>
      </w:r>
      <w:r>
        <w:fldChar w:fldCharType="separate"/>
      </w:r>
      <w:r>
        <w:t>I</w:t>
      </w:r>
      <w:r>
        <w:fldChar w:fldCharType="end"/>
      </w:r>
      <w:r>
        <w:t>水生植物：挺水植物以芦苇(Phrag</w:t>
      </w:r>
      <w:r>
        <w:rPr>
          <w:rFonts w:hint="eastAsia"/>
          <w:lang w:eastAsia="zh-CN"/>
        </w:rPr>
        <w:t>m</w:t>
      </w:r>
      <w:r>
        <w:t>ites co</w:t>
      </w:r>
      <w:r>
        <w:rPr>
          <w:rFonts w:hint="eastAsia"/>
          <w:lang w:eastAsia="zh-CN"/>
        </w:rPr>
        <w:t>mm</w:t>
      </w:r>
      <w:r>
        <w:t>unis) ，</w:t>
      </w:r>
      <w:r>
        <w:rPr>
          <w:rFonts w:hint="eastAsia"/>
        </w:rPr>
        <w:t>菰</w:t>
      </w:r>
      <w:r>
        <w:t>( Zizania caduciflora) 等为主，其中，芦苇群落主要</w:t>
      </w:r>
      <w:r>
        <w:rPr>
          <w:rFonts w:hint="eastAsia"/>
        </w:rPr>
        <w:t>小丛聚生</w:t>
      </w:r>
      <w:r>
        <w:t>；浮叶植物以</w:t>
      </w:r>
      <w:r>
        <w:rPr>
          <w:rFonts w:hint="eastAsia"/>
        </w:rPr>
        <w:t>萍科（</w:t>
      </w:r>
      <w:r>
        <w:t>Le</w:t>
      </w:r>
      <w:r>
        <w:rPr>
          <w:rFonts w:hint="eastAsia"/>
          <w:lang w:eastAsia="zh-CN"/>
        </w:rPr>
        <w:t>m</w:t>
      </w:r>
      <w:r>
        <w:t>naceae</w:t>
      </w:r>
      <w:r>
        <w:rPr>
          <w:rFonts w:hint="eastAsia"/>
        </w:rPr>
        <w:t>）和</w:t>
      </w:r>
      <w:r>
        <w:t>菱科( Trapaceae)植物为主，</w:t>
      </w:r>
      <w:r>
        <w:rPr>
          <w:rFonts w:hint="eastAsia"/>
        </w:rPr>
        <w:t>包括</w:t>
      </w:r>
      <w:r>
        <w:t xml:space="preserve">菱( Trapa bispinosa) 、萍( </w:t>
      </w:r>
      <w:r>
        <w:rPr>
          <w:rFonts w:hint="eastAsia"/>
          <w:lang w:eastAsia="zh-CN"/>
        </w:rPr>
        <w:t>m</w:t>
      </w:r>
      <w:r>
        <w:t>arsilea quadrifolia )等；漂浮植物主要</w:t>
      </w:r>
      <w:r>
        <w:rPr>
          <w:rFonts w:hint="eastAsia"/>
        </w:rPr>
        <w:t>紫</w:t>
      </w:r>
      <w:r>
        <w:t>萍(Le</w:t>
      </w:r>
      <w:r>
        <w:rPr>
          <w:rFonts w:hint="eastAsia"/>
          <w:lang w:eastAsia="zh-CN"/>
        </w:rPr>
        <w:t>m</w:t>
      </w:r>
      <w:r>
        <w:t xml:space="preserve">na </w:t>
      </w:r>
      <w:r>
        <w:rPr>
          <w:rFonts w:hint="eastAsia"/>
          <w:lang w:eastAsia="zh-CN"/>
        </w:rPr>
        <w:t>m</w:t>
      </w:r>
      <w:r>
        <w:t>inor) 群落，分布在</w:t>
      </w:r>
      <w:r>
        <w:rPr>
          <w:rFonts w:hint="eastAsia"/>
        </w:rPr>
        <w:t>淮河沙颍河交汇处</w:t>
      </w:r>
      <w:r>
        <w:t>；沉水植物主要有眼子菜科(Pota</w:t>
      </w:r>
      <w:r>
        <w:rPr>
          <w:rFonts w:hint="eastAsia"/>
          <w:lang w:eastAsia="zh-CN"/>
        </w:rPr>
        <w:t>m</w:t>
      </w:r>
      <w:r>
        <w:t>ogetonaceae)</w:t>
      </w:r>
      <w:r>
        <w:rPr>
          <w:rFonts w:hint="eastAsia"/>
        </w:rPr>
        <w:t>、</w:t>
      </w:r>
      <w:r>
        <w:t>水鳖科(Hydrocharitaceae)、小二仙草科( Haloragidaceae)和金鱼藻科(Ceratophllaceae)植物。</w:t>
      </w:r>
    </w:p>
    <w:p>
      <w:pPr>
        <w:bidi w:val="0"/>
        <w:rPr>
          <w:rFonts w:hint="eastAsia"/>
        </w:rPr>
      </w:pPr>
      <w:r>
        <w:fldChar w:fldCharType="begin"/>
      </w:r>
      <w:r>
        <w:instrText xml:space="preserve"> </w:instrText>
      </w:r>
      <w:r>
        <w:rPr>
          <w:rFonts w:hint="eastAsia"/>
        </w:rPr>
        <w:instrText xml:space="preserve">= 2 \* ROMAN</w:instrText>
      </w:r>
      <w:r>
        <w:instrText xml:space="preserve"> </w:instrText>
      </w:r>
      <w:r>
        <w:fldChar w:fldCharType="separate"/>
      </w:r>
      <w:r>
        <w:t>II</w:t>
      </w:r>
      <w:r>
        <w:fldChar w:fldCharType="end"/>
      </w:r>
      <w:r>
        <w:rPr>
          <w:rFonts w:hint="eastAsia"/>
        </w:rPr>
        <w:t xml:space="preserve"> </w:t>
      </w:r>
      <w:r>
        <w:t>湿生植物：主要分布在</w:t>
      </w:r>
      <w:r>
        <w:rPr>
          <w:rFonts w:hint="eastAsia"/>
        </w:rPr>
        <w:t>淮河沙颍河交汇处湿地</w:t>
      </w:r>
      <w:r>
        <w:t>，</w:t>
      </w:r>
      <w:r>
        <w:rPr>
          <w:rFonts w:hint="eastAsia"/>
        </w:rPr>
        <w:t>河道水边，</w:t>
      </w:r>
      <w:r>
        <w:t>以及其它潮湿之处，主要为禾本科、 莎草科、 蓼科( Plygonaceae) 等科的种子植物和少量蕨类植物。</w:t>
      </w:r>
    </w:p>
    <w:p>
      <w:pPr>
        <w:bidi w:val="0"/>
      </w:pPr>
      <w:r>
        <w:rPr>
          <w:rFonts w:hint="eastAsia"/>
        </w:rPr>
        <w:t xml:space="preserve">③ </w:t>
      </w:r>
      <w:r>
        <w:t>区系特征</w:t>
      </w:r>
    </w:p>
    <w:p>
      <w:pPr>
        <w:bidi w:val="0"/>
        <w:rPr>
          <w:rFonts w:hint="eastAsia"/>
        </w:rPr>
      </w:pPr>
      <w:r>
        <w:rPr>
          <w:rFonts w:hint="eastAsia"/>
        </w:rPr>
        <w:t>沙颍河（安徽段）</w:t>
      </w:r>
      <w:r>
        <w:t>植物区系具有南暖温带到北亚热带过度的性质，根据吴征镒关于中国种子植物分布类型的划分系统，</w:t>
      </w:r>
      <w:r>
        <w:rPr>
          <w:rFonts w:hint="eastAsia"/>
        </w:rPr>
        <w:t>沙颍河（安徽段）</w:t>
      </w:r>
      <w:r>
        <w:t>水生种子植物2</w:t>
      </w:r>
      <w:r>
        <w:rPr>
          <w:rFonts w:hint="eastAsia"/>
        </w:rPr>
        <w:t>2</w:t>
      </w:r>
      <w:r>
        <w:t>属分属8个分布类型：其中世界分布共有</w:t>
      </w:r>
      <w:r>
        <w:rPr>
          <w:rFonts w:hint="eastAsia"/>
        </w:rPr>
        <w:t>10</w:t>
      </w:r>
      <w:r>
        <w:t xml:space="preserve"> 属</w:t>
      </w:r>
      <w:r>
        <w:rPr>
          <w:rFonts w:hint="eastAsia"/>
        </w:rPr>
        <w:t>，</w:t>
      </w:r>
      <w:r>
        <w:t>占总属数的</w:t>
      </w:r>
      <w:r>
        <w:rPr>
          <w:rFonts w:hint="eastAsia"/>
        </w:rPr>
        <w:t>45</w:t>
      </w:r>
      <w:r>
        <w:t xml:space="preserve"> % ，包括金鱼藻属（Ceratophyllu</w:t>
      </w:r>
      <w:r>
        <w:rPr>
          <w:rFonts w:hint="eastAsia"/>
          <w:lang w:eastAsia="zh-CN"/>
        </w:rPr>
        <w:t>m</w:t>
      </w:r>
      <w:r>
        <w:t>）、蓼属（Polygonu</w:t>
      </w:r>
      <w:r>
        <w:rPr>
          <w:rFonts w:hint="eastAsia"/>
          <w:lang w:eastAsia="zh-CN"/>
        </w:rPr>
        <w:t>m</w:t>
      </w:r>
      <w:r>
        <w:t>）、眼子菜属（Pota</w:t>
      </w:r>
      <w:r>
        <w:rPr>
          <w:rFonts w:hint="eastAsia"/>
          <w:lang w:eastAsia="zh-CN"/>
        </w:rPr>
        <w:t>m</w:t>
      </w:r>
      <w:r>
        <w:t>ogeton）、浮萍属（Spirodela）、芦苇属（Phrag</w:t>
      </w:r>
      <w:r>
        <w:rPr>
          <w:rFonts w:hint="eastAsia"/>
          <w:lang w:eastAsia="zh-CN"/>
        </w:rPr>
        <w:t>m</w:t>
      </w:r>
      <w:r>
        <w:t>ites）、香蒲属（Typha）等。泛热带</w:t>
      </w:r>
      <w:r>
        <w:rPr>
          <w:rFonts w:hint="eastAsia"/>
        </w:rPr>
        <w:t>、</w:t>
      </w:r>
      <w:r>
        <w:t>热带亚洲至热带非洲分布等4个热带分布区类型共6属</w:t>
      </w:r>
      <w:r>
        <w:rPr>
          <w:rFonts w:hint="eastAsia"/>
        </w:rPr>
        <w:t>，</w:t>
      </w:r>
      <w:r>
        <w:t>占总属数的</w:t>
      </w:r>
      <w:r>
        <w:rPr>
          <w:rFonts w:hint="eastAsia"/>
        </w:rPr>
        <w:t>27</w:t>
      </w:r>
      <w:r>
        <w:t>%</w:t>
      </w:r>
      <w:r>
        <w:rPr>
          <w:rFonts w:hint="eastAsia"/>
        </w:rPr>
        <w:t>，</w:t>
      </w:r>
      <w:r>
        <w:t>包括莲子草属（Alternanthera）、苦草属（Vall isnera）、苹属（</w:t>
      </w:r>
      <w:r>
        <w:rPr>
          <w:rFonts w:hint="eastAsia"/>
          <w:lang w:eastAsia="zh-CN"/>
        </w:rPr>
        <w:t>m</w:t>
      </w:r>
      <w:r>
        <w:t>arsilea）、稻属（Oryza）等。而北温带、旧世界温带等3个温带分布区类型共有6个属，占总属数的</w:t>
      </w:r>
      <w:r>
        <w:rPr>
          <w:rFonts w:hint="eastAsia"/>
        </w:rPr>
        <w:t>27</w:t>
      </w:r>
      <w:r>
        <w:t xml:space="preserve"> % </w:t>
      </w:r>
      <w:r>
        <w:rPr>
          <w:rFonts w:hint="eastAsia"/>
        </w:rPr>
        <w:t>，</w:t>
      </w:r>
      <w:r>
        <w:t>包括菱属（Trapa）等。</w:t>
      </w:r>
    </w:p>
    <w:p>
      <w:pPr>
        <w:bidi w:val="0"/>
        <w:rPr>
          <w:rFonts w:hint="eastAsia"/>
        </w:rPr>
      </w:pPr>
      <w:r>
        <w:rPr>
          <w:rFonts w:hint="eastAsia"/>
        </w:rPr>
        <w:t>2）</w:t>
      </w:r>
      <w:r>
        <w:t>陆生</w:t>
      </w:r>
      <w:r>
        <w:rPr>
          <w:rFonts w:hint="eastAsia"/>
        </w:rPr>
        <w:t>维</w:t>
      </w:r>
      <w:r>
        <w:t>管</w:t>
      </w:r>
      <w:r>
        <w:rPr>
          <w:rFonts w:hint="eastAsia"/>
        </w:rPr>
        <w:t>束</w:t>
      </w:r>
      <w:r>
        <w:t>植物</w:t>
      </w:r>
    </w:p>
    <w:p>
      <w:pPr>
        <w:bidi w:val="0"/>
      </w:pPr>
      <w:r>
        <w:t>本次调查共发现陆生植物</w:t>
      </w:r>
      <w:r>
        <w:rPr>
          <w:rFonts w:hint="eastAsia"/>
        </w:rPr>
        <w:t>53</w:t>
      </w:r>
      <w:r>
        <w:t>种，隶属</w:t>
      </w:r>
      <w:r>
        <w:rPr>
          <w:rFonts w:hint="eastAsia"/>
        </w:rPr>
        <w:t>24</w:t>
      </w:r>
      <w:r>
        <w:t>科，各科所包含的植物种数如下：菊科（Asteraceae）</w:t>
      </w:r>
      <w:r>
        <w:rPr>
          <w:rFonts w:hint="eastAsia"/>
        </w:rPr>
        <w:t>15</w:t>
      </w:r>
      <w:r>
        <w:t>种；禾本科（Poaceae）</w:t>
      </w:r>
      <w:r>
        <w:rPr>
          <w:rFonts w:hint="eastAsia"/>
        </w:rPr>
        <w:t>5</w:t>
      </w:r>
      <w:r>
        <w:t>种；唇形科（Labiatac）</w:t>
      </w:r>
      <w:r>
        <w:rPr>
          <w:rFonts w:hint="eastAsia"/>
        </w:rPr>
        <w:t>1种</w:t>
      </w:r>
      <w:r>
        <w:t>、豆科（Legu</w:t>
      </w:r>
      <w:r>
        <w:rPr>
          <w:rFonts w:hint="eastAsia"/>
          <w:lang w:eastAsia="zh-CN"/>
        </w:rPr>
        <w:t>m</w:t>
      </w:r>
      <w:r>
        <w:t>inosae）</w:t>
      </w:r>
      <w:r>
        <w:rPr>
          <w:rFonts w:hint="eastAsia"/>
        </w:rPr>
        <w:t>5种</w:t>
      </w:r>
      <w:r>
        <w:t>、伞形科（Apiaceae）</w:t>
      </w:r>
      <w:r>
        <w:rPr>
          <w:rFonts w:hint="eastAsia"/>
        </w:rPr>
        <w:t>2</w:t>
      </w:r>
      <w:r>
        <w:t>种；蓼科</w:t>
      </w:r>
      <w:r>
        <w:rPr>
          <w:rFonts w:hint="eastAsia"/>
        </w:rPr>
        <w:t>（</w:t>
      </w:r>
      <w:r>
        <w:t>Polygonaceae</w:t>
      </w:r>
      <w:r>
        <w:rPr>
          <w:rFonts w:hint="eastAsia"/>
        </w:rPr>
        <w:t>）1种、</w:t>
      </w:r>
      <w:r>
        <w:t>百合科（Liliaceae）</w:t>
      </w:r>
      <w:r>
        <w:rPr>
          <w:rFonts w:hint="eastAsia"/>
        </w:rPr>
        <w:t>1种</w:t>
      </w:r>
      <w:r>
        <w:t>、</w:t>
      </w:r>
      <w:r>
        <w:rPr>
          <w:rFonts w:hint="eastAsia"/>
        </w:rPr>
        <w:t>车前科（Plantaginaceae）1种、</w:t>
      </w:r>
      <w:r>
        <w:t>十字花科（Cruciferae）、</w:t>
      </w:r>
      <w:r>
        <w:rPr>
          <w:rFonts w:hint="eastAsia"/>
        </w:rPr>
        <w:t>玄参科（Scrophulariaceae）1种、</w:t>
      </w:r>
      <w:r>
        <w:t>苋科</w:t>
      </w:r>
      <w:r>
        <w:rPr>
          <w:rFonts w:hint="eastAsia"/>
        </w:rPr>
        <w:t>（</w:t>
      </w:r>
      <w:r>
        <w:t>A</w:t>
      </w:r>
      <w:r>
        <w:rPr>
          <w:rFonts w:hint="eastAsia"/>
          <w:lang w:eastAsia="zh-CN"/>
        </w:rPr>
        <w:t>m</w:t>
      </w:r>
      <w:r>
        <w:t>aranthaceae</w:t>
      </w:r>
      <w:r>
        <w:rPr>
          <w:rFonts w:hint="eastAsia"/>
        </w:rPr>
        <w:t>）1种、桑科（</w:t>
      </w:r>
      <w:r>
        <w:rPr>
          <w:rFonts w:hint="eastAsia"/>
          <w:lang w:eastAsia="zh-CN"/>
        </w:rPr>
        <w:t>m</w:t>
      </w:r>
      <w:r>
        <w:rPr>
          <w:rFonts w:hint="eastAsia"/>
        </w:rPr>
        <w:t>oraceae）2种、</w:t>
      </w:r>
      <w:r>
        <w:t>杨柳科</w:t>
      </w:r>
      <w:r>
        <w:rPr>
          <w:rFonts w:hint="eastAsia"/>
        </w:rPr>
        <w:t>（</w:t>
      </w:r>
      <w:r>
        <w:t>Salicaceae</w:t>
      </w:r>
      <w:r>
        <w:rPr>
          <w:rFonts w:hint="eastAsia"/>
        </w:rPr>
        <w:t>）2种、十字花科（Cruciferae）1种、</w:t>
      </w:r>
      <w:r>
        <w:t>石竹科（Caryophyllaceae）2种；大戟科（Euphorbiaceae）</w:t>
      </w:r>
      <w:r>
        <w:rPr>
          <w:rFonts w:hint="eastAsia"/>
        </w:rPr>
        <w:t>1种</w:t>
      </w:r>
      <w:r>
        <w:t>、锦葵科（</w:t>
      </w:r>
      <w:r>
        <w:rPr>
          <w:rFonts w:hint="eastAsia"/>
          <w:lang w:eastAsia="zh-CN"/>
        </w:rPr>
        <w:t>m</w:t>
      </w:r>
      <w:r>
        <w:t>alvaceae）</w:t>
      </w:r>
      <w:r>
        <w:rPr>
          <w:rFonts w:hint="eastAsia"/>
        </w:rPr>
        <w:t>1种</w:t>
      </w:r>
      <w:r>
        <w:t>、</w:t>
      </w:r>
      <w:r>
        <w:rPr>
          <w:rFonts w:hint="eastAsia"/>
        </w:rPr>
        <w:t>茄科（</w:t>
      </w:r>
      <w:r>
        <w:t>Solanaceae</w:t>
      </w:r>
      <w:r>
        <w:rPr>
          <w:rFonts w:hint="eastAsia"/>
        </w:rPr>
        <w:t>）1种、</w:t>
      </w:r>
      <w:r>
        <w:t>马鞭草科 （Verbenaceae）</w:t>
      </w:r>
      <w:r>
        <w:rPr>
          <w:rFonts w:hint="eastAsia"/>
        </w:rPr>
        <w:t>1种</w:t>
      </w:r>
      <w:r>
        <w:t>、牻牛儿苗科 （Geraniaceae）</w:t>
      </w:r>
      <w:r>
        <w:rPr>
          <w:rFonts w:hint="eastAsia"/>
        </w:rPr>
        <w:t>2种</w:t>
      </w:r>
      <w:r>
        <w:t>、茜草科（Rubiaceae）</w:t>
      </w:r>
      <w:r>
        <w:rPr>
          <w:rFonts w:hint="eastAsia"/>
        </w:rPr>
        <w:t>1种</w:t>
      </w:r>
      <w:r>
        <w:t>、</w:t>
      </w:r>
      <w:r>
        <w:rPr>
          <w:rFonts w:hint="eastAsia"/>
        </w:rPr>
        <w:t>木贼科（Equisetaceae）1种</w:t>
      </w:r>
      <w:r>
        <w:t>、</w:t>
      </w:r>
      <w:r>
        <w:rPr>
          <w:rFonts w:hint="eastAsia"/>
        </w:rPr>
        <w:t>荨麻科（Ul</w:t>
      </w:r>
      <w:r>
        <w:rPr>
          <w:rFonts w:hint="eastAsia"/>
          <w:lang w:eastAsia="zh-CN"/>
        </w:rPr>
        <w:t>m</w:t>
      </w:r>
      <w:r>
        <w:rPr>
          <w:rFonts w:hint="eastAsia"/>
        </w:rPr>
        <w:t>aceae）</w:t>
      </w:r>
      <w:r>
        <w:t>1种。</w:t>
      </w:r>
    </w:p>
    <w:p>
      <w:pPr>
        <w:bidi w:val="0"/>
        <w:rPr>
          <w:rFonts w:hint="eastAsia"/>
        </w:rPr>
      </w:pPr>
      <w:r>
        <w:t>由此可见，</w:t>
      </w:r>
      <w:r>
        <w:rPr>
          <w:rFonts w:hint="eastAsia"/>
        </w:rPr>
        <w:t>沙颍河（安徽段）</w:t>
      </w:r>
      <w:r>
        <w:t>区域主要以菊科为优势科，其所含种数占所调查植物种类的</w:t>
      </w:r>
      <w:r>
        <w:rPr>
          <w:rFonts w:hint="eastAsia"/>
        </w:rPr>
        <w:t>28</w:t>
      </w:r>
      <w:r>
        <w:t>%。</w:t>
      </w:r>
    </w:p>
    <w:p>
      <w:pPr>
        <w:bidi w:val="0"/>
      </w:pPr>
      <w:r>
        <w:rPr>
          <w:rFonts w:hint="eastAsia"/>
        </w:rPr>
        <w:t>（2）</w:t>
      </w:r>
      <w:r>
        <w:t>沿线植被分布特征</w:t>
      </w:r>
    </w:p>
    <w:p>
      <w:pPr>
        <w:bidi w:val="0"/>
      </w:pPr>
      <w:r>
        <w:t>根据实地调查，</w:t>
      </w:r>
      <w:r>
        <w:rPr>
          <w:rFonts w:hint="eastAsia"/>
        </w:rPr>
        <w:t>沙颍河安徽段航道整治工程</w:t>
      </w:r>
      <w:r>
        <w:t>项目区生态类型基本为人工生态，植被生境类型主要有农田、人工林、草地撂荒地</w:t>
      </w:r>
      <w:r>
        <w:rPr>
          <w:rFonts w:hint="eastAsia"/>
        </w:rPr>
        <w:t>以及</w:t>
      </w:r>
      <w:r>
        <w:t>灌木植被。</w:t>
      </w:r>
    </w:p>
    <w:p>
      <w:pPr>
        <w:bidi w:val="0"/>
        <w:rPr>
          <w:rFonts w:hint="eastAsia"/>
        </w:rPr>
      </w:pPr>
      <w:r>
        <w:t>1）农田生态系统</w:t>
      </w:r>
    </w:p>
    <w:p>
      <w:pPr>
        <w:bidi w:val="0"/>
      </w:pPr>
      <w:r>
        <w:t>主要分布在</w:t>
      </w:r>
      <w:r>
        <w:rPr>
          <w:rFonts w:hint="eastAsia"/>
        </w:rPr>
        <w:t>沙颍河两岸及沿线</w:t>
      </w:r>
      <w:r>
        <w:t>居民点附近，农田生态系统中作物各异。</w:t>
      </w:r>
    </w:p>
    <w:p>
      <w:pPr>
        <w:bidi w:val="0"/>
        <w:rPr>
          <w:rFonts w:hint="eastAsia"/>
        </w:rPr>
      </w:pPr>
      <w:r>
        <w:t>种植经济作物主要有小麦Triticu</w:t>
      </w:r>
      <w:r>
        <w:rPr>
          <w:rFonts w:hint="eastAsia"/>
          <w:lang w:eastAsia="zh-CN"/>
        </w:rPr>
        <w:t>m</w:t>
      </w:r>
      <w:r>
        <w:t xml:space="preserve"> aestivu</w:t>
      </w:r>
      <w:r>
        <w:rPr>
          <w:rFonts w:hint="eastAsia"/>
          <w:lang w:eastAsia="zh-CN"/>
        </w:rPr>
        <w:t>m</w:t>
      </w:r>
      <w:r>
        <w:t xml:space="preserve"> Linn、</w:t>
      </w:r>
      <w:r>
        <w:rPr>
          <w:rFonts w:hint="eastAsia"/>
        </w:rPr>
        <w:t>蚕豆</w:t>
      </w:r>
      <w:r>
        <w:t>Vicia faba Linn等；蔬菜有茄Solanu</w:t>
      </w:r>
      <w:r>
        <w:rPr>
          <w:rFonts w:hint="eastAsia"/>
          <w:lang w:eastAsia="zh-CN"/>
        </w:rPr>
        <w:t>m</w:t>
      </w:r>
      <w:r>
        <w:t> </w:t>
      </w:r>
      <w:r>
        <w:rPr>
          <w:rFonts w:hint="eastAsia"/>
          <w:lang w:eastAsia="zh-CN"/>
        </w:rPr>
        <w:t>m</w:t>
      </w:r>
      <w:r>
        <w:t>elongena、番茄Lycopersicon esculentu</w:t>
      </w:r>
      <w:r>
        <w:rPr>
          <w:rFonts w:hint="eastAsia"/>
          <w:lang w:eastAsia="zh-CN"/>
        </w:rPr>
        <w:t>m</w:t>
      </w:r>
      <w:r>
        <w:t>、南瓜Cucurbita </w:t>
      </w:r>
      <w:r>
        <w:rPr>
          <w:rFonts w:hint="eastAsia"/>
          <w:lang w:eastAsia="zh-CN"/>
        </w:rPr>
        <w:t>m</w:t>
      </w:r>
      <w:r>
        <w:t>oschata 、</w:t>
      </w:r>
      <w:r>
        <w:rPr>
          <w:rFonts w:hint="eastAsia"/>
        </w:rPr>
        <w:t>萝卜</w:t>
      </w:r>
      <w:r>
        <w:t>Raphanus sativus、</w:t>
      </w:r>
      <w:r>
        <w:rPr>
          <w:rFonts w:hint="eastAsia"/>
        </w:rPr>
        <w:t>甘蓝型油菜</w:t>
      </w:r>
      <w:r>
        <w:t>Brassica ca</w:t>
      </w:r>
      <w:r>
        <w:rPr>
          <w:rFonts w:hint="eastAsia"/>
          <w:lang w:eastAsia="zh-CN"/>
        </w:rPr>
        <w:t>m</w:t>
      </w:r>
      <w:r>
        <w:t>pestris等；野生草本有鸭跖草Co</w:t>
      </w:r>
      <w:r>
        <w:rPr>
          <w:rFonts w:hint="eastAsia"/>
          <w:lang w:eastAsia="zh-CN"/>
        </w:rPr>
        <w:t>mm</w:t>
      </w:r>
      <w:r>
        <w:t>elina co</w:t>
      </w:r>
      <w:r>
        <w:rPr>
          <w:rFonts w:hint="eastAsia"/>
          <w:lang w:eastAsia="zh-CN"/>
        </w:rPr>
        <w:t>mm</w:t>
      </w:r>
      <w:r>
        <w:t>unis、灰绿藜Chenopodiu</w:t>
      </w:r>
      <w:r>
        <w:rPr>
          <w:rFonts w:hint="eastAsia"/>
          <w:lang w:eastAsia="zh-CN"/>
        </w:rPr>
        <w:t>m</w:t>
      </w:r>
      <w:r>
        <w:t xml:space="preserve"> glaucu</w:t>
      </w:r>
      <w:r>
        <w:rPr>
          <w:rFonts w:hint="eastAsia"/>
          <w:lang w:eastAsia="zh-CN"/>
        </w:rPr>
        <w:t>m</w:t>
      </w:r>
      <w:r>
        <w:t>、马鞭草Verbena officinalis、苍耳Xanthiu</w:t>
      </w:r>
      <w:r>
        <w:rPr>
          <w:rFonts w:hint="eastAsia"/>
          <w:lang w:eastAsia="zh-CN"/>
        </w:rPr>
        <w:t>m</w:t>
      </w:r>
      <w:r>
        <w:t xml:space="preserve"> sibiricu</w:t>
      </w:r>
      <w:r>
        <w:rPr>
          <w:rFonts w:hint="eastAsia"/>
          <w:lang w:eastAsia="zh-CN"/>
        </w:rPr>
        <w:t>m</w:t>
      </w:r>
      <w:r>
        <w:t>、狗尾草Setaria viridis、蝙蝠葛</w:t>
      </w:r>
      <w:r>
        <w:rPr>
          <w:rFonts w:hint="eastAsia"/>
          <w:lang w:eastAsia="zh-CN"/>
        </w:rPr>
        <w:t>m</w:t>
      </w:r>
      <w:r>
        <w:t>enisper</w:t>
      </w:r>
      <w:r>
        <w:rPr>
          <w:rFonts w:hint="eastAsia"/>
          <w:lang w:eastAsia="zh-CN"/>
        </w:rPr>
        <w:t>m</w:t>
      </w:r>
      <w:r>
        <w:t>u</w:t>
      </w:r>
      <w:r>
        <w:rPr>
          <w:rFonts w:hint="eastAsia"/>
          <w:lang w:eastAsia="zh-CN"/>
        </w:rPr>
        <w:t>m</w:t>
      </w:r>
      <w:r>
        <w:t xml:space="preserve"> dauricu</w:t>
      </w:r>
      <w:r>
        <w:rPr>
          <w:rFonts w:hint="eastAsia"/>
          <w:lang w:eastAsia="zh-CN"/>
        </w:rPr>
        <w:t>m</w:t>
      </w:r>
      <w:r>
        <w:t>、茜草Rubia cordifolia 、荔枝草Salvia plebeia</w:t>
      </w:r>
      <w:r>
        <w:rPr>
          <w:rFonts w:hint="eastAsia"/>
        </w:rPr>
        <w:t>等</w:t>
      </w:r>
      <w:r>
        <w:t>。</w:t>
      </w:r>
    </w:p>
    <w:p>
      <w:pPr>
        <w:bidi w:val="0"/>
        <w:rPr>
          <w:rFonts w:hint="eastAsia"/>
        </w:rPr>
      </w:pPr>
      <w:r>
        <w:rPr>
          <w:rFonts w:hint="eastAsia"/>
        </w:rPr>
        <w:t>2</w:t>
      </w:r>
      <w:r>
        <w:t>）人工林生态系统</w:t>
      </w:r>
    </w:p>
    <w:p>
      <w:pPr>
        <w:bidi w:val="0"/>
      </w:pPr>
      <w:r>
        <w:t>主要乔木树种是小叶杨Populus si</w:t>
      </w:r>
      <w:r>
        <w:rPr>
          <w:rFonts w:hint="eastAsia"/>
          <w:lang w:eastAsia="zh-CN"/>
        </w:rPr>
        <w:t>m</w:t>
      </w:r>
      <w:r>
        <w:t>on，全部为栽培的人工林，林下无灌木层，</w:t>
      </w:r>
      <w:r>
        <w:rPr>
          <w:rFonts w:hint="eastAsia"/>
        </w:rPr>
        <w:t>有</w:t>
      </w:r>
      <w:r>
        <w:t>少量的草本植物</w:t>
      </w:r>
      <w:r>
        <w:rPr>
          <w:rFonts w:hint="eastAsia"/>
        </w:rPr>
        <w:t>分布，</w:t>
      </w:r>
      <w:r>
        <w:t>种类十分单一。主要分布在</w:t>
      </w:r>
      <w:r>
        <w:rPr>
          <w:rFonts w:hint="eastAsia"/>
        </w:rPr>
        <w:t>沙颍河沿河大堤</w:t>
      </w:r>
      <w:r>
        <w:t>的两侧以及附近的村庄内</w:t>
      </w:r>
      <w:r>
        <w:rPr>
          <w:rFonts w:hint="eastAsia"/>
        </w:rPr>
        <w:t>。</w:t>
      </w:r>
    </w:p>
    <w:p>
      <w:pPr>
        <w:bidi w:val="0"/>
        <w:rPr>
          <w:rFonts w:hint="eastAsia"/>
        </w:rPr>
      </w:pPr>
      <w:r>
        <w:rPr>
          <w:rFonts w:hint="eastAsia"/>
        </w:rPr>
        <w:t>3</w:t>
      </w:r>
      <w:r>
        <w:t>）草地、撂荒地生态系统</w:t>
      </w:r>
    </w:p>
    <w:p>
      <w:pPr>
        <w:bidi w:val="0"/>
        <w:rPr>
          <w:rFonts w:hint="eastAsia"/>
        </w:rPr>
      </w:pPr>
      <w:r>
        <w:t>主要有白茅（I</w:t>
      </w:r>
      <w:r>
        <w:rPr>
          <w:rFonts w:hint="eastAsia"/>
          <w:lang w:eastAsia="zh-CN"/>
        </w:rPr>
        <w:t>m</w:t>
      </w:r>
      <w:r>
        <w:t>perata cylindrica）、结缕草（Zoysia japonica）、猪殃殃（Galiu</w:t>
      </w:r>
      <w:r>
        <w:rPr>
          <w:rFonts w:hint="eastAsia"/>
          <w:lang w:eastAsia="zh-CN"/>
        </w:rPr>
        <w:t>m</w:t>
      </w:r>
      <w:r>
        <w:t xml:space="preserve"> aparine）、苍耳（Xanthiu</w:t>
      </w:r>
      <w:r>
        <w:rPr>
          <w:rFonts w:hint="eastAsia"/>
          <w:lang w:eastAsia="zh-CN"/>
        </w:rPr>
        <w:t>m</w:t>
      </w:r>
      <w:r>
        <w:t xml:space="preserve"> sibiricu</w:t>
      </w:r>
      <w:r>
        <w:rPr>
          <w:rFonts w:hint="eastAsia"/>
          <w:lang w:eastAsia="zh-CN"/>
        </w:rPr>
        <w:t>m</w:t>
      </w:r>
      <w:r>
        <w:t>）、</w:t>
      </w:r>
      <w:r>
        <w:rPr>
          <w:rFonts w:hint="eastAsia"/>
        </w:rPr>
        <w:t>野艾蒿（Arte</w:t>
      </w:r>
      <w:r>
        <w:rPr>
          <w:rFonts w:hint="eastAsia"/>
          <w:lang w:eastAsia="zh-CN"/>
        </w:rPr>
        <w:t>m</w:t>
      </w:r>
      <w:r>
        <w:rPr>
          <w:rFonts w:hint="eastAsia"/>
        </w:rPr>
        <w:t>isia lavandulaefolia）</w:t>
      </w:r>
      <w:r>
        <w:t>等</w:t>
      </w:r>
      <w:r>
        <w:rPr>
          <w:rFonts w:hint="eastAsia"/>
        </w:rPr>
        <w:t>；</w:t>
      </w:r>
      <w:r>
        <w:t>分布在</w:t>
      </w:r>
      <w:r>
        <w:rPr>
          <w:rFonts w:hint="eastAsia"/>
        </w:rPr>
        <w:t>沙颍河沿河</w:t>
      </w:r>
      <w:r>
        <w:t>大堤斜坡、</w:t>
      </w:r>
      <w:r>
        <w:rPr>
          <w:rFonts w:hint="eastAsia"/>
        </w:rPr>
        <w:t>河</w:t>
      </w:r>
      <w:r>
        <w:t>岸边、人工林林下层以及少量的农田撂荒地。</w:t>
      </w:r>
    </w:p>
    <w:p>
      <w:pPr>
        <w:bidi w:val="0"/>
        <w:rPr>
          <w:rFonts w:hint="eastAsia"/>
        </w:rPr>
      </w:pPr>
      <w:r>
        <w:rPr>
          <w:rFonts w:hint="eastAsia"/>
        </w:rPr>
        <w:t>4）灌木</w:t>
      </w:r>
      <w:r>
        <w:t>生态系统</w:t>
      </w:r>
    </w:p>
    <w:p>
      <w:pPr>
        <w:bidi w:val="0"/>
        <w:rPr>
          <w:rFonts w:hint="eastAsia"/>
        </w:rPr>
      </w:pPr>
      <w:r>
        <w:rPr>
          <w:rFonts w:hint="eastAsia"/>
        </w:rPr>
        <w:t>主要为枸杞（</w:t>
      </w:r>
      <w:r>
        <w:t>Lyciu</w:t>
      </w:r>
      <w:r>
        <w:rPr>
          <w:rFonts w:hint="eastAsia"/>
          <w:lang w:eastAsia="zh-CN"/>
        </w:rPr>
        <w:t>m</w:t>
      </w:r>
      <w:r>
        <w:t xml:space="preserve"> chinense</w:t>
      </w:r>
      <w:r>
        <w:rPr>
          <w:rFonts w:hint="eastAsia"/>
        </w:rPr>
        <w:t>）、构树（</w:t>
      </w:r>
      <w:r>
        <w:t>Broussonetia papyrifera</w:t>
      </w:r>
      <w:r>
        <w:rPr>
          <w:rFonts w:hint="eastAsia"/>
        </w:rPr>
        <w:t>），分布在沙颍河沿河</w:t>
      </w:r>
      <w:r>
        <w:t>大堤</w:t>
      </w:r>
      <w:r>
        <w:rPr>
          <w:rFonts w:hint="eastAsia"/>
        </w:rPr>
        <w:t>斜坡、河</w:t>
      </w:r>
      <w:r>
        <w:t>岸边、人工林</w:t>
      </w:r>
      <w:r>
        <w:rPr>
          <w:rFonts w:hint="eastAsia"/>
        </w:rPr>
        <w:t>边缘。</w:t>
      </w:r>
    </w:p>
    <w:p>
      <w:pPr>
        <w:spacing w:line="360" w:lineRule="auto"/>
        <w:ind w:left="0" w:leftChars="0" w:right="-175" w:rightChars="-73" w:firstLine="0" w:firstLineChars="0"/>
        <w:jc w:val="both"/>
        <w:rPr>
          <w:rFonts w:hint="eastAsia"/>
          <w:sz w:val="24"/>
        </w:rPr>
      </w:pPr>
      <w:r>
        <w:rPr>
          <w:rFonts w:hint="eastAsia"/>
          <w:sz w:val="24"/>
        </w:rPr>
        <w:drawing>
          <wp:inline distT="0" distB="0" distL="114300" distR="114300">
            <wp:extent cx="5252085" cy="1950085"/>
            <wp:effectExtent l="0" t="0" r="5715" b="12065"/>
            <wp:docPr id="70" name="图片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3" descr="1"/>
                    <pic:cNvPicPr>
                      <a:picLocks noChangeAspect="1"/>
                    </pic:cNvPicPr>
                  </pic:nvPicPr>
                  <pic:blipFill>
                    <a:blip r:embed="rId29"/>
                    <a:stretch>
                      <a:fillRect/>
                    </a:stretch>
                  </pic:blipFill>
                  <pic:spPr>
                    <a:xfrm>
                      <a:off x="0" y="0"/>
                      <a:ext cx="5252085" cy="1950085"/>
                    </a:xfrm>
                    <a:prstGeom prst="rect">
                      <a:avLst/>
                    </a:prstGeom>
                    <a:noFill/>
                    <a:ln>
                      <a:noFill/>
                    </a:ln>
                  </pic:spPr>
                </pic:pic>
              </a:graphicData>
            </a:graphic>
          </wp:inline>
        </w:drawing>
      </w:r>
    </w:p>
    <w:p>
      <w:pPr>
        <w:spacing w:line="360" w:lineRule="auto"/>
        <w:ind w:right="-175" w:rightChars="-73"/>
        <w:jc w:val="center"/>
        <w:rPr>
          <w:rFonts w:hint="eastAsia"/>
          <w:szCs w:val="21"/>
        </w:rPr>
      </w:pPr>
      <w:r>
        <w:rPr>
          <w:rFonts w:hint="eastAsia"/>
          <w:szCs w:val="21"/>
        </w:rPr>
        <w:t>（</w:t>
      </w:r>
      <w:r>
        <w:rPr>
          <w:szCs w:val="21"/>
        </w:rPr>
        <w:t>农田</w:t>
      </w:r>
      <w:r>
        <w:rPr>
          <w:rFonts w:hint="eastAsia"/>
          <w:szCs w:val="21"/>
        </w:rPr>
        <w:t>）</w:t>
      </w:r>
    </w:p>
    <w:p>
      <w:pPr>
        <w:spacing w:line="360" w:lineRule="auto"/>
        <w:ind w:left="0" w:leftChars="0" w:right="-175" w:rightChars="-73" w:firstLine="0" w:firstLineChars="0"/>
        <w:jc w:val="both"/>
        <w:rPr>
          <w:rFonts w:hint="eastAsia"/>
          <w:sz w:val="24"/>
        </w:rPr>
      </w:pPr>
      <w:r>
        <w:rPr>
          <w:rFonts w:hint="eastAsia"/>
          <w:sz w:val="24"/>
        </w:rPr>
        <w:drawing>
          <wp:inline distT="0" distB="0" distL="114300" distR="114300">
            <wp:extent cx="5219065" cy="1978660"/>
            <wp:effectExtent l="0" t="0" r="635" b="2540"/>
            <wp:docPr id="85" name="图片 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4" descr="2"/>
                    <pic:cNvPicPr>
                      <a:picLocks noChangeAspect="1"/>
                    </pic:cNvPicPr>
                  </pic:nvPicPr>
                  <pic:blipFill>
                    <a:blip r:embed="rId30"/>
                    <a:stretch>
                      <a:fillRect/>
                    </a:stretch>
                  </pic:blipFill>
                  <pic:spPr>
                    <a:xfrm>
                      <a:off x="0" y="0"/>
                      <a:ext cx="5219065" cy="1978660"/>
                    </a:xfrm>
                    <a:prstGeom prst="rect">
                      <a:avLst/>
                    </a:prstGeom>
                    <a:noFill/>
                    <a:ln>
                      <a:noFill/>
                    </a:ln>
                  </pic:spPr>
                </pic:pic>
              </a:graphicData>
            </a:graphic>
          </wp:inline>
        </w:drawing>
      </w:r>
    </w:p>
    <w:p>
      <w:pPr>
        <w:spacing w:line="360" w:lineRule="auto"/>
        <w:ind w:right="-175" w:rightChars="-73"/>
        <w:jc w:val="center"/>
        <w:rPr>
          <w:rFonts w:hint="eastAsia"/>
          <w:szCs w:val="21"/>
        </w:rPr>
      </w:pPr>
      <w:r>
        <w:rPr>
          <w:rFonts w:hint="eastAsia"/>
          <w:szCs w:val="21"/>
        </w:rPr>
        <w:t>（</w:t>
      </w:r>
      <w:r>
        <w:rPr>
          <w:szCs w:val="21"/>
        </w:rPr>
        <w:t>人工林</w:t>
      </w:r>
      <w:r>
        <w:rPr>
          <w:rFonts w:hint="eastAsia"/>
          <w:szCs w:val="21"/>
        </w:rPr>
        <w:t>）</w:t>
      </w:r>
    </w:p>
    <w:p>
      <w:pPr>
        <w:spacing w:line="360" w:lineRule="auto"/>
        <w:ind w:left="0" w:leftChars="0" w:right="-175" w:rightChars="-73" w:firstLine="0" w:firstLineChars="0"/>
        <w:jc w:val="both"/>
        <w:rPr>
          <w:rFonts w:hint="eastAsia"/>
          <w:sz w:val="24"/>
        </w:rPr>
      </w:pPr>
      <w:r>
        <w:rPr>
          <w:rFonts w:hint="eastAsia"/>
          <w:sz w:val="24"/>
        </w:rPr>
        <w:drawing>
          <wp:inline distT="0" distB="0" distL="114300" distR="114300">
            <wp:extent cx="5224780" cy="1945640"/>
            <wp:effectExtent l="0" t="0" r="13970" b="16510"/>
            <wp:docPr id="79" name="图片 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5" descr="3"/>
                    <pic:cNvPicPr>
                      <a:picLocks noChangeAspect="1"/>
                    </pic:cNvPicPr>
                  </pic:nvPicPr>
                  <pic:blipFill>
                    <a:blip r:embed="rId31"/>
                    <a:stretch>
                      <a:fillRect/>
                    </a:stretch>
                  </pic:blipFill>
                  <pic:spPr>
                    <a:xfrm>
                      <a:off x="0" y="0"/>
                      <a:ext cx="5224780" cy="1945640"/>
                    </a:xfrm>
                    <a:prstGeom prst="rect">
                      <a:avLst/>
                    </a:prstGeom>
                    <a:noFill/>
                    <a:ln>
                      <a:noFill/>
                    </a:ln>
                  </pic:spPr>
                </pic:pic>
              </a:graphicData>
            </a:graphic>
          </wp:inline>
        </w:drawing>
      </w:r>
    </w:p>
    <w:p>
      <w:pPr>
        <w:spacing w:line="360" w:lineRule="auto"/>
        <w:ind w:right="-175" w:rightChars="-73" w:firstLine="2040" w:firstLineChars="850"/>
        <w:rPr>
          <w:rFonts w:hint="eastAsia"/>
          <w:szCs w:val="21"/>
        </w:rPr>
      </w:pPr>
      <w:r>
        <w:rPr>
          <w:rFonts w:hint="eastAsia"/>
          <w:szCs w:val="21"/>
        </w:rPr>
        <w:t>（</w:t>
      </w:r>
      <w:r>
        <w:rPr>
          <w:szCs w:val="21"/>
        </w:rPr>
        <w:t>草地、撂荒地</w:t>
      </w:r>
      <w:r>
        <w:rPr>
          <w:rFonts w:hint="eastAsia"/>
          <w:szCs w:val="21"/>
        </w:rPr>
        <w:t>）                 （灌木）</w:t>
      </w:r>
    </w:p>
    <w:p>
      <w:pPr>
        <w:spacing w:line="360" w:lineRule="auto"/>
        <w:ind w:right="-175" w:rightChars="-73" w:firstLine="600" w:firstLineChars="250"/>
        <w:jc w:val="center"/>
        <w:rPr>
          <w:rFonts w:hint="eastAsia"/>
          <w:b/>
          <w:szCs w:val="21"/>
        </w:rPr>
      </w:pPr>
      <w:r>
        <w:rPr>
          <w:rFonts w:hint="eastAsia" w:ascii="Times New Roman" w:hAnsi="Times New Roman" w:eastAsia="黑体" w:cs="Times New Roman"/>
          <w:color w:val="auto"/>
          <w:kern w:val="0"/>
          <w:sz w:val="24"/>
          <w:szCs w:val="24"/>
          <w:shd w:val="clear" w:color="auto" w:fill="auto"/>
          <w:lang w:val="en-US" w:eastAsia="zh-CN" w:bidi="ar-SA"/>
        </w:rPr>
        <w:t>图3.6-1  沙颍河沿岸主要植被类型</w:t>
      </w:r>
    </w:p>
    <w:p>
      <w:pPr>
        <w:bidi w:val="0"/>
      </w:pPr>
      <w:bookmarkStart w:id="258" w:name="_Toc233017623"/>
      <w:bookmarkStart w:id="259" w:name="_Toc23691"/>
      <w:r>
        <w:rPr>
          <w:rFonts w:hint="eastAsia"/>
        </w:rPr>
        <w:t>（3）植物群落分布特征</w:t>
      </w:r>
    </w:p>
    <w:bookmarkEnd w:id="258"/>
    <w:bookmarkEnd w:id="259"/>
    <w:p>
      <w:pPr>
        <w:bidi w:val="0"/>
        <w:rPr>
          <w:rFonts w:hint="eastAsia"/>
        </w:rPr>
      </w:pPr>
      <w:r>
        <w:t>根据项目评价范围内植被分布特点，在推荐样方地点设置不同的植被类型调查样方，包括草本</w:t>
      </w:r>
      <w:r>
        <w:rPr>
          <w:rFonts w:hint="eastAsia"/>
        </w:rPr>
        <w:t>、</w:t>
      </w:r>
      <w:r>
        <w:t>人工林</w:t>
      </w:r>
      <w:r>
        <w:rPr>
          <w:rFonts w:hint="eastAsia"/>
        </w:rPr>
        <w:t>；</w:t>
      </w:r>
      <w:r>
        <w:t>样方设置在</w:t>
      </w:r>
      <w:r>
        <w:rPr>
          <w:rFonts w:hint="eastAsia"/>
        </w:rPr>
        <w:t>耿楼船闸附近（k26）、阜阳船闸附近（k80）和沫河口附近（k202+700）</w:t>
      </w:r>
      <w:r>
        <w:t>，各样方的环境特征如下(表</w:t>
      </w:r>
      <w:r>
        <w:rPr>
          <w:rFonts w:hint="eastAsia"/>
        </w:rPr>
        <w:t>4</w:t>
      </w:r>
      <w:r>
        <w:t>-</w:t>
      </w:r>
      <w:r>
        <w:rPr>
          <w:rFonts w:hint="eastAsia"/>
        </w:rPr>
        <w:t>2</w:t>
      </w:r>
      <w:r>
        <w:t>)：各调查样方的海拔在16-60</w:t>
      </w:r>
      <w:r>
        <w:rPr>
          <w:rFonts w:hint="eastAsia"/>
          <w:lang w:eastAsia="zh-CN"/>
        </w:rPr>
        <w:t>m</w:t>
      </w:r>
      <w:r>
        <w:t>之间，土壤类型都以潮棕壤</w:t>
      </w:r>
      <w:r>
        <w:rPr>
          <w:rFonts w:hint="eastAsia"/>
        </w:rPr>
        <w:t>和砂礓黑土</w:t>
      </w:r>
      <w:r>
        <w:t>为主。不同植被类型样方调查结果如下</w:t>
      </w:r>
      <w:r>
        <w:rPr>
          <w:rFonts w:hint="eastAsia"/>
        </w:rPr>
        <w:t>。</w:t>
      </w:r>
    </w:p>
    <w:p>
      <w:pPr>
        <w:pStyle w:val="43"/>
        <w:bidi w:val="0"/>
        <w:rPr>
          <w:rFonts w:hint="eastAsia" w:ascii="Times New Roman" w:hAnsi="Times New Roman" w:eastAsia="宋体" w:cs="Times New Roman"/>
          <w:b/>
          <w:color w:val="auto"/>
          <w:sz w:val="21"/>
          <w:lang w:val="en-US" w:eastAsia="zh-CN"/>
        </w:rPr>
      </w:pPr>
      <w:r>
        <w:rPr>
          <w:rFonts w:hint="eastAsia" w:ascii="Times New Roman" w:hAnsi="Times New Roman" w:eastAsia="宋体" w:cs="Times New Roman"/>
          <w:b/>
          <w:color w:val="auto"/>
          <w:sz w:val="21"/>
          <w:lang w:val="en-US" w:eastAsia="zh-CN"/>
        </w:rPr>
        <w:t>表3.6-1 草本样方环境特征（1m*1m）</w:t>
      </w:r>
    </w:p>
    <w:tbl>
      <w:tblPr>
        <w:tblStyle w:val="26"/>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895"/>
        <w:gridCol w:w="1691"/>
        <w:gridCol w:w="1691"/>
        <w:gridCol w:w="224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6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样方点位</w:t>
            </w:r>
          </w:p>
        </w:tc>
        <w:tc>
          <w:tcPr>
            <w:tcW w:w="99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位点1</w:t>
            </w:r>
          </w:p>
        </w:tc>
        <w:tc>
          <w:tcPr>
            <w:tcW w:w="99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位点2</w:t>
            </w:r>
          </w:p>
        </w:tc>
        <w:tc>
          <w:tcPr>
            <w:tcW w:w="13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6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海    拔(</w:t>
            </w: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w:t>
            </w:r>
          </w:p>
        </w:tc>
        <w:tc>
          <w:tcPr>
            <w:tcW w:w="99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20</w:t>
            </w:r>
          </w:p>
        </w:tc>
        <w:tc>
          <w:tcPr>
            <w:tcW w:w="99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27</w:t>
            </w:r>
          </w:p>
        </w:tc>
        <w:tc>
          <w:tcPr>
            <w:tcW w:w="13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6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坡    向</w:t>
            </w:r>
          </w:p>
        </w:tc>
        <w:tc>
          <w:tcPr>
            <w:tcW w:w="99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无</w:t>
            </w:r>
          </w:p>
        </w:tc>
        <w:tc>
          <w:tcPr>
            <w:tcW w:w="99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阳坡</w:t>
            </w:r>
          </w:p>
        </w:tc>
        <w:tc>
          <w:tcPr>
            <w:tcW w:w="13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6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坡    度(°)</w:t>
            </w:r>
          </w:p>
        </w:tc>
        <w:tc>
          <w:tcPr>
            <w:tcW w:w="99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无</w:t>
            </w:r>
          </w:p>
        </w:tc>
        <w:tc>
          <w:tcPr>
            <w:tcW w:w="99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30</w:t>
            </w:r>
          </w:p>
        </w:tc>
        <w:tc>
          <w:tcPr>
            <w:tcW w:w="13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6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坡    位</w:t>
            </w:r>
          </w:p>
        </w:tc>
        <w:tc>
          <w:tcPr>
            <w:tcW w:w="99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无</w:t>
            </w:r>
          </w:p>
        </w:tc>
        <w:tc>
          <w:tcPr>
            <w:tcW w:w="99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下部</w:t>
            </w:r>
          </w:p>
        </w:tc>
        <w:tc>
          <w:tcPr>
            <w:tcW w:w="13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6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土壤类型</w:t>
            </w:r>
          </w:p>
        </w:tc>
        <w:tc>
          <w:tcPr>
            <w:tcW w:w="99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潮棕壤</w:t>
            </w:r>
          </w:p>
        </w:tc>
        <w:tc>
          <w:tcPr>
            <w:tcW w:w="99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潮棕壤</w:t>
            </w:r>
          </w:p>
        </w:tc>
        <w:tc>
          <w:tcPr>
            <w:tcW w:w="13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砂礓黑土</w:t>
            </w:r>
          </w:p>
        </w:tc>
      </w:tr>
    </w:tbl>
    <w:p>
      <w:pPr>
        <w:spacing w:line="400" w:lineRule="exact"/>
        <w:ind w:left="318"/>
        <w:rPr>
          <w:rFonts w:hint="eastAsia" w:ascii="宋体" w:hAnsi="宋体"/>
          <w:sz w:val="24"/>
        </w:rPr>
      </w:pPr>
      <w:r>
        <w:rPr>
          <w:rFonts w:hint="eastAsia" w:ascii="宋体" w:hAnsi="宋体"/>
          <w:sz w:val="24"/>
        </w:rPr>
        <w:t>1）</w:t>
      </w:r>
      <w:r>
        <w:rPr>
          <w:rFonts w:ascii="宋体" w:hAnsi="宋体"/>
          <w:sz w:val="24"/>
        </w:rPr>
        <w:t>草本植被型</w:t>
      </w:r>
    </w:p>
    <w:p>
      <w:pPr>
        <w:pStyle w:val="43"/>
        <w:bidi w:val="0"/>
        <w:rPr>
          <w:rFonts w:hint="eastAsia" w:ascii="Times New Roman" w:hAnsi="Times New Roman" w:eastAsia="宋体" w:cs="Times New Roman"/>
          <w:b/>
          <w:color w:val="auto"/>
          <w:sz w:val="21"/>
          <w:lang w:val="en-US" w:eastAsia="zh-CN"/>
        </w:rPr>
      </w:pPr>
      <w:r>
        <w:rPr>
          <w:rFonts w:hint="eastAsia" w:ascii="Times New Roman" w:hAnsi="Times New Roman" w:eastAsia="宋体" w:cs="Times New Roman"/>
          <w:b/>
          <w:color w:val="auto"/>
          <w:sz w:val="21"/>
          <w:lang w:val="en-US" w:eastAsia="zh-CN"/>
        </w:rPr>
        <w:t>表3.6-2 各草本样方植物调查结果（1m*1m）</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7"/>
        <w:gridCol w:w="2354"/>
        <w:gridCol w:w="2445"/>
        <w:gridCol w:w="2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9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样方点位</w:t>
            </w:r>
          </w:p>
        </w:tc>
        <w:tc>
          <w:tcPr>
            <w:tcW w:w="138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位点1</w:t>
            </w:r>
          </w:p>
        </w:tc>
        <w:tc>
          <w:tcPr>
            <w:tcW w:w="1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位点2</w:t>
            </w:r>
          </w:p>
        </w:tc>
        <w:tc>
          <w:tcPr>
            <w:tcW w:w="139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9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种类</w:t>
            </w:r>
          </w:p>
        </w:tc>
        <w:tc>
          <w:tcPr>
            <w:tcW w:w="138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结缕草、蓼、小巢菜、加拿大飞蓬、牛繁缕、猪殃殃、牛筋草、野豌豆、白茅、莎草、荔枝草、婆婆纳、泥胡菜、碎米荠、苍耳、马兰、野胡萝卜、木贼、窃衣</w:t>
            </w:r>
          </w:p>
        </w:tc>
        <w:tc>
          <w:tcPr>
            <w:tcW w:w="1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结缕草、蓼、小巢菜、加拿大飞蓬、牛繁缕、猪殃殃、牛筋草、野豌豆、白茅、莎草、荔枝草、婆婆纳、泥胡菜、碎米荠、苍耳、马兰、野胡萝卜、木贼、窃衣</w:t>
            </w:r>
          </w:p>
        </w:tc>
        <w:tc>
          <w:tcPr>
            <w:tcW w:w="139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结缕草、小巢菜、加拿大飞蓬、牛繁缕、猪殃殃、牛筋草、野豌豆、白茅、莎草、荔枝草、婆婆纳、泥胡菜、碎米荠、苍耳、马兰、野胡萝卜、木贼、窃衣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9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优势种</w:t>
            </w:r>
          </w:p>
        </w:tc>
        <w:tc>
          <w:tcPr>
            <w:tcW w:w="138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结缕草、牛筋草、木贼、苍耳、白茅</w:t>
            </w:r>
          </w:p>
        </w:tc>
        <w:tc>
          <w:tcPr>
            <w:tcW w:w="1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结缕草、牛筋草、木贼、苍耳、白茅</w:t>
            </w:r>
          </w:p>
        </w:tc>
        <w:tc>
          <w:tcPr>
            <w:tcW w:w="139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结缕草、牛筋草、木贼、苍耳、白茅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9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总盖度(%)</w:t>
            </w:r>
          </w:p>
        </w:tc>
        <w:tc>
          <w:tcPr>
            <w:tcW w:w="138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41</w:t>
            </w:r>
          </w:p>
        </w:tc>
        <w:tc>
          <w:tcPr>
            <w:tcW w:w="1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38</w:t>
            </w:r>
          </w:p>
        </w:tc>
        <w:tc>
          <w:tcPr>
            <w:tcW w:w="139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9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生 物 量</w:t>
            </w:r>
          </w:p>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（g.</w:t>
            </w:r>
            <w:r>
              <w:rPr>
                <w:rFonts w:hint="eastAsia" w:ascii="Times New Roman" w:hAnsi="Times New Roman" w:cs="Times New Roman"/>
                <w:color w:val="auto"/>
                <w:sz w:val="21"/>
                <w:shd w:val="clear" w:color="auto" w:fill="auto"/>
                <w:vertAlign w:val="baseline"/>
                <w:lang w:eastAsia="zh-CN"/>
              </w:rPr>
              <w:t>m</w:t>
            </w:r>
            <w:r>
              <w:rPr>
                <w:rFonts w:hint="eastAsia" w:ascii="Times New Roman" w:hAnsi="Times New Roman" w:cs="Times New Roman"/>
                <w:color w:val="auto"/>
                <w:sz w:val="21"/>
                <w:shd w:val="clear" w:color="auto" w:fill="auto"/>
                <w:vertAlign w:val="superscript"/>
                <w:lang w:eastAsia="zh-CN"/>
              </w:rPr>
              <w:t>-2</w:t>
            </w:r>
            <w:r>
              <w:rPr>
                <w:rFonts w:hint="eastAsia" w:ascii="Times New Roman" w:hAnsi="Times New Roman" w:cs="Times New Roman"/>
                <w:color w:val="auto"/>
                <w:sz w:val="21"/>
                <w:shd w:val="clear" w:color="auto" w:fill="auto"/>
              </w:rPr>
              <w:t>）</w:t>
            </w:r>
          </w:p>
        </w:tc>
        <w:tc>
          <w:tcPr>
            <w:tcW w:w="138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149</w:t>
            </w:r>
          </w:p>
        </w:tc>
        <w:tc>
          <w:tcPr>
            <w:tcW w:w="1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138</w:t>
            </w:r>
          </w:p>
        </w:tc>
        <w:tc>
          <w:tcPr>
            <w:tcW w:w="139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160</w:t>
            </w:r>
          </w:p>
        </w:tc>
      </w:tr>
    </w:tbl>
    <w:p>
      <w:pPr>
        <w:bidi w:val="0"/>
        <w:rPr>
          <w:rFonts w:hint="eastAsia"/>
        </w:rPr>
      </w:pPr>
      <w:r>
        <w:t>由表</w:t>
      </w:r>
      <w:r>
        <w:rPr>
          <w:rFonts w:hint="eastAsia"/>
        </w:rPr>
        <w:t>4</w:t>
      </w:r>
      <w:r>
        <w:t>-</w:t>
      </w:r>
      <w:r>
        <w:rPr>
          <w:rFonts w:hint="eastAsia"/>
        </w:rPr>
        <w:t>3</w:t>
      </w:r>
      <w:r>
        <w:t>可见，在不同的地点各</w:t>
      </w:r>
      <w:r>
        <w:rPr>
          <w:rFonts w:hint="eastAsia"/>
        </w:rPr>
        <w:t>湿地</w:t>
      </w:r>
      <w:r>
        <w:t>草本样方的植物种类、盖度、生物量有所差异，</w:t>
      </w:r>
      <w:r>
        <w:rPr>
          <w:rFonts w:hint="eastAsia"/>
        </w:rPr>
        <w:t>沙颍河湿地草本样方主要以结缕草、牛筋草、木贼、</w:t>
      </w:r>
      <w:r>
        <w:t>苍耳</w:t>
      </w:r>
      <w:r>
        <w:rPr>
          <w:rFonts w:hint="eastAsia"/>
        </w:rPr>
        <w:t>、</w:t>
      </w:r>
      <w:r>
        <w:t>白茅</w:t>
      </w:r>
      <w:r>
        <w:rPr>
          <w:rFonts w:hint="eastAsia"/>
        </w:rPr>
        <w:t>为优势种，在各调查样方内所占比例较大；群落生物量在不同土质之间略有不同，总的趋势为分布在潮棕壤的草本群落生物量比砂礓黑土的低。</w:t>
      </w:r>
      <w:r>
        <w:t>生物量以</w:t>
      </w:r>
      <w:r>
        <w:rPr>
          <w:rFonts w:hint="eastAsia"/>
        </w:rPr>
        <w:t>沫河口附近</w:t>
      </w:r>
      <w:r>
        <w:t>位点最大，以</w:t>
      </w:r>
      <w:r>
        <w:rPr>
          <w:rFonts w:hint="eastAsia"/>
        </w:rPr>
        <w:t>阜阳船闸</w:t>
      </w:r>
      <w:r>
        <w:t>样方最低。</w:t>
      </w:r>
    </w:p>
    <w:p>
      <w:pPr>
        <w:spacing w:line="400" w:lineRule="exact"/>
        <w:ind w:firstLine="315"/>
        <w:rPr>
          <w:rFonts w:ascii="宋体" w:hAnsi="宋体"/>
          <w:sz w:val="24"/>
        </w:rPr>
      </w:pPr>
      <w:r>
        <w:rPr>
          <w:rFonts w:hint="eastAsia" w:ascii="宋体" w:hAnsi="宋体"/>
          <w:sz w:val="24"/>
        </w:rPr>
        <w:t>2）挺水</w:t>
      </w:r>
      <w:r>
        <w:rPr>
          <w:rFonts w:ascii="宋体" w:hAnsi="宋体"/>
          <w:sz w:val="24"/>
        </w:rPr>
        <w:t>草本植被型</w:t>
      </w:r>
    </w:p>
    <w:p>
      <w:pPr>
        <w:pStyle w:val="43"/>
        <w:bidi w:val="0"/>
        <w:rPr>
          <w:rFonts w:hint="eastAsia" w:ascii="Times New Roman" w:hAnsi="Times New Roman" w:eastAsia="宋体" w:cs="Times New Roman"/>
          <w:b/>
          <w:color w:val="auto"/>
          <w:sz w:val="21"/>
          <w:lang w:val="en-US" w:eastAsia="zh-CN"/>
        </w:rPr>
      </w:pPr>
      <w:r>
        <w:rPr>
          <w:rFonts w:hint="eastAsia" w:ascii="Times New Roman" w:hAnsi="Times New Roman" w:eastAsia="宋体" w:cs="Times New Roman"/>
          <w:b/>
          <w:color w:val="auto"/>
          <w:sz w:val="21"/>
          <w:lang w:val="en-US" w:eastAsia="zh-CN"/>
        </w:rPr>
        <w:t>表3.6-3 各挺水草本样方植物调查结果（1m*1m）</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9"/>
        <w:gridCol w:w="2340"/>
        <w:gridCol w:w="1892"/>
        <w:gridCol w:w="23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3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样方点位</w:t>
            </w:r>
          </w:p>
        </w:tc>
        <w:tc>
          <w:tcPr>
            <w:tcW w:w="137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位点1</w:t>
            </w:r>
          </w:p>
        </w:tc>
        <w:tc>
          <w:tcPr>
            <w:tcW w:w="111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位点2</w:t>
            </w:r>
          </w:p>
        </w:tc>
        <w:tc>
          <w:tcPr>
            <w:tcW w:w="138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3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种类</w:t>
            </w:r>
          </w:p>
        </w:tc>
        <w:tc>
          <w:tcPr>
            <w:tcW w:w="137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芦苇、菰、结缕草、野豌豆、禾本科、猪殃殃</w:t>
            </w:r>
          </w:p>
        </w:tc>
        <w:tc>
          <w:tcPr>
            <w:tcW w:w="111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芦苇、菰、结缕草、禾本科</w:t>
            </w:r>
          </w:p>
        </w:tc>
        <w:tc>
          <w:tcPr>
            <w:tcW w:w="138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芦苇、菰、蓼、结缕草、禾本科、猪殃殃、野豌豆、牛筋草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3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优势种</w:t>
            </w:r>
          </w:p>
        </w:tc>
        <w:tc>
          <w:tcPr>
            <w:tcW w:w="137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芦苇、菰</w:t>
            </w:r>
          </w:p>
        </w:tc>
        <w:tc>
          <w:tcPr>
            <w:tcW w:w="111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芦苇</w:t>
            </w:r>
          </w:p>
        </w:tc>
        <w:tc>
          <w:tcPr>
            <w:tcW w:w="138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芦苇、菰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3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总盖度(%)</w:t>
            </w:r>
          </w:p>
        </w:tc>
        <w:tc>
          <w:tcPr>
            <w:tcW w:w="137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68</w:t>
            </w:r>
          </w:p>
        </w:tc>
        <w:tc>
          <w:tcPr>
            <w:tcW w:w="111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72</w:t>
            </w:r>
          </w:p>
        </w:tc>
        <w:tc>
          <w:tcPr>
            <w:tcW w:w="138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3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生 物 量</w:t>
            </w:r>
          </w:p>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（g.</w:t>
            </w:r>
            <w:r>
              <w:rPr>
                <w:rFonts w:hint="eastAsia" w:ascii="Times New Roman" w:hAnsi="Times New Roman" w:cs="Times New Roman"/>
                <w:color w:val="auto"/>
                <w:sz w:val="21"/>
                <w:shd w:val="clear" w:color="auto" w:fill="auto"/>
                <w:vertAlign w:val="baseline"/>
                <w:lang w:eastAsia="zh-CN"/>
              </w:rPr>
              <w:t>m</w:t>
            </w:r>
            <w:r>
              <w:rPr>
                <w:rFonts w:hint="eastAsia" w:ascii="Times New Roman" w:hAnsi="Times New Roman" w:cs="Times New Roman"/>
                <w:color w:val="auto"/>
                <w:sz w:val="21"/>
                <w:shd w:val="clear" w:color="auto" w:fill="auto"/>
                <w:vertAlign w:val="superscript"/>
                <w:lang w:eastAsia="zh-CN"/>
              </w:rPr>
              <w:t>-2</w:t>
            </w:r>
            <w:r>
              <w:rPr>
                <w:rFonts w:hint="eastAsia" w:ascii="Times New Roman" w:hAnsi="Times New Roman" w:cs="Times New Roman"/>
                <w:color w:val="auto"/>
                <w:sz w:val="21"/>
                <w:shd w:val="clear" w:color="auto" w:fill="auto"/>
              </w:rPr>
              <w:t>）</w:t>
            </w:r>
          </w:p>
        </w:tc>
        <w:tc>
          <w:tcPr>
            <w:tcW w:w="137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237</w:t>
            </w:r>
          </w:p>
        </w:tc>
        <w:tc>
          <w:tcPr>
            <w:tcW w:w="111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248</w:t>
            </w:r>
          </w:p>
        </w:tc>
        <w:tc>
          <w:tcPr>
            <w:tcW w:w="138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221</w:t>
            </w:r>
          </w:p>
        </w:tc>
      </w:tr>
    </w:tbl>
    <w:p>
      <w:pPr>
        <w:bidi w:val="0"/>
        <w:rPr>
          <w:rFonts w:hint="eastAsia"/>
        </w:rPr>
      </w:pPr>
      <w:r>
        <w:rPr>
          <w:rFonts w:hint="eastAsia"/>
        </w:rPr>
        <w:t>对挺水草本植物样方调查结果显示，沙颍河湿地挺水植物以芦苇、菰为优势种，少伴生猪殃殃、野豌豆（</w:t>
      </w:r>
      <w:r>
        <w:t>Vicia sepiu</w:t>
      </w:r>
      <w:r>
        <w:rPr>
          <w:rFonts w:hint="eastAsia"/>
          <w:lang w:eastAsia="zh-CN"/>
        </w:rPr>
        <w:t>m</w:t>
      </w:r>
      <w:r>
        <w:rPr>
          <w:rFonts w:hint="eastAsia"/>
        </w:rPr>
        <w:t>）、结缕草，各样方生物量差距不大，在214 g.c</w:t>
      </w:r>
      <w:r>
        <w:rPr>
          <w:rFonts w:hint="eastAsia"/>
          <w:vertAlign w:val="baseline"/>
          <w:lang w:eastAsia="zh-CN"/>
        </w:rPr>
        <w:t>m</w:t>
      </w:r>
      <w:r>
        <w:rPr>
          <w:rFonts w:hint="eastAsia"/>
          <w:vertAlign w:val="superscript"/>
          <w:lang w:eastAsia="zh-CN"/>
        </w:rPr>
        <w:t>-2</w:t>
      </w:r>
      <w:r>
        <w:rPr>
          <w:rFonts w:hint="eastAsia"/>
        </w:rPr>
        <w:t>至287 g.c</w:t>
      </w:r>
      <w:r>
        <w:rPr>
          <w:rFonts w:hint="eastAsia"/>
          <w:vertAlign w:val="baseline"/>
          <w:lang w:eastAsia="zh-CN"/>
        </w:rPr>
        <w:t>m</w:t>
      </w:r>
      <w:r>
        <w:rPr>
          <w:rFonts w:hint="eastAsia"/>
          <w:vertAlign w:val="superscript"/>
          <w:lang w:eastAsia="zh-CN"/>
        </w:rPr>
        <w:t>-2</w:t>
      </w:r>
      <w:r>
        <w:rPr>
          <w:rFonts w:hint="eastAsia"/>
        </w:rPr>
        <w:t>不等，主要分布区域位于沙颍河岸边浅水区域。</w:t>
      </w:r>
    </w:p>
    <w:p>
      <w:pPr>
        <w:bidi w:val="0"/>
        <w:rPr>
          <w:rFonts w:hint="eastAsia"/>
        </w:rPr>
      </w:pPr>
      <w:r>
        <w:rPr>
          <w:rFonts w:hint="eastAsia"/>
        </w:rPr>
        <w:t>3）人工林</w:t>
      </w:r>
      <w:r>
        <w:t>植被型</w:t>
      </w:r>
    </w:p>
    <w:p>
      <w:pPr>
        <w:pStyle w:val="43"/>
        <w:bidi w:val="0"/>
        <w:rPr>
          <w:rFonts w:hint="eastAsia" w:ascii="Times New Roman" w:hAnsi="Times New Roman" w:eastAsia="宋体" w:cs="Times New Roman"/>
          <w:b/>
          <w:color w:val="auto"/>
          <w:sz w:val="21"/>
          <w:lang w:val="en-US" w:eastAsia="zh-CN"/>
        </w:rPr>
      </w:pPr>
      <w:r>
        <w:rPr>
          <w:rFonts w:hint="eastAsia" w:ascii="Times New Roman" w:hAnsi="Times New Roman" w:eastAsia="宋体" w:cs="Times New Roman"/>
          <w:b/>
          <w:color w:val="auto"/>
          <w:sz w:val="21"/>
          <w:lang w:val="en-US" w:eastAsia="zh-CN"/>
        </w:rPr>
        <w:t>表3.6-4 各人工林样方植物调查结果（10m*10m）</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1"/>
        <w:gridCol w:w="2131"/>
        <w:gridCol w:w="2131"/>
        <w:gridCol w:w="21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样方点位</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位点1</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位点3</w:t>
            </w:r>
          </w:p>
        </w:tc>
        <w:tc>
          <w:tcPr>
            <w:tcW w:w="124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林型</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人工林</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人工林</w:t>
            </w:r>
          </w:p>
        </w:tc>
        <w:tc>
          <w:tcPr>
            <w:tcW w:w="124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人工林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种类</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小叶杨</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小叶杨</w:t>
            </w:r>
          </w:p>
        </w:tc>
        <w:tc>
          <w:tcPr>
            <w:tcW w:w="124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小叶杨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优势种</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小叶杨</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小叶杨</w:t>
            </w:r>
          </w:p>
        </w:tc>
        <w:tc>
          <w:tcPr>
            <w:tcW w:w="124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小叶杨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总密度（株·ha-1）</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924</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1100</w:t>
            </w:r>
          </w:p>
        </w:tc>
        <w:tc>
          <w:tcPr>
            <w:tcW w:w="124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平均高度（</w:t>
            </w: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13.5</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13.2</w:t>
            </w:r>
          </w:p>
        </w:tc>
        <w:tc>
          <w:tcPr>
            <w:tcW w:w="124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平均胸径（c</w:t>
            </w: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26</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23.5</w:t>
            </w:r>
          </w:p>
        </w:tc>
        <w:tc>
          <w:tcPr>
            <w:tcW w:w="124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郁闭度（%）</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28</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26.5</w:t>
            </w:r>
          </w:p>
        </w:tc>
        <w:tc>
          <w:tcPr>
            <w:tcW w:w="124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生物量(kg·</w:t>
            </w:r>
            <w:r>
              <w:rPr>
                <w:rFonts w:hint="eastAsia" w:ascii="Times New Roman" w:hAnsi="Times New Roman" w:cs="Times New Roman"/>
                <w:color w:val="auto"/>
                <w:sz w:val="21"/>
                <w:shd w:val="clear" w:color="auto" w:fill="auto"/>
                <w:vertAlign w:val="baseline"/>
                <w:lang w:eastAsia="zh-CN"/>
              </w:rPr>
              <w:t>m</w:t>
            </w:r>
            <w:r>
              <w:rPr>
                <w:rFonts w:hint="eastAsia" w:ascii="Times New Roman" w:hAnsi="Times New Roman" w:cs="Times New Roman"/>
                <w:color w:val="auto"/>
                <w:sz w:val="21"/>
                <w:shd w:val="clear" w:color="auto" w:fill="auto"/>
                <w:vertAlign w:val="superscript"/>
                <w:lang w:eastAsia="zh-CN"/>
              </w:rPr>
              <w:t>-2</w:t>
            </w:r>
            <w:r>
              <w:rPr>
                <w:rFonts w:hint="eastAsia" w:ascii="Times New Roman" w:hAnsi="Times New Roman" w:cs="Times New Roman"/>
                <w:color w:val="auto"/>
                <w:sz w:val="21"/>
                <w:shd w:val="clear" w:color="auto" w:fill="auto"/>
              </w:rPr>
              <w:t>)</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185</w:t>
            </w:r>
          </w:p>
        </w:tc>
        <w:tc>
          <w:tcPr>
            <w:tcW w:w="12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181</w:t>
            </w:r>
          </w:p>
        </w:tc>
        <w:tc>
          <w:tcPr>
            <w:tcW w:w="124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192</w:t>
            </w:r>
          </w:p>
        </w:tc>
      </w:tr>
    </w:tbl>
    <w:p>
      <w:pPr>
        <w:bidi w:val="0"/>
        <w:rPr>
          <w:rFonts w:hint="eastAsia"/>
        </w:rPr>
      </w:pPr>
      <w:r>
        <w:rPr>
          <w:rFonts w:hint="eastAsia"/>
        </w:rPr>
        <w:t>由表</w:t>
      </w:r>
      <w:r>
        <w:rPr>
          <w:rFonts w:hint="eastAsia"/>
          <w:lang w:val="en-US" w:eastAsia="zh-CN"/>
        </w:rPr>
        <w:t>3.6</w:t>
      </w:r>
      <w:r>
        <w:rPr>
          <w:rFonts w:hint="eastAsia"/>
        </w:rPr>
        <w:t>-</w:t>
      </w:r>
      <w:r>
        <w:rPr>
          <w:rFonts w:hint="eastAsia"/>
          <w:lang w:val="en-US" w:eastAsia="zh-CN"/>
        </w:rPr>
        <w:t>4</w:t>
      </w:r>
      <w:r>
        <w:rPr>
          <w:rFonts w:hint="eastAsia"/>
        </w:rPr>
        <w:t>可知，沙颍河沿岸乔木主要为分布在沿河大堤两侧人工栽种的小叶杨；所调查样方内小叶杨平均高度在10-17</w:t>
      </w:r>
      <w:r>
        <w:rPr>
          <w:rFonts w:hint="eastAsia"/>
          <w:lang w:eastAsia="zh-CN"/>
        </w:rPr>
        <w:t>m</w:t>
      </w:r>
      <w:r>
        <w:rPr>
          <w:rFonts w:hint="eastAsia"/>
        </w:rPr>
        <w:t>，胸径在19-35c</w:t>
      </w:r>
      <w:r>
        <w:rPr>
          <w:rFonts w:hint="eastAsia"/>
          <w:lang w:eastAsia="zh-CN"/>
        </w:rPr>
        <w:t>m</w:t>
      </w:r>
      <w:r>
        <w:rPr>
          <w:rFonts w:hint="eastAsia"/>
        </w:rPr>
        <w:t>之间不等，群落郁闭度均在20%至35%之间。虽然栽种时间和植株大小有差异，由于栽种较为均匀，样方密度在900~1300</w:t>
      </w:r>
      <w:r>
        <w:t>株·ha</w:t>
      </w:r>
      <w:r>
        <w:rPr>
          <w:rFonts w:hint="eastAsia"/>
        </w:rPr>
        <w:t>-1，样方生物量220.2</w:t>
      </w:r>
      <w:r>
        <w:t xml:space="preserve"> kg·</w:t>
      </w:r>
      <w:r>
        <w:rPr>
          <w:rFonts w:hint="eastAsia"/>
          <w:vertAlign w:val="baseline"/>
          <w:lang w:eastAsia="zh-CN"/>
        </w:rPr>
        <w:t>m</w:t>
      </w:r>
      <w:r>
        <w:rPr>
          <w:rFonts w:hint="eastAsia"/>
          <w:vertAlign w:val="superscript"/>
          <w:lang w:eastAsia="zh-CN"/>
        </w:rPr>
        <w:t>-2</w:t>
      </w:r>
      <w:r>
        <w:rPr>
          <w:rFonts w:hint="eastAsia"/>
        </w:rPr>
        <w:t>至155.0</w:t>
      </w:r>
      <w:r>
        <w:t>kg·</w:t>
      </w:r>
      <w:r>
        <w:rPr>
          <w:rFonts w:hint="eastAsia"/>
          <w:vertAlign w:val="baseline"/>
          <w:lang w:eastAsia="zh-CN"/>
        </w:rPr>
        <w:t>m</w:t>
      </w:r>
      <w:r>
        <w:rPr>
          <w:rFonts w:hint="eastAsia"/>
          <w:vertAlign w:val="superscript"/>
          <w:lang w:eastAsia="zh-CN"/>
        </w:rPr>
        <w:t>-2</w:t>
      </w:r>
      <w:r>
        <w:rPr>
          <w:rFonts w:hint="eastAsia"/>
        </w:rPr>
        <w:t>。</w:t>
      </w:r>
    </w:p>
    <w:p>
      <w:pPr>
        <w:pStyle w:val="6"/>
        <w:bidi w:val="0"/>
        <w:rPr>
          <w:rFonts w:hint="eastAsia"/>
        </w:rPr>
      </w:pPr>
      <w:r>
        <w:rPr>
          <w:rFonts w:hint="eastAsia"/>
          <w:lang w:val="en-US" w:eastAsia="zh-CN"/>
        </w:rPr>
        <w:t>3.6.2.3</w:t>
      </w:r>
      <w:r>
        <w:rPr>
          <w:rFonts w:hint="eastAsia"/>
        </w:rPr>
        <w:t>野生动物</w:t>
      </w:r>
    </w:p>
    <w:p>
      <w:pPr>
        <w:bidi w:val="0"/>
      </w:pPr>
      <w:bookmarkStart w:id="260" w:name="_Toc233017632"/>
      <w:bookmarkStart w:id="261" w:name="_Toc32480"/>
      <w:r>
        <w:rPr>
          <w:rFonts w:hint="eastAsia"/>
        </w:rPr>
        <w:t>（1）</w:t>
      </w:r>
      <w:r>
        <w:t>两栖爬行动物</w:t>
      </w:r>
      <w:bookmarkEnd w:id="260"/>
      <w:bookmarkEnd w:id="261"/>
    </w:p>
    <w:p>
      <w:pPr>
        <w:bidi w:val="0"/>
      </w:pPr>
      <w:bookmarkStart w:id="262" w:name="_Toc233017633"/>
      <w:bookmarkStart w:id="263" w:name="_Toc23231"/>
      <w:r>
        <w:rPr>
          <w:rFonts w:hint="eastAsia"/>
        </w:rPr>
        <w:t>①</w:t>
      </w:r>
      <w:r>
        <w:t>种类组成</w:t>
      </w:r>
      <w:bookmarkEnd w:id="262"/>
      <w:bookmarkEnd w:id="263"/>
    </w:p>
    <w:p>
      <w:pPr>
        <w:bidi w:val="0"/>
        <w:rPr>
          <w:rFonts w:hint="eastAsia"/>
        </w:rPr>
      </w:pPr>
      <w:r>
        <w:t>沙颍河周边初步统计共有两栖、爬行动物7科16种，其中两栖纲动物2科7种，爬行纲动物5科9种。其中，省Ⅱ级重点保护野生动物</w:t>
      </w:r>
      <w:r>
        <w:rPr>
          <w:rFonts w:hint="eastAsia"/>
        </w:rPr>
        <w:t>有</w:t>
      </w:r>
      <w:r>
        <w:t>：花背蟾蜍（Bufo raddei）</w:t>
      </w:r>
      <w:r>
        <w:rPr>
          <w:rFonts w:hint="eastAsia"/>
        </w:rPr>
        <w:t>，</w:t>
      </w:r>
      <w:r>
        <w:t>中华蟾蜍（Bufo gararizans），乌龟(Chine</w:t>
      </w:r>
      <w:r>
        <w:rPr>
          <w:rFonts w:hint="eastAsia"/>
          <w:lang w:eastAsia="zh-CN"/>
        </w:rPr>
        <w:t>m</w:t>
      </w:r>
      <w:r>
        <w:t>ys reevesii)， 黑眉锦蛇(Elaphe taeniura)</w:t>
      </w:r>
      <w:r>
        <w:rPr>
          <w:rFonts w:hint="eastAsia"/>
        </w:rPr>
        <w:t>，</w:t>
      </w:r>
      <w:r>
        <w:t>乌梢蛇（Zaicts dhu</w:t>
      </w:r>
      <w:r>
        <w:rPr>
          <w:rFonts w:hint="eastAsia"/>
          <w:lang w:eastAsia="zh-CN"/>
        </w:rPr>
        <w:t>m</w:t>
      </w:r>
      <w:r>
        <w:t>nades）</w:t>
      </w:r>
      <w:r>
        <w:rPr>
          <w:rFonts w:hint="eastAsia"/>
        </w:rPr>
        <w:t>，</w:t>
      </w:r>
      <w:r>
        <w:t>金线蛙</w:t>
      </w:r>
      <w:r>
        <w:rPr>
          <w:rFonts w:hint="eastAsia"/>
        </w:rPr>
        <w:t>（</w:t>
      </w:r>
      <w:r>
        <w:t>Rana plancyi</w:t>
      </w:r>
      <w:r>
        <w:rPr>
          <w:rFonts w:hint="eastAsia"/>
        </w:rPr>
        <w:t>）等。</w:t>
      </w:r>
    </w:p>
    <w:p>
      <w:pPr>
        <w:bidi w:val="0"/>
        <w:rPr>
          <w:rFonts w:hint="eastAsia"/>
        </w:rPr>
      </w:pPr>
      <w:r>
        <w:rPr>
          <w:rFonts w:hint="eastAsia"/>
        </w:rPr>
        <w:t>②</w:t>
      </w:r>
      <w:bookmarkStart w:id="264" w:name="_Toc233017634"/>
      <w:bookmarkStart w:id="265" w:name="_Toc22173"/>
      <w:r>
        <w:rPr>
          <w:rFonts w:hint="eastAsia"/>
        </w:rPr>
        <w:t>生态分布</w:t>
      </w:r>
      <w:bookmarkEnd w:id="264"/>
      <w:bookmarkEnd w:id="265"/>
    </w:p>
    <w:p>
      <w:pPr>
        <w:bidi w:val="0"/>
        <w:rPr>
          <w:rFonts w:hint="eastAsia"/>
        </w:rPr>
      </w:pPr>
      <w:r>
        <w:t>两栖动物是一类水陆兼栖生活的变温动物，主要分布在近水草滩、沟河附近和一些湿生群落。爬行动物在湿地分布生境各异，龟、鳖科主要栖息于水流、池塘、河沟，其他各科分布在村落、农田、河滩等地，较两栖动物</w:t>
      </w:r>
      <w:r>
        <w:rPr>
          <w:rFonts w:hint="eastAsia"/>
        </w:rPr>
        <w:t>分布更</w:t>
      </w:r>
      <w:r>
        <w:t>广。</w:t>
      </w:r>
    </w:p>
    <w:p>
      <w:pPr>
        <w:bidi w:val="0"/>
      </w:pPr>
      <w:r>
        <w:rPr>
          <w:rFonts w:hint="eastAsia"/>
        </w:rPr>
        <w:t>③</w:t>
      </w:r>
      <w:r>
        <w:t>区系组成</w:t>
      </w:r>
    </w:p>
    <w:p>
      <w:pPr>
        <w:bidi w:val="0"/>
        <w:rPr>
          <w:rFonts w:hint="eastAsia"/>
        </w:rPr>
      </w:pPr>
      <w:r>
        <w:t>本区域分布的16种两栖、爬行动物以广布种居多</w:t>
      </w:r>
      <w:r>
        <w:rPr>
          <w:rFonts w:hint="eastAsia"/>
        </w:rPr>
        <w:t>（</w:t>
      </w:r>
      <w:r>
        <w:t>8种</w:t>
      </w:r>
      <w:r>
        <w:rPr>
          <w:rFonts w:hint="eastAsia"/>
        </w:rPr>
        <w:t>），</w:t>
      </w:r>
      <w:r>
        <w:t>其次为古北种（5种）、东洋种（3种）；两栖动物7种中广布种3种，古北、东洋种各2种；爬行动物共9种，广布种5种，古北种3种，东洋种1种。</w:t>
      </w:r>
    </w:p>
    <w:p>
      <w:pPr>
        <w:bidi w:val="0"/>
        <w:rPr>
          <w:rFonts w:hint="eastAsia"/>
        </w:rPr>
      </w:pPr>
      <w:r>
        <w:rPr>
          <w:rFonts w:hint="eastAsia"/>
        </w:rPr>
        <w:t>从</w:t>
      </w:r>
      <w:r>
        <w:t>两栖、爬行动物</w:t>
      </w:r>
      <w:r>
        <w:rPr>
          <w:rFonts w:hint="eastAsia"/>
        </w:rPr>
        <w:t>附录可以看出，两栖动物、爬行动物均以广布种占优势，物种数量在半数左右；而在整个区系分布中可以亦可以看出，东洋种物种数量最少，仅占总物种数的18.75</w:t>
      </w:r>
      <w:r>
        <w:t>%</w:t>
      </w:r>
      <w:r>
        <w:rPr>
          <w:rFonts w:hint="eastAsia"/>
        </w:rPr>
        <w:t>，在两栖、爬行两类动物类群中，物种也最少，分别占28.57</w:t>
      </w:r>
      <w:r>
        <w:t>%</w:t>
      </w:r>
      <w:r>
        <w:rPr>
          <w:rFonts w:hint="eastAsia"/>
        </w:rPr>
        <w:t>和11.11</w:t>
      </w:r>
      <w:r>
        <w:t>%</w:t>
      </w:r>
      <w:r>
        <w:rPr>
          <w:rFonts w:hint="eastAsia"/>
        </w:rPr>
        <w:t>。</w:t>
      </w:r>
    </w:p>
    <w:p>
      <w:pPr>
        <w:bidi w:val="0"/>
      </w:pPr>
      <w:bookmarkStart w:id="266" w:name="_Toc233017636"/>
      <w:bookmarkStart w:id="267" w:name="_Toc21111"/>
      <w:r>
        <w:rPr>
          <w:rFonts w:hint="eastAsia"/>
        </w:rPr>
        <w:t>（2）</w:t>
      </w:r>
      <w:r>
        <w:t>鸟类</w:t>
      </w:r>
      <w:bookmarkEnd w:id="266"/>
      <w:bookmarkEnd w:id="267"/>
    </w:p>
    <w:p>
      <w:pPr>
        <w:bidi w:val="0"/>
        <w:rPr>
          <w:rFonts w:hint="eastAsia"/>
        </w:rPr>
      </w:pPr>
      <w:bookmarkStart w:id="268" w:name="_Toc233017637"/>
      <w:bookmarkStart w:id="269" w:name="_Toc20"/>
      <w:r>
        <w:rPr>
          <w:rFonts w:hint="eastAsia"/>
        </w:rPr>
        <w:t>1）</w:t>
      </w:r>
      <w:r>
        <w:t>鸟类组成</w:t>
      </w:r>
      <w:bookmarkEnd w:id="268"/>
      <w:bookmarkEnd w:id="269"/>
    </w:p>
    <w:p>
      <w:pPr>
        <w:bidi w:val="0"/>
        <w:rPr>
          <w:rFonts w:hint="eastAsia"/>
        </w:rPr>
      </w:pPr>
      <w:r>
        <w:t>根据</w:t>
      </w:r>
      <w:r>
        <w:rPr>
          <w:rFonts w:hint="eastAsia"/>
        </w:rPr>
        <w:t>本次调查，结合</w:t>
      </w:r>
      <w:r>
        <w:t>查阅历史</w:t>
      </w:r>
      <w:r>
        <w:rPr>
          <w:rFonts w:hint="eastAsia"/>
        </w:rPr>
        <w:t>文献</w:t>
      </w:r>
      <w:r>
        <w:t>资料，</w:t>
      </w:r>
      <w:r>
        <w:rPr>
          <w:rFonts w:hint="eastAsia"/>
        </w:rPr>
        <w:t>沙颍河（安徽段）航道整治工程周边区域</w:t>
      </w:r>
      <w:r>
        <w:t>可能分布的鸟类共有1</w:t>
      </w:r>
      <w:r>
        <w:rPr>
          <w:rFonts w:hint="eastAsia"/>
        </w:rPr>
        <w:t>4</w:t>
      </w:r>
      <w:r>
        <w:t>目3</w:t>
      </w:r>
      <w:r>
        <w:rPr>
          <w:rFonts w:hint="eastAsia"/>
        </w:rPr>
        <w:t>2</w:t>
      </w:r>
      <w:r>
        <w:t>科8</w:t>
      </w:r>
      <w:r>
        <w:rPr>
          <w:rFonts w:hint="eastAsia"/>
        </w:rPr>
        <w:t>2</w:t>
      </w:r>
      <w:r>
        <w:t>种（</w:t>
      </w:r>
      <w:r>
        <w:rPr>
          <w:rFonts w:hint="eastAsia"/>
        </w:rPr>
        <w:t>附表4</w:t>
      </w:r>
      <w:r>
        <w:t>），其中以雀形目鸟类居多，占1</w:t>
      </w:r>
      <w:r>
        <w:rPr>
          <w:rFonts w:hint="eastAsia"/>
        </w:rPr>
        <w:t>4</w:t>
      </w:r>
      <w:r>
        <w:t>科</w:t>
      </w:r>
      <w:r>
        <w:rPr>
          <w:rFonts w:hint="eastAsia"/>
        </w:rPr>
        <w:t>43</w:t>
      </w:r>
      <w:r>
        <w:t>种。</w:t>
      </w:r>
    </w:p>
    <w:p>
      <w:pPr>
        <w:bidi w:val="0"/>
        <w:rPr>
          <w:rFonts w:hint="eastAsia"/>
        </w:rPr>
      </w:pPr>
      <w:r>
        <w:t>我们实地调查获得的鸟类资源共有</w:t>
      </w:r>
      <w:r>
        <w:rPr>
          <w:rFonts w:hint="eastAsia"/>
        </w:rPr>
        <w:t>10</w:t>
      </w:r>
      <w:r>
        <w:t>目</w:t>
      </w:r>
      <w:r>
        <w:rPr>
          <w:rFonts w:hint="eastAsia"/>
        </w:rPr>
        <w:t>21</w:t>
      </w:r>
      <w:r>
        <w:t>科</w:t>
      </w:r>
      <w:r>
        <w:rPr>
          <w:rFonts w:hint="eastAsia"/>
        </w:rPr>
        <w:t>31</w:t>
      </w:r>
      <w:r>
        <w:t>种（</w:t>
      </w:r>
      <w:r>
        <w:rPr>
          <w:rFonts w:hint="eastAsia"/>
        </w:rPr>
        <w:t>附表3</w:t>
      </w:r>
      <w:r>
        <w:t>）。调查到的</w:t>
      </w:r>
      <w:r>
        <w:rPr>
          <w:rFonts w:hint="eastAsia"/>
        </w:rPr>
        <w:t>全部</w:t>
      </w:r>
      <w:r>
        <w:t>鸟类中，以雀形目最多，共1</w:t>
      </w:r>
      <w:r>
        <w:rPr>
          <w:rFonts w:hint="eastAsia"/>
        </w:rPr>
        <w:t>1</w:t>
      </w:r>
      <w:r>
        <w:t>科</w:t>
      </w:r>
      <w:r>
        <w:rPr>
          <w:rFonts w:hint="eastAsia"/>
        </w:rPr>
        <w:t>17</w:t>
      </w:r>
      <w:r>
        <w:t>种，占调查鸟种总数的</w:t>
      </w:r>
      <w:r>
        <w:rPr>
          <w:rFonts w:hint="eastAsia"/>
        </w:rPr>
        <w:t>54.84</w:t>
      </w:r>
      <w:r>
        <w:t>%。各目鸟类组成由多至少依次为：雀形目（1</w:t>
      </w:r>
      <w:r>
        <w:rPr>
          <w:rFonts w:hint="eastAsia"/>
        </w:rPr>
        <w:t>1</w:t>
      </w:r>
      <w:r>
        <w:t>科</w:t>
      </w:r>
      <w:r>
        <w:rPr>
          <w:rFonts w:hint="eastAsia"/>
        </w:rPr>
        <w:t>17</w:t>
      </w:r>
      <w:r>
        <w:t>种），鸻形目（2科3种），</w:t>
      </w:r>
      <w:r>
        <w:rPr>
          <w:rFonts w:hint="eastAsia"/>
        </w:rPr>
        <w:t>佛法僧</w:t>
      </w:r>
      <w:r>
        <w:t>目（1科</w:t>
      </w:r>
      <w:r>
        <w:rPr>
          <w:rFonts w:hint="eastAsia"/>
        </w:rPr>
        <w:t>2</w:t>
      </w:r>
      <w:r>
        <w:t>种），鸽形目、</w:t>
      </w:r>
      <w:r>
        <w:rPr>
          <w:rFonts w:hint="eastAsia"/>
        </w:rPr>
        <w:t>隼形目和鸡形目</w:t>
      </w:r>
      <w:r>
        <w:t>（</w:t>
      </w:r>
      <w:r>
        <w:rPr>
          <w:rFonts w:hint="eastAsia"/>
        </w:rPr>
        <w:t>1</w:t>
      </w:r>
      <w:r>
        <w:t>科2种），鸊目、鹳形目、鸡形目、形目均为1科1种。与资料收集可能有分布的鸟类资源相比</w:t>
      </w:r>
      <w:r>
        <w:rPr>
          <w:rFonts w:hint="eastAsia"/>
        </w:rPr>
        <w:t>，</w:t>
      </w:r>
      <w:r>
        <w:t>本次调查中三趾鹑目、鸥形目、鹃形目、</w:t>
      </w:r>
      <w:r>
        <w:rPr>
          <w:rFonts w:hint="eastAsia"/>
        </w:rPr>
        <w:t>雁行目</w:t>
      </w:r>
      <w:r>
        <w:t>及鸮形目鸟类没有记录</w:t>
      </w:r>
      <w:r>
        <w:rPr>
          <w:rFonts w:hint="eastAsia"/>
        </w:rPr>
        <w:t>。</w:t>
      </w:r>
    </w:p>
    <w:p>
      <w:pPr>
        <w:bidi w:val="0"/>
        <w:rPr>
          <w:rFonts w:hint="eastAsia"/>
        </w:rPr>
      </w:pPr>
      <w:r>
        <w:t>本次调查到的鸟类资源中，目数占该地区可能有分布的</w:t>
      </w:r>
      <w:r>
        <w:rPr>
          <w:rFonts w:hint="eastAsia"/>
        </w:rPr>
        <w:t>69.23</w:t>
      </w:r>
      <w:r>
        <w:t>%，科占</w:t>
      </w:r>
      <w:r>
        <w:rPr>
          <w:rFonts w:hint="eastAsia"/>
        </w:rPr>
        <w:t>66.67</w:t>
      </w:r>
      <w:r>
        <w:t>%，种数只占</w:t>
      </w:r>
      <w:r>
        <w:rPr>
          <w:rFonts w:hint="eastAsia"/>
        </w:rPr>
        <w:t>39.50</w:t>
      </w:r>
      <w:r>
        <w:t>%</w:t>
      </w:r>
      <w:r>
        <w:rPr>
          <w:rFonts w:hint="eastAsia"/>
        </w:rPr>
        <w:t>；与历史资料相差较大，这主要是因为调查季节为冬季，该区域鸟类以冬候鸟和留鸟为主，而且调查区域正在施工等因素导致种类和数量较少。</w:t>
      </w:r>
    </w:p>
    <w:p>
      <w:pPr>
        <w:bidi w:val="0"/>
        <w:rPr>
          <w:rFonts w:hint="eastAsia"/>
        </w:rPr>
      </w:pPr>
      <w:r>
        <w:rPr>
          <w:rFonts w:hint="eastAsia"/>
        </w:rPr>
        <w:t>2）</w:t>
      </w:r>
      <w:r>
        <w:t>鸟类资源的居留型及区系特征</w:t>
      </w:r>
    </w:p>
    <w:p>
      <w:pPr>
        <w:bidi w:val="0"/>
        <w:rPr>
          <w:rFonts w:hint="eastAsia"/>
        </w:rPr>
      </w:pPr>
      <w:r>
        <w:t>调查获得的3</w:t>
      </w:r>
      <w:r>
        <w:rPr>
          <w:rFonts w:hint="eastAsia"/>
        </w:rPr>
        <w:t>1</w:t>
      </w:r>
      <w:r>
        <w:t>种鸟类中，主要以留鸟和冬候鸟为主，分别占鸟种总数的</w:t>
      </w:r>
      <w:r>
        <w:rPr>
          <w:rFonts w:hint="eastAsia"/>
        </w:rPr>
        <w:t>78</w:t>
      </w:r>
      <w:r>
        <w:t>.</w:t>
      </w:r>
      <w:r>
        <w:rPr>
          <w:rFonts w:hint="eastAsia"/>
        </w:rPr>
        <w:t>97</w:t>
      </w:r>
      <w:r>
        <w:t>%和</w:t>
      </w:r>
      <w:r>
        <w:rPr>
          <w:rFonts w:hint="eastAsia"/>
        </w:rPr>
        <w:t>29.03.89</w:t>
      </w:r>
      <w:r>
        <w:t>%</w:t>
      </w:r>
      <w:r>
        <w:rPr>
          <w:rFonts w:hint="eastAsia"/>
        </w:rPr>
        <w:t>；</w:t>
      </w:r>
      <w:r>
        <w:t>综合分析各居留型鸟类，可以发现调查到的留鸟种数占资料分布</w:t>
      </w:r>
      <w:r>
        <w:rPr>
          <w:rFonts w:hint="eastAsia"/>
        </w:rPr>
        <w:t>留鸟种</w:t>
      </w:r>
      <w:r>
        <w:t>类</w:t>
      </w:r>
      <w:r>
        <w:rPr>
          <w:rFonts w:hint="eastAsia"/>
        </w:rPr>
        <w:t>的68. 75</w:t>
      </w:r>
      <w:r>
        <w:t>%，</w:t>
      </w:r>
      <w:r>
        <w:rPr>
          <w:rFonts w:hint="eastAsia"/>
        </w:rPr>
        <w:t>冬候鸟</w:t>
      </w:r>
      <w:r>
        <w:t>为</w:t>
      </w:r>
      <w:r>
        <w:rPr>
          <w:rFonts w:hint="eastAsia"/>
        </w:rPr>
        <w:t>31.03</w:t>
      </w:r>
      <w:r>
        <w:t>%。</w:t>
      </w:r>
    </w:p>
    <w:p>
      <w:pPr>
        <w:bidi w:val="0"/>
        <w:rPr>
          <w:rFonts w:hint="eastAsia"/>
        </w:rPr>
      </w:pPr>
      <w:bookmarkStart w:id="270" w:name="_Toc12199"/>
      <w:bookmarkStart w:id="271" w:name="_Toc233017638"/>
      <w:r>
        <w:rPr>
          <w:rFonts w:hint="eastAsia"/>
        </w:rPr>
        <w:t>3）</w:t>
      </w:r>
      <w:r>
        <w:t>鸟类</w:t>
      </w:r>
      <w:bookmarkEnd w:id="270"/>
      <w:bookmarkEnd w:id="271"/>
      <w:r>
        <w:rPr>
          <w:rFonts w:hint="eastAsia"/>
        </w:rPr>
        <w:t>生态分布及密度</w:t>
      </w:r>
    </w:p>
    <w:p>
      <w:pPr>
        <w:bidi w:val="0"/>
      </w:pPr>
      <w:r>
        <w:t>根据调查到3</w:t>
      </w:r>
      <w:r>
        <w:rPr>
          <w:rFonts w:hint="eastAsia"/>
        </w:rPr>
        <w:t>1</w:t>
      </w:r>
      <w:r>
        <w:t>种鸟类活动区域的环境特征，</w:t>
      </w:r>
      <w:r>
        <w:rPr>
          <w:rFonts w:hint="eastAsia"/>
        </w:rPr>
        <w:t>沙颍河（安徽段）</w:t>
      </w:r>
      <w:r>
        <w:t>鸟类在</w:t>
      </w:r>
      <w:r>
        <w:rPr>
          <w:rFonts w:hint="eastAsia"/>
        </w:rPr>
        <w:t>6</w:t>
      </w:r>
      <w:r>
        <w:t>种生境类型中的</w:t>
      </w:r>
      <w:r>
        <w:rPr>
          <w:rFonts w:hint="eastAsia"/>
        </w:rPr>
        <w:t>分布</w:t>
      </w:r>
      <w:r>
        <w:t>情况如下：</w:t>
      </w:r>
    </w:p>
    <w:p>
      <w:pPr>
        <w:bidi w:val="0"/>
      </w:pPr>
      <w:r>
        <w:t>村落：由</w:t>
      </w:r>
      <w:r>
        <w:rPr>
          <w:rFonts w:hint="eastAsia"/>
        </w:rPr>
        <w:t>2</w:t>
      </w:r>
      <w:r>
        <w:t>目1</w:t>
      </w:r>
      <w:r>
        <w:rPr>
          <w:rFonts w:hint="eastAsia"/>
        </w:rPr>
        <w:t>0</w:t>
      </w:r>
      <w:r>
        <w:t>科1</w:t>
      </w:r>
      <w:r>
        <w:rPr>
          <w:rFonts w:hint="eastAsia"/>
        </w:rPr>
        <w:t>3</w:t>
      </w:r>
      <w:r>
        <w:t>种组成，优势种为麻雀（Passer do</w:t>
      </w:r>
      <w:r>
        <w:rPr>
          <w:rFonts w:hint="eastAsia"/>
          <w:lang w:eastAsia="zh-CN"/>
        </w:rPr>
        <w:t>m</w:t>
      </w:r>
      <w:r>
        <w:t>esticus）、灰椋鸟（Sturnus cineraceus）</w:t>
      </w:r>
      <w:r>
        <w:rPr>
          <w:rFonts w:hint="eastAsia"/>
        </w:rPr>
        <w:t>和喜鹊（</w:t>
      </w:r>
      <w:r>
        <w:t>Pica pica</w:t>
      </w:r>
      <w:r>
        <w:rPr>
          <w:rFonts w:hint="eastAsia"/>
        </w:rPr>
        <w:t xml:space="preserve"> ）</w:t>
      </w:r>
      <w:r>
        <w:t>。</w:t>
      </w:r>
    </w:p>
    <w:p>
      <w:pPr>
        <w:bidi w:val="0"/>
      </w:pPr>
      <w:r>
        <w:t>农田：由</w:t>
      </w:r>
      <w:r>
        <w:rPr>
          <w:rFonts w:hint="eastAsia"/>
        </w:rPr>
        <w:t>3</w:t>
      </w:r>
      <w:r>
        <w:t>目1</w:t>
      </w:r>
      <w:r>
        <w:rPr>
          <w:rFonts w:hint="eastAsia"/>
        </w:rPr>
        <w:t>2</w:t>
      </w:r>
      <w:r>
        <w:t>科1</w:t>
      </w:r>
      <w:r>
        <w:rPr>
          <w:rFonts w:hint="eastAsia"/>
        </w:rPr>
        <w:t>5</w:t>
      </w:r>
      <w:r>
        <w:t>种组成，优势种为麻雀、灰椋鸟。</w:t>
      </w:r>
    </w:p>
    <w:p>
      <w:pPr>
        <w:bidi w:val="0"/>
      </w:pPr>
      <w:r>
        <w:t>人工林：由</w:t>
      </w:r>
      <w:r>
        <w:rPr>
          <w:rFonts w:hint="eastAsia"/>
        </w:rPr>
        <w:t>4</w:t>
      </w:r>
      <w:r>
        <w:t>目13科18种组成，优势种同样为麻雀、灰椋鸟和</w:t>
      </w:r>
      <w:r>
        <w:rPr>
          <w:rFonts w:hint="eastAsia"/>
        </w:rPr>
        <w:t>喜鹊</w:t>
      </w:r>
      <w:r>
        <w:t>。</w:t>
      </w:r>
    </w:p>
    <w:p>
      <w:pPr>
        <w:bidi w:val="0"/>
      </w:pPr>
      <w:r>
        <w:t>草滩：由</w:t>
      </w:r>
      <w:r>
        <w:rPr>
          <w:rFonts w:hint="eastAsia"/>
        </w:rPr>
        <w:t>4</w:t>
      </w:r>
      <w:r>
        <w:t>目</w:t>
      </w:r>
      <w:r>
        <w:rPr>
          <w:rFonts w:hint="eastAsia"/>
        </w:rPr>
        <w:t>9</w:t>
      </w:r>
      <w:r>
        <w:t>科20种组成，优势种亦为麻雀、灰椋鸟和</w:t>
      </w:r>
      <w:r>
        <w:rPr>
          <w:rFonts w:hint="eastAsia"/>
        </w:rPr>
        <w:t>喜鹊</w:t>
      </w:r>
      <w:r>
        <w:t>。</w:t>
      </w:r>
    </w:p>
    <w:p>
      <w:pPr>
        <w:bidi w:val="0"/>
        <w:rPr>
          <w:rFonts w:hint="eastAsia"/>
        </w:rPr>
      </w:pPr>
      <w:r>
        <w:rPr>
          <w:rFonts w:hint="eastAsia"/>
        </w:rPr>
        <w:t>河道</w:t>
      </w:r>
      <w:r>
        <w:t>：由</w:t>
      </w:r>
      <w:r>
        <w:rPr>
          <w:rFonts w:hint="eastAsia"/>
        </w:rPr>
        <w:t>6</w:t>
      </w:r>
      <w:r>
        <w:t>目</w:t>
      </w:r>
      <w:r>
        <w:rPr>
          <w:rFonts w:hint="eastAsia"/>
        </w:rPr>
        <w:t>6</w:t>
      </w:r>
      <w:r>
        <w:t>科</w:t>
      </w:r>
      <w:r>
        <w:rPr>
          <w:rFonts w:hint="eastAsia"/>
        </w:rPr>
        <w:t>7</w:t>
      </w:r>
      <w:r>
        <w:t>种组成，优势种为小（Tachybaptus ruficollis）。</w:t>
      </w:r>
    </w:p>
    <w:p>
      <w:pPr>
        <w:bidi w:val="0"/>
        <w:rPr>
          <w:rFonts w:hint="eastAsia"/>
        </w:rPr>
      </w:pPr>
      <w:r>
        <w:rPr>
          <w:rFonts w:hint="eastAsia"/>
        </w:rPr>
        <w:t>水塘：由4目5科5种组成，优势种为</w:t>
      </w:r>
      <w:r>
        <w:t>小</w:t>
      </w:r>
      <w:r>
        <w:rPr>
          <w:rFonts w:hint="eastAsia"/>
        </w:rPr>
        <w:t>和黑水鸡（</w:t>
      </w:r>
      <w:r>
        <w:t xml:space="preserve">Gallinula chloropus </w:t>
      </w:r>
      <w:r>
        <w:rPr>
          <w:rFonts w:hint="eastAsia"/>
        </w:rPr>
        <w:t>）。</w:t>
      </w:r>
    </w:p>
    <w:p>
      <w:pPr>
        <w:bidi w:val="0"/>
        <w:rPr>
          <w:rFonts w:hint="eastAsia"/>
        </w:rPr>
      </w:pPr>
      <w:r>
        <w:t>由五种生境类型鸟类群落的物种多样性（表</w:t>
      </w:r>
      <w:r>
        <w:rPr>
          <w:rFonts w:hint="eastAsia"/>
        </w:rPr>
        <w:t>4</w:t>
      </w:r>
      <w:r>
        <w:t>-</w:t>
      </w:r>
      <w:r>
        <w:rPr>
          <w:rFonts w:hint="eastAsia"/>
        </w:rPr>
        <w:t>6</w:t>
      </w:r>
      <w:r>
        <w:t>），草滩鸟类物种多样性最高（3.2922），其次为人工林&gt;农田&gt;村落&gt;</w:t>
      </w:r>
      <w:r>
        <w:rPr>
          <w:rFonts w:hint="eastAsia"/>
        </w:rPr>
        <w:t>河道</w:t>
      </w:r>
      <w:r>
        <w:t>&gt;</w:t>
      </w:r>
      <w:r>
        <w:rPr>
          <w:rFonts w:hint="eastAsia"/>
        </w:rPr>
        <w:t>水塘。沙颍河（安徽段）沿岸</w:t>
      </w:r>
      <w:r>
        <w:t>分布的草滩为该区域鸟类提供了较为有利的栖息场所，</w:t>
      </w:r>
      <w:r>
        <w:rPr>
          <w:rFonts w:hint="eastAsia"/>
        </w:rPr>
        <w:t>因而该区物种多样性最高，</w:t>
      </w:r>
      <w:r>
        <w:t>而水</w:t>
      </w:r>
      <w:r>
        <w:rPr>
          <w:rFonts w:hint="eastAsia"/>
        </w:rPr>
        <w:t>塘</w:t>
      </w:r>
      <w:r>
        <w:t>环境由于</w:t>
      </w:r>
      <w:r>
        <w:rPr>
          <w:rFonts w:hint="eastAsia"/>
        </w:rPr>
        <w:t>是人工鱼塘，人为干扰大</w:t>
      </w:r>
      <w:r>
        <w:t>，使得鸟类分布较少，物种多样性较低。</w:t>
      </w:r>
    </w:p>
    <w:p>
      <w:pPr>
        <w:pStyle w:val="43"/>
        <w:bidi w:val="0"/>
        <w:rPr>
          <w:rFonts w:hint="eastAsia" w:ascii="Times New Roman" w:hAnsi="Times New Roman" w:eastAsia="宋体" w:cs="Times New Roman"/>
          <w:b/>
          <w:color w:val="auto"/>
          <w:sz w:val="21"/>
          <w:lang w:val="en-US" w:eastAsia="zh-CN"/>
        </w:rPr>
      </w:pPr>
      <w:r>
        <w:rPr>
          <w:rFonts w:hint="eastAsia" w:ascii="Times New Roman" w:hAnsi="Times New Roman" w:eastAsia="宋体" w:cs="Times New Roman"/>
          <w:b/>
          <w:color w:val="auto"/>
          <w:sz w:val="21"/>
          <w:lang w:val="en-US" w:eastAsia="zh-CN"/>
        </w:rPr>
        <w:t>表3.6-5 不同生境类型鸟类群落物种多样性</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8"/>
        <w:gridCol w:w="1149"/>
        <w:gridCol w:w="1149"/>
        <w:gridCol w:w="1149"/>
        <w:gridCol w:w="1149"/>
        <w:gridCol w:w="1149"/>
        <w:gridCol w:w="11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32"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生境</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村落</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农田</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人工林</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草滩</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河道</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水塘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32"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物种数</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13</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15</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18</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20</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7</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32"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多样性（H’）</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2.6484</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3.0558</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3.6670</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4.0744</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1.4261</w:t>
            </w:r>
          </w:p>
        </w:tc>
        <w:tc>
          <w:tcPr>
            <w:tcW w:w="6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1.0186</w:t>
            </w:r>
          </w:p>
        </w:tc>
      </w:tr>
    </w:tbl>
    <w:p>
      <w:pPr>
        <w:bidi w:val="0"/>
        <w:rPr>
          <w:rFonts w:hint="eastAsia"/>
        </w:rPr>
      </w:pPr>
      <w:bookmarkStart w:id="272" w:name="_Toc252269462"/>
      <w:bookmarkStart w:id="273" w:name="_Toc252269901"/>
      <w:bookmarkStart w:id="274" w:name="_Toc252269812"/>
      <w:bookmarkStart w:id="275" w:name="_Toc252269990"/>
      <w:r>
        <w:rPr>
          <w:rFonts w:hint="eastAsia"/>
        </w:rPr>
        <w:t>4）沙颍河安徽段水鸟群落结构特点</w:t>
      </w:r>
      <w:bookmarkEnd w:id="272"/>
      <w:bookmarkEnd w:id="273"/>
      <w:bookmarkEnd w:id="274"/>
      <w:bookmarkEnd w:id="275"/>
    </w:p>
    <w:p>
      <w:pPr>
        <w:bidi w:val="0"/>
        <w:rPr>
          <w:rFonts w:hint="eastAsia"/>
        </w:rPr>
      </w:pPr>
      <w:r>
        <w:rPr>
          <w:rFonts w:hint="eastAsia"/>
        </w:rPr>
        <w:t>水鸟是指生态学上依赖湿地而生存的鸟类，是湿地生态系统的重要组成部分。了解该湿地水鸟的组成及生态分布特点，对于湿地生态系统及水鸟的保护均具有重要的意义。</w:t>
      </w:r>
    </w:p>
    <w:p>
      <w:pPr>
        <w:bidi w:val="0"/>
        <w:rPr>
          <w:rFonts w:hint="eastAsia"/>
        </w:rPr>
      </w:pPr>
      <w:r>
        <w:rPr>
          <w:rFonts w:hint="eastAsia"/>
        </w:rPr>
        <w:t>根据对以往鸟类资料的整理，沙颍河安徽段共有5目7科22种水鸟分布，其种类组成由多至少依次为鸻形目（2科8种），雁形目和鹳行目（1科5种），鸡形目（2科2种），</w:t>
      </w:r>
      <w:r>
        <w:t>鸊目</w:t>
      </w:r>
      <w:r>
        <w:rPr>
          <w:rFonts w:hint="eastAsia"/>
        </w:rPr>
        <w:t>（1科1种），鸥形目（1科1种）；其中，省级保护鸟类如豆雁（</w:t>
      </w:r>
      <w:r>
        <w:t>Anser fabalis</w:t>
      </w:r>
      <w:r>
        <w:rPr>
          <w:rFonts w:hint="eastAsia"/>
        </w:rPr>
        <w:t>）、赤麻鸭（</w:t>
      </w:r>
      <w:r>
        <w:t>Todorna ferruginea</w:t>
      </w:r>
      <w:r>
        <w:rPr>
          <w:rFonts w:hint="eastAsia"/>
        </w:rPr>
        <w:t>）、绿头鸭（</w:t>
      </w:r>
      <w:r>
        <w:t xml:space="preserve">Anas platyrhynchos  </w:t>
      </w:r>
      <w:r>
        <w:rPr>
          <w:rFonts w:hint="eastAsia"/>
        </w:rPr>
        <w:t>）、</w:t>
      </w:r>
      <w:r>
        <w:t xml:space="preserve"> </w:t>
      </w:r>
      <w:r>
        <w:rPr>
          <w:rFonts w:hint="eastAsia"/>
        </w:rPr>
        <w:t>斑嘴鸭（</w:t>
      </w:r>
      <w:r>
        <w:t xml:space="preserve">Anas poecilorhyncha </w:t>
      </w:r>
      <w:r>
        <w:rPr>
          <w:rFonts w:hint="eastAsia"/>
        </w:rPr>
        <w:t>）、鸳鸯（</w:t>
      </w:r>
      <w:r>
        <w:t>Aix galericulata</w:t>
      </w:r>
      <w:r>
        <w:rPr>
          <w:rFonts w:hint="eastAsia"/>
        </w:rPr>
        <w:t>）等5种。由于沙颍河沿线区域人类活动频繁，且调查区域正在施工，在此次实地调查中未见保护性水鸟。</w:t>
      </w:r>
    </w:p>
    <w:p>
      <w:pPr>
        <w:bidi w:val="0"/>
        <w:rPr>
          <w:rFonts w:hint="eastAsia"/>
        </w:rPr>
      </w:pPr>
      <w:r>
        <w:rPr>
          <w:rFonts w:hint="eastAsia"/>
        </w:rPr>
        <w:t>（3）兽类</w:t>
      </w:r>
    </w:p>
    <w:p>
      <w:pPr>
        <w:bidi w:val="0"/>
      </w:pPr>
      <w:bookmarkStart w:id="276" w:name="_Toc233017641"/>
      <w:bookmarkStart w:id="277" w:name="_Toc9994"/>
      <w:r>
        <w:rPr>
          <w:rFonts w:hint="eastAsia"/>
        </w:rPr>
        <w:t>1）</w:t>
      </w:r>
      <w:r>
        <w:t>种类组成</w:t>
      </w:r>
      <w:bookmarkEnd w:id="276"/>
      <w:bookmarkEnd w:id="277"/>
    </w:p>
    <w:p>
      <w:pPr>
        <w:bidi w:val="0"/>
      </w:pPr>
      <w:r>
        <w:t>由于</w:t>
      </w:r>
      <w:r>
        <w:rPr>
          <w:rFonts w:hint="eastAsia"/>
        </w:rPr>
        <w:t>调查</w:t>
      </w:r>
      <w:r>
        <w:t>时间</w:t>
      </w:r>
      <w:r>
        <w:rPr>
          <w:rFonts w:hint="eastAsia"/>
        </w:rPr>
        <w:t>正处深冬</w:t>
      </w:r>
      <w:r>
        <w:t>，天气较寒冷，小型兽类活动不频繁，放铗</w:t>
      </w:r>
      <w:r>
        <w:rPr>
          <w:rFonts w:hint="eastAsia"/>
        </w:rPr>
        <w:t>15</w:t>
      </w:r>
      <w:r>
        <w:t>0次</w:t>
      </w:r>
      <w:r>
        <w:rPr>
          <w:rFonts w:hint="eastAsia"/>
        </w:rPr>
        <w:t>均无收获</w:t>
      </w:r>
      <w:r>
        <w:t>。兽类调查主要参考历史资料，初步统计共有哺乳动物5目9科15种，包括食虫目2种：北方刺猬（Einaceus europaeus）、小麝鼩（Crocidura suaveolens），翼手目</w:t>
      </w:r>
      <w:r>
        <w:rPr>
          <w:rFonts w:hint="eastAsia"/>
        </w:rPr>
        <w:t>1种：</w:t>
      </w:r>
      <w:r>
        <w:t xml:space="preserve">小伏翼（Pipistrellus </w:t>
      </w:r>
      <w:r>
        <w:rPr>
          <w:rFonts w:hint="eastAsia"/>
          <w:lang w:eastAsia="zh-CN"/>
        </w:rPr>
        <w:t>m</w:t>
      </w:r>
      <w:r>
        <w:rPr>
          <w:rFonts w:hint="eastAsia"/>
        </w:rPr>
        <w:t>inus</w:t>
      </w:r>
      <w:r>
        <w:t>），兔形目</w:t>
      </w:r>
      <w:r>
        <w:rPr>
          <w:rFonts w:hint="eastAsia"/>
        </w:rPr>
        <w:t>1种：</w:t>
      </w:r>
      <w:r>
        <w:t>草兔（Lepus capensis），啮齿目</w:t>
      </w:r>
      <w:r>
        <w:rPr>
          <w:rFonts w:hint="eastAsia"/>
        </w:rPr>
        <w:t>6种：</w:t>
      </w:r>
      <w:r>
        <w:t>黑线仓鼠（Cricetulus barabensis）、</w:t>
      </w:r>
      <w:r>
        <w:rPr>
          <w:rFonts w:hint="eastAsia"/>
        </w:rPr>
        <w:t>大仓鼠（</w:t>
      </w:r>
      <w:r>
        <w:t>Tscheskia triton</w:t>
      </w:r>
      <w:r>
        <w:rPr>
          <w:rFonts w:hint="eastAsia"/>
        </w:rPr>
        <w:t>）、</w:t>
      </w:r>
      <w:r>
        <w:t>小家鼠（</w:t>
      </w:r>
      <w:r>
        <w:rPr>
          <w:rFonts w:hint="eastAsia"/>
          <w:lang w:eastAsia="zh-CN"/>
        </w:rPr>
        <w:t>m</w:t>
      </w:r>
      <w:r>
        <w:t xml:space="preserve">us </w:t>
      </w:r>
      <w:r>
        <w:rPr>
          <w:rFonts w:hint="eastAsia"/>
          <w:lang w:eastAsia="zh-CN"/>
        </w:rPr>
        <w:t>m</w:t>
      </w:r>
      <w:r>
        <w:t>usculus）、黑线姬鼠（Apode</w:t>
      </w:r>
      <w:r>
        <w:rPr>
          <w:rFonts w:hint="eastAsia"/>
          <w:lang w:eastAsia="zh-CN"/>
        </w:rPr>
        <w:t>m</w:t>
      </w:r>
      <w:r>
        <w:t>us agrarius）、黄胸鼠（Rattus tanezu</w:t>
      </w:r>
      <w:r>
        <w:rPr>
          <w:rFonts w:hint="eastAsia"/>
          <w:lang w:eastAsia="zh-CN"/>
        </w:rPr>
        <w:t>m</w:t>
      </w:r>
      <w:r>
        <w:t>i）、褐家鼠（Rattus norvegicus）和食肉目</w:t>
      </w:r>
      <w:r>
        <w:rPr>
          <w:rFonts w:hint="eastAsia"/>
        </w:rPr>
        <w:t>5种：</w:t>
      </w:r>
      <w:r>
        <w:t>赤狐（Vulpes vulpes）、貉（Nyctereutes procyonoides）、黄鼬（</w:t>
      </w:r>
      <w:r>
        <w:rPr>
          <w:rFonts w:hint="eastAsia"/>
          <w:lang w:eastAsia="zh-CN"/>
        </w:rPr>
        <w:t>m</w:t>
      </w:r>
      <w:r>
        <w:t>ustela sibirica）、狗獾（</w:t>
      </w:r>
      <w:r>
        <w:rPr>
          <w:rFonts w:hint="eastAsia"/>
          <w:lang w:eastAsia="zh-CN"/>
        </w:rPr>
        <w:t>m</w:t>
      </w:r>
      <w:r>
        <w:t xml:space="preserve">eles </w:t>
      </w:r>
      <w:r>
        <w:rPr>
          <w:rFonts w:hint="eastAsia"/>
          <w:lang w:eastAsia="zh-CN"/>
        </w:rPr>
        <w:t>m</w:t>
      </w:r>
      <w:r>
        <w:t>eles）、豹猫（Prionailurus bengalensis）（附表</w:t>
      </w:r>
      <w:r>
        <w:rPr>
          <w:rFonts w:hint="eastAsia"/>
        </w:rPr>
        <w:t>5</w:t>
      </w:r>
      <w:r>
        <w:t>）。其中赤狐、貉、豹猫为安徽省Ⅰ级重点保护野生动物，黄鼬、狗獾为安徽省Ⅱ级保护动物。</w:t>
      </w:r>
    </w:p>
    <w:p>
      <w:pPr>
        <w:bidi w:val="0"/>
        <w:rPr>
          <w:rFonts w:hint="eastAsia"/>
        </w:rPr>
      </w:pPr>
      <w:bookmarkStart w:id="278" w:name="_Toc3337"/>
      <w:bookmarkStart w:id="279" w:name="_Toc233017642"/>
      <w:r>
        <w:rPr>
          <w:rFonts w:hint="eastAsia"/>
        </w:rPr>
        <w:t>2）</w:t>
      </w:r>
      <w:r>
        <w:t>区系组成</w:t>
      </w:r>
      <w:r>
        <w:rPr>
          <w:rFonts w:hint="eastAsia"/>
        </w:rPr>
        <w:t>特征</w:t>
      </w:r>
      <w:bookmarkEnd w:id="278"/>
      <w:bookmarkEnd w:id="279"/>
    </w:p>
    <w:p>
      <w:pPr>
        <w:bidi w:val="0"/>
        <w:rPr>
          <w:rFonts w:hint="eastAsia"/>
        </w:rPr>
      </w:pPr>
      <w:r>
        <w:rPr>
          <w:rFonts w:hint="eastAsia"/>
        </w:rPr>
        <w:t>沙</w:t>
      </w:r>
      <w:r>
        <w:t>颍河分布的15种兽类，古北界动物有9种，占所有兽类的60%，东洋界动物和两界广布动物各有3种，各占20%，可见</w:t>
      </w:r>
      <w:r>
        <w:rPr>
          <w:rFonts w:hint="eastAsia"/>
        </w:rPr>
        <w:t>，沙</w:t>
      </w:r>
      <w:r>
        <w:t>颍河兽类动物在区系划分上以古北界动物为主。</w:t>
      </w:r>
    </w:p>
    <w:p>
      <w:pPr>
        <w:bidi w:val="0"/>
      </w:pPr>
      <w:bookmarkStart w:id="280" w:name="_Toc233017643"/>
      <w:bookmarkStart w:id="281" w:name="_Toc4360"/>
      <w:r>
        <w:rPr>
          <w:rFonts w:hint="eastAsia"/>
        </w:rPr>
        <w:t>3）</w:t>
      </w:r>
      <w:r>
        <w:t>生态分布</w:t>
      </w:r>
      <w:bookmarkEnd w:id="280"/>
      <w:bookmarkEnd w:id="281"/>
    </w:p>
    <w:p>
      <w:pPr>
        <w:bidi w:val="0"/>
        <w:rPr>
          <w:rFonts w:hint="eastAsia"/>
        </w:rPr>
      </w:pPr>
      <w:r>
        <w:rPr>
          <w:rFonts w:hint="eastAsia"/>
        </w:rPr>
        <w:t>哺乳动物是脊椎动物中最高等的一类，对环境有较强的适应能力，分布范围较广，从村落、农田至湿地草滩、沼泽均有分布（表</w:t>
      </w:r>
      <w:r>
        <w:rPr>
          <w:rFonts w:hint="eastAsia"/>
          <w:lang w:val="en-US" w:eastAsia="zh-CN"/>
        </w:rPr>
        <w:t>3.6</w:t>
      </w:r>
      <w:r>
        <w:t>-</w:t>
      </w:r>
      <w:r>
        <w:rPr>
          <w:rFonts w:hint="eastAsia"/>
          <w:lang w:val="en-US" w:eastAsia="zh-CN"/>
        </w:rPr>
        <w:t>6</w:t>
      </w:r>
      <w:r>
        <w:rPr>
          <w:rFonts w:hint="eastAsia"/>
        </w:rPr>
        <w:t>），其中啮齿类为主要优势动物，数量较多。由于该地区人类活动较频繁，对自然资源开发利用较多，受此影响，需要较大生存空间的食肉目动物数量较少。</w:t>
      </w:r>
    </w:p>
    <w:p>
      <w:pPr>
        <w:pStyle w:val="43"/>
        <w:bidi w:val="0"/>
        <w:rPr>
          <w:rFonts w:hint="eastAsia" w:ascii="Times New Roman" w:hAnsi="Times New Roman" w:eastAsia="宋体" w:cs="Times New Roman"/>
          <w:b/>
          <w:color w:val="auto"/>
          <w:sz w:val="21"/>
          <w:lang w:val="en-US" w:eastAsia="zh-CN"/>
        </w:rPr>
      </w:pPr>
      <w:r>
        <w:rPr>
          <w:rFonts w:hint="eastAsia" w:ascii="Times New Roman" w:hAnsi="Times New Roman" w:eastAsia="宋体" w:cs="Times New Roman"/>
          <w:b/>
          <w:color w:val="auto"/>
          <w:sz w:val="21"/>
          <w:lang w:val="en-US" w:eastAsia="zh-CN"/>
        </w:rPr>
        <w:t>表3.6-6  沙颍河兽类生态分布及主要食物情况</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6"/>
        <w:gridCol w:w="3712"/>
        <w:gridCol w:w="3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66"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目</w:t>
            </w:r>
          </w:p>
        </w:tc>
        <w:tc>
          <w:tcPr>
            <w:tcW w:w="21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生态分布</w:t>
            </w:r>
          </w:p>
        </w:tc>
        <w:tc>
          <w:tcPr>
            <w:tcW w:w="1956"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主要食物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66"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食虫目</w:t>
            </w:r>
          </w:p>
        </w:tc>
        <w:tc>
          <w:tcPr>
            <w:tcW w:w="21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村落、农田等</w:t>
            </w:r>
          </w:p>
        </w:tc>
        <w:tc>
          <w:tcPr>
            <w:tcW w:w="1956"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无脊椎动物、昆虫等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66"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翼手目</w:t>
            </w:r>
          </w:p>
        </w:tc>
        <w:tc>
          <w:tcPr>
            <w:tcW w:w="21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村落附近、旷野</w:t>
            </w:r>
          </w:p>
        </w:tc>
        <w:tc>
          <w:tcPr>
            <w:tcW w:w="1956"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昆虫等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66"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兔形目</w:t>
            </w:r>
          </w:p>
        </w:tc>
        <w:tc>
          <w:tcPr>
            <w:tcW w:w="21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农田、草滩</w:t>
            </w:r>
          </w:p>
        </w:tc>
        <w:tc>
          <w:tcPr>
            <w:tcW w:w="1956"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植物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66"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啮齿目</w:t>
            </w:r>
          </w:p>
        </w:tc>
        <w:tc>
          <w:tcPr>
            <w:tcW w:w="21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村落、农田、草滩等地</w:t>
            </w:r>
          </w:p>
        </w:tc>
        <w:tc>
          <w:tcPr>
            <w:tcW w:w="1956"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谷物、草籽等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66"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食肉目</w:t>
            </w:r>
          </w:p>
        </w:tc>
        <w:tc>
          <w:tcPr>
            <w:tcW w:w="2178"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村落、农田</w:t>
            </w:r>
          </w:p>
        </w:tc>
        <w:tc>
          <w:tcPr>
            <w:tcW w:w="1956" w:type="pct"/>
            <w:shd w:val="clear" w:color="auto" w:fill="auto"/>
            <w:noWrap/>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鼠类</w:t>
            </w:r>
          </w:p>
        </w:tc>
      </w:tr>
    </w:tbl>
    <w:p>
      <w:pPr>
        <w:bidi w:val="0"/>
        <w:rPr>
          <w:rFonts w:hint="eastAsia"/>
        </w:rPr>
      </w:pPr>
      <w:r>
        <w:rPr>
          <w:rFonts w:hint="eastAsia"/>
        </w:rPr>
        <w:t>（4）重点保护动物</w:t>
      </w:r>
    </w:p>
    <w:p>
      <w:pPr>
        <w:bidi w:val="0"/>
        <w:rPr>
          <w:rFonts w:hint="eastAsia"/>
        </w:rPr>
      </w:pPr>
      <w:r>
        <w:rPr>
          <w:rFonts w:hint="eastAsia"/>
          <w:lang w:val="zh-CN"/>
        </w:rPr>
        <w:t>根据</w:t>
      </w:r>
      <w:r>
        <w:t>历史资料</w:t>
      </w:r>
      <w:r>
        <w:rPr>
          <w:rFonts w:hint="eastAsia"/>
        </w:rPr>
        <w:t>，</w:t>
      </w:r>
      <w:r>
        <w:rPr>
          <w:rFonts w:hint="eastAsia"/>
          <w:lang w:val="zh-CN"/>
        </w:rPr>
        <w:t>沙颍河（安徽段）</w:t>
      </w:r>
      <w:r>
        <w:rPr>
          <w:rFonts w:hint="eastAsia"/>
        </w:rPr>
        <w:t>航道整治工程</w:t>
      </w:r>
      <w:r>
        <w:rPr>
          <w:lang w:val="zh-CN"/>
        </w:rPr>
        <w:t>评价区范围内陆生脊椎动物中，</w:t>
      </w:r>
      <w:r>
        <w:rPr>
          <w:rFonts w:hint="eastAsia"/>
          <w:lang w:val="zh-CN"/>
        </w:rPr>
        <w:t>有</w:t>
      </w:r>
      <w:r>
        <w:t>国家</w:t>
      </w:r>
      <w:r>
        <w:rPr>
          <w:rFonts w:hint="eastAsia"/>
        </w:rPr>
        <w:t>Ⅱ</w:t>
      </w:r>
      <w:r>
        <w:t>级重点保护野生动物</w:t>
      </w:r>
      <w:r>
        <w:rPr>
          <w:rFonts w:hint="eastAsia"/>
        </w:rPr>
        <w:t>2</w:t>
      </w:r>
      <w:r>
        <w:t>种：</w:t>
      </w:r>
      <w:r>
        <w:rPr>
          <w:rFonts w:hint="eastAsia"/>
        </w:rPr>
        <w:t>黑鸢、白尾鹞；</w:t>
      </w:r>
      <w:r>
        <w:t>省</w:t>
      </w:r>
      <w:r>
        <w:fldChar w:fldCharType="begin"/>
      </w:r>
      <w:r>
        <w:instrText xml:space="preserve"> </w:instrText>
      </w:r>
      <w:r>
        <w:rPr>
          <w:rFonts w:hint="eastAsia"/>
        </w:rPr>
        <w:instrText xml:space="preserve">= 1 \* ROMAN</w:instrText>
      </w:r>
      <w:r>
        <w:instrText xml:space="preserve"> </w:instrText>
      </w:r>
      <w:r>
        <w:fldChar w:fldCharType="separate"/>
      </w:r>
      <w:r>
        <w:t>I</w:t>
      </w:r>
      <w:r>
        <w:fldChar w:fldCharType="end"/>
      </w:r>
      <w:r>
        <w:t>级重点保护野生动物</w:t>
      </w:r>
      <w:r>
        <w:rPr>
          <w:rFonts w:hint="eastAsia"/>
        </w:rPr>
        <w:t>4种</w:t>
      </w:r>
      <w:r>
        <w:t>：</w:t>
      </w:r>
      <w:r>
        <w:rPr>
          <w:rFonts w:hint="eastAsia"/>
        </w:rPr>
        <w:t>大斑啄木鸟、赤狐、貉、豹猫；</w:t>
      </w:r>
      <w:r>
        <w:t>省Ⅱ级重点保护野生动物</w:t>
      </w:r>
      <w:r>
        <w:rPr>
          <w:rFonts w:hint="eastAsia"/>
        </w:rPr>
        <w:t>10种</w:t>
      </w:r>
      <w:r>
        <w:t>：花背蟾蜍</w:t>
      </w:r>
      <w:r>
        <w:rPr>
          <w:rFonts w:hint="eastAsia"/>
        </w:rPr>
        <w:t>，</w:t>
      </w:r>
      <w:r>
        <w:t>中华蟾蜍，乌龟</w:t>
      </w:r>
      <w:r>
        <w:rPr>
          <w:rFonts w:hint="eastAsia"/>
        </w:rPr>
        <w:t>、</w:t>
      </w:r>
      <w:r>
        <w:t>黑眉锦蛇</w:t>
      </w:r>
      <w:r>
        <w:rPr>
          <w:rFonts w:hint="eastAsia"/>
        </w:rPr>
        <w:t>，</w:t>
      </w:r>
      <w:r>
        <w:t>乌梢蛇</w:t>
      </w:r>
      <w:r>
        <w:rPr>
          <w:rFonts w:hint="eastAsia"/>
        </w:rPr>
        <w:t>，</w:t>
      </w:r>
      <w:r>
        <w:t>金线蛙</w:t>
      </w:r>
      <w:r>
        <w:rPr>
          <w:rFonts w:hint="eastAsia"/>
        </w:rPr>
        <w:t>、环颈雉、棕背伯劳、黄鼬、狗獾</w:t>
      </w:r>
      <w:r>
        <w:rPr>
          <w:lang w:val="zh-CN"/>
        </w:rPr>
        <w:t>。</w:t>
      </w:r>
      <w:r>
        <w:rPr>
          <w:rFonts w:hint="eastAsia"/>
          <w:lang w:val="zh-CN"/>
        </w:rPr>
        <w:t>具体情况见表4</w:t>
      </w:r>
      <w:r>
        <w:rPr>
          <w:lang w:val="zh-CN"/>
        </w:rPr>
        <w:t>-</w:t>
      </w:r>
      <w:r>
        <w:rPr>
          <w:rFonts w:hint="eastAsia"/>
          <w:lang w:val="zh-CN"/>
        </w:rPr>
        <w:t>8。</w:t>
      </w:r>
      <w:r>
        <w:rPr>
          <w:rFonts w:hint="eastAsia"/>
        </w:rPr>
        <w:t>但由于沙颍河历史上已经过</w:t>
      </w:r>
      <w:r>
        <w:t>多次人工改造、整治及建设，</w:t>
      </w:r>
      <w:r>
        <w:rPr>
          <w:rFonts w:hint="eastAsia"/>
        </w:rPr>
        <w:t>人类活动较频繁，对自然资源开发利用较多，沿线区域的陆生动物以常见种、普通种为主，珍惜野生动物数量极少，尤其是需要较大生存空间的食肉目动物（如赤狐、貉、豹猫、黄鼬、狗獾等）在实地调查中均未见。</w:t>
      </w:r>
    </w:p>
    <w:p>
      <w:pPr>
        <w:pStyle w:val="43"/>
        <w:bidi w:val="0"/>
        <w:rPr>
          <w:rFonts w:hint="eastAsia" w:ascii="Times New Roman" w:hAnsi="Times New Roman" w:eastAsia="宋体" w:cs="Times New Roman"/>
          <w:b/>
          <w:color w:val="auto"/>
          <w:sz w:val="21"/>
          <w:lang w:val="en-US" w:eastAsia="zh-CN"/>
        </w:rPr>
      </w:pPr>
      <w:r>
        <w:rPr>
          <w:rFonts w:hint="eastAsia" w:ascii="Times New Roman" w:hAnsi="Times New Roman" w:eastAsia="宋体" w:cs="Times New Roman"/>
          <w:b/>
          <w:color w:val="auto"/>
          <w:sz w:val="21"/>
          <w:lang w:val="en-US" w:eastAsia="zh-CN"/>
        </w:rPr>
        <w:t>表3.6-7 沙颍河（安徽段）沿线区域重点保护动物一览表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3"/>
        <w:gridCol w:w="1836"/>
        <w:gridCol w:w="1225"/>
        <w:gridCol w:w="2920"/>
        <w:gridCol w:w="10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目</w:t>
            </w:r>
          </w:p>
        </w:tc>
        <w:tc>
          <w:tcPr>
            <w:tcW w:w="107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科</w:t>
            </w:r>
          </w:p>
        </w:tc>
        <w:tc>
          <w:tcPr>
            <w:tcW w:w="71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中文名</w:t>
            </w:r>
          </w:p>
        </w:tc>
        <w:tc>
          <w:tcPr>
            <w:tcW w:w="17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拉丁名</w:t>
            </w:r>
          </w:p>
        </w:tc>
        <w:tc>
          <w:tcPr>
            <w:tcW w:w="60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保护等级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hRule="atLeast"/>
        </w:trPr>
        <w:tc>
          <w:tcPr>
            <w:tcW w:w="882" w:type="pct"/>
            <w:vMerge w:val="restar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隼形目 Falconifor</w:t>
            </w: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es</w:t>
            </w:r>
          </w:p>
        </w:tc>
        <w:tc>
          <w:tcPr>
            <w:tcW w:w="1077" w:type="pct"/>
            <w:vMerge w:val="restar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鹰科 Accipitridae</w:t>
            </w:r>
          </w:p>
        </w:tc>
        <w:tc>
          <w:tcPr>
            <w:tcW w:w="71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黑鸢</w:t>
            </w:r>
          </w:p>
        </w:tc>
        <w:tc>
          <w:tcPr>
            <w:tcW w:w="17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ilvus lineaus</w:t>
            </w:r>
          </w:p>
        </w:tc>
        <w:tc>
          <w:tcPr>
            <w:tcW w:w="60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国家Ⅱ级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82"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1077"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71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白尾鹞</w:t>
            </w:r>
          </w:p>
        </w:tc>
        <w:tc>
          <w:tcPr>
            <w:tcW w:w="17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Cirus cyaneus</w:t>
            </w:r>
          </w:p>
        </w:tc>
        <w:tc>
          <w:tcPr>
            <w:tcW w:w="60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国家Ⅱ级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形目 Picifor</w:t>
            </w: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es</w:t>
            </w:r>
          </w:p>
        </w:tc>
        <w:tc>
          <w:tcPr>
            <w:tcW w:w="107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啄木鸟科 Picidae</w:t>
            </w:r>
          </w:p>
        </w:tc>
        <w:tc>
          <w:tcPr>
            <w:tcW w:w="71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大斑啄木鸟</w:t>
            </w:r>
          </w:p>
        </w:tc>
        <w:tc>
          <w:tcPr>
            <w:tcW w:w="17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 xml:space="preserve">Dendrocopos </w:t>
            </w: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ajor</w:t>
            </w:r>
          </w:p>
        </w:tc>
        <w:tc>
          <w:tcPr>
            <w:tcW w:w="60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省</w:t>
            </w:r>
            <w:r>
              <w:rPr>
                <w:rFonts w:hint="eastAsia" w:ascii="Times New Roman" w:hAnsi="Times New Roman" w:cs="Times New Roman"/>
                <w:color w:val="auto"/>
                <w:sz w:val="21"/>
                <w:shd w:val="clear" w:color="auto" w:fill="auto"/>
              </w:rPr>
              <w:fldChar w:fldCharType="begin"/>
            </w:r>
            <w:r>
              <w:rPr>
                <w:rFonts w:hint="eastAsia" w:ascii="Times New Roman" w:hAnsi="Times New Roman" w:cs="Times New Roman"/>
                <w:color w:val="auto"/>
                <w:sz w:val="21"/>
                <w:shd w:val="clear" w:color="auto" w:fill="auto"/>
              </w:rPr>
              <w:instrText xml:space="preserve"> = 1 \* ROMAN </w:instrText>
            </w:r>
            <w:r>
              <w:rPr>
                <w:rFonts w:hint="eastAsia" w:ascii="Times New Roman" w:hAnsi="Times New Roman" w:cs="Times New Roman"/>
                <w:color w:val="auto"/>
                <w:sz w:val="21"/>
                <w:shd w:val="clear" w:color="auto" w:fill="auto"/>
              </w:rPr>
              <w:fldChar w:fldCharType="separate"/>
            </w:r>
            <w:r>
              <w:rPr>
                <w:rFonts w:hint="eastAsia" w:ascii="Times New Roman" w:hAnsi="Times New Roman" w:cs="Times New Roman"/>
                <w:color w:val="auto"/>
                <w:sz w:val="21"/>
                <w:shd w:val="clear" w:color="auto" w:fill="auto"/>
              </w:rPr>
              <w:t>I</w:t>
            </w:r>
            <w:r>
              <w:rPr>
                <w:rFonts w:hint="eastAsia" w:ascii="Times New Roman" w:hAnsi="Times New Roman" w:cs="Times New Roman"/>
                <w:color w:val="auto"/>
                <w:sz w:val="21"/>
                <w:shd w:val="clear" w:color="auto" w:fill="auto"/>
              </w:rPr>
              <w:fldChar w:fldCharType="end"/>
            </w:r>
            <w:r>
              <w:rPr>
                <w:rFonts w:hint="eastAsia" w:ascii="Times New Roman" w:hAnsi="Times New Roman" w:cs="Times New Roman"/>
                <w:color w:val="auto"/>
                <w:sz w:val="21"/>
                <w:shd w:val="clear" w:color="auto" w:fill="auto"/>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82" w:type="pct"/>
            <w:vMerge w:val="restar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食肉目 Carntivora</w:t>
            </w:r>
          </w:p>
        </w:tc>
        <w:tc>
          <w:tcPr>
            <w:tcW w:w="1077" w:type="pct"/>
            <w:vMerge w:val="restar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犬科 Canidae</w:t>
            </w:r>
          </w:p>
        </w:tc>
        <w:tc>
          <w:tcPr>
            <w:tcW w:w="71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赤狐</w:t>
            </w:r>
          </w:p>
        </w:tc>
        <w:tc>
          <w:tcPr>
            <w:tcW w:w="17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Vulpes vulpes Linnaeus</w:t>
            </w:r>
          </w:p>
        </w:tc>
        <w:tc>
          <w:tcPr>
            <w:tcW w:w="60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省Ⅰ级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82"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1077"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71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貉</w:t>
            </w:r>
          </w:p>
        </w:tc>
        <w:tc>
          <w:tcPr>
            <w:tcW w:w="17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Nyctereutes procyonoides Gray</w:t>
            </w:r>
          </w:p>
        </w:tc>
        <w:tc>
          <w:tcPr>
            <w:tcW w:w="60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省Ⅰ级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82"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107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猫科 Felidae</w:t>
            </w:r>
          </w:p>
        </w:tc>
        <w:tc>
          <w:tcPr>
            <w:tcW w:w="71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豹猫</w:t>
            </w:r>
          </w:p>
        </w:tc>
        <w:tc>
          <w:tcPr>
            <w:tcW w:w="17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Prionailurus bengalensis Kerr</w:t>
            </w:r>
          </w:p>
        </w:tc>
        <w:tc>
          <w:tcPr>
            <w:tcW w:w="60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省Ⅰ级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82"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1077" w:type="pct"/>
            <w:vMerge w:val="restar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 xml:space="preserve">鼬科 </w:t>
            </w: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ustelidae</w:t>
            </w:r>
          </w:p>
        </w:tc>
        <w:tc>
          <w:tcPr>
            <w:tcW w:w="71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黄鼬</w:t>
            </w:r>
          </w:p>
        </w:tc>
        <w:tc>
          <w:tcPr>
            <w:tcW w:w="17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ustela sibirica Pallas</w:t>
            </w:r>
          </w:p>
        </w:tc>
        <w:tc>
          <w:tcPr>
            <w:tcW w:w="60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省Ⅱ级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hRule="atLeast"/>
        </w:trPr>
        <w:tc>
          <w:tcPr>
            <w:tcW w:w="882"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1077"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71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狗獾</w:t>
            </w:r>
          </w:p>
        </w:tc>
        <w:tc>
          <w:tcPr>
            <w:tcW w:w="17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 xml:space="preserve">eles </w:t>
            </w: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eles Linnaeus</w:t>
            </w:r>
          </w:p>
        </w:tc>
        <w:tc>
          <w:tcPr>
            <w:tcW w:w="60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省Ⅱ级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82" w:type="pct"/>
            <w:vMerge w:val="restar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无尾目</w:t>
            </w:r>
          </w:p>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Salientia</w:t>
            </w:r>
          </w:p>
        </w:tc>
        <w:tc>
          <w:tcPr>
            <w:tcW w:w="1077" w:type="pct"/>
            <w:vMerge w:val="restar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蟾蜍科 Bufonidae</w:t>
            </w:r>
          </w:p>
        </w:tc>
        <w:tc>
          <w:tcPr>
            <w:tcW w:w="71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花背蟾蜍</w:t>
            </w:r>
          </w:p>
        </w:tc>
        <w:tc>
          <w:tcPr>
            <w:tcW w:w="17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Bufo raddei</w:t>
            </w:r>
          </w:p>
        </w:tc>
        <w:tc>
          <w:tcPr>
            <w:tcW w:w="60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省Ⅱ级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hRule="atLeast"/>
        </w:trPr>
        <w:tc>
          <w:tcPr>
            <w:tcW w:w="882"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1077"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71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中华蟾蜍</w:t>
            </w:r>
          </w:p>
        </w:tc>
        <w:tc>
          <w:tcPr>
            <w:tcW w:w="17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Bufo bufo</w:t>
            </w:r>
          </w:p>
        </w:tc>
        <w:tc>
          <w:tcPr>
            <w:tcW w:w="60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省Ⅱ级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82"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107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蛙科 Ranidae</w:t>
            </w:r>
          </w:p>
        </w:tc>
        <w:tc>
          <w:tcPr>
            <w:tcW w:w="71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金线蛙</w:t>
            </w:r>
          </w:p>
        </w:tc>
        <w:tc>
          <w:tcPr>
            <w:tcW w:w="17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Rana plancyi</w:t>
            </w:r>
          </w:p>
        </w:tc>
        <w:tc>
          <w:tcPr>
            <w:tcW w:w="60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省Ⅱ级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hRule="atLeast"/>
        </w:trPr>
        <w:tc>
          <w:tcPr>
            <w:tcW w:w="8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龟鳖目</w:t>
            </w:r>
          </w:p>
        </w:tc>
        <w:tc>
          <w:tcPr>
            <w:tcW w:w="107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龟科 E</w:t>
            </w: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ydidae</w:t>
            </w:r>
          </w:p>
        </w:tc>
        <w:tc>
          <w:tcPr>
            <w:tcW w:w="71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乌龟</w:t>
            </w:r>
          </w:p>
        </w:tc>
        <w:tc>
          <w:tcPr>
            <w:tcW w:w="17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Chine</w:t>
            </w: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ys reevesii</w:t>
            </w:r>
          </w:p>
        </w:tc>
        <w:tc>
          <w:tcPr>
            <w:tcW w:w="60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省Ⅱ级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82" w:type="pct"/>
            <w:vMerge w:val="restar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蛇亚目Serpentes</w:t>
            </w:r>
          </w:p>
        </w:tc>
        <w:tc>
          <w:tcPr>
            <w:tcW w:w="1077" w:type="pct"/>
            <w:vMerge w:val="restar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游蛇科 Colubridae</w:t>
            </w:r>
          </w:p>
        </w:tc>
        <w:tc>
          <w:tcPr>
            <w:tcW w:w="71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黑眉锦蛇</w:t>
            </w:r>
          </w:p>
        </w:tc>
        <w:tc>
          <w:tcPr>
            <w:tcW w:w="17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Elaphe taeniura</w:t>
            </w:r>
          </w:p>
        </w:tc>
        <w:tc>
          <w:tcPr>
            <w:tcW w:w="60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省Ⅱ级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82"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1077"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71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乌梢蛇</w:t>
            </w:r>
          </w:p>
        </w:tc>
        <w:tc>
          <w:tcPr>
            <w:tcW w:w="17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Zaocys dhu</w:t>
            </w: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nades</w:t>
            </w:r>
          </w:p>
        </w:tc>
        <w:tc>
          <w:tcPr>
            <w:tcW w:w="60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省Ⅱ级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鸡形目 Gallifor</w:t>
            </w: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s</w:t>
            </w:r>
          </w:p>
        </w:tc>
        <w:tc>
          <w:tcPr>
            <w:tcW w:w="107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雉科 Phasianidae</w:t>
            </w:r>
          </w:p>
        </w:tc>
        <w:tc>
          <w:tcPr>
            <w:tcW w:w="71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环颈雉</w:t>
            </w:r>
          </w:p>
        </w:tc>
        <w:tc>
          <w:tcPr>
            <w:tcW w:w="17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Phasanus colchicus</w:t>
            </w:r>
          </w:p>
        </w:tc>
        <w:tc>
          <w:tcPr>
            <w:tcW w:w="60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省Ⅱ级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雀形目 Passerifor</w:t>
            </w: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es</w:t>
            </w:r>
          </w:p>
        </w:tc>
        <w:tc>
          <w:tcPr>
            <w:tcW w:w="107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伯劳科 Laniidae</w:t>
            </w:r>
          </w:p>
        </w:tc>
        <w:tc>
          <w:tcPr>
            <w:tcW w:w="71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棕背伯劳</w:t>
            </w:r>
          </w:p>
        </w:tc>
        <w:tc>
          <w:tcPr>
            <w:tcW w:w="17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Lanius schach</w:t>
            </w:r>
          </w:p>
        </w:tc>
        <w:tc>
          <w:tcPr>
            <w:tcW w:w="60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省Ⅱ级</w:t>
            </w:r>
          </w:p>
        </w:tc>
      </w:tr>
    </w:tbl>
    <w:p>
      <w:pPr>
        <w:pStyle w:val="6"/>
        <w:bidi w:val="0"/>
        <w:rPr>
          <w:rFonts w:hint="eastAsia"/>
        </w:rPr>
      </w:pPr>
      <w:r>
        <w:rPr>
          <w:rFonts w:hint="eastAsia"/>
          <w:lang w:val="en-US" w:eastAsia="zh-CN"/>
        </w:rPr>
        <w:t>3.6.2.4</w:t>
      </w:r>
      <w:r>
        <w:rPr>
          <w:rFonts w:hint="eastAsia"/>
        </w:rPr>
        <w:t>农业生态</w:t>
      </w:r>
    </w:p>
    <w:p>
      <w:pPr>
        <w:bidi w:val="0"/>
        <w:rPr>
          <w:rFonts w:hint="eastAsia"/>
        </w:rPr>
      </w:pPr>
      <w:r>
        <w:rPr>
          <w:rFonts w:hint="eastAsia"/>
        </w:rPr>
        <w:t>（1）耕地资源状况</w:t>
      </w:r>
    </w:p>
    <w:p>
      <w:pPr>
        <w:bidi w:val="0"/>
        <w:rPr>
          <w:rFonts w:hint="eastAsia"/>
        </w:rPr>
      </w:pPr>
      <w:r>
        <w:rPr>
          <w:rFonts w:hint="eastAsia"/>
        </w:rPr>
        <w:t>沙颍河沿线</w:t>
      </w:r>
      <w:r>
        <w:t>人均耕地数量</w:t>
      </w:r>
      <w:r>
        <w:rPr>
          <w:rFonts w:hint="eastAsia"/>
        </w:rPr>
        <w:t>紧张</w:t>
      </w:r>
      <w:r>
        <w:t>，</w:t>
      </w:r>
      <w:r>
        <w:rPr>
          <w:rFonts w:hint="eastAsia"/>
        </w:rPr>
        <w:t>普遍低于安徽省1.39亩/人的平均水平，且总体上颍上县和太和县的人均占有耕地面积相对高于界首市和阜阳市区。</w:t>
      </w:r>
    </w:p>
    <w:p>
      <w:pPr>
        <w:pStyle w:val="43"/>
        <w:bidi w:val="0"/>
        <w:rPr>
          <w:rFonts w:hint="eastAsia" w:ascii="Times New Roman" w:hAnsi="Times New Roman" w:eastAsia="宋体" w:cs="Times New Roman"/>
          <w:b/>
          <w:color w:val="auto"/>
          <w:sz w:val="21"/>
          <w:lang w:val="en-US" w:eastAsia="zh-CN"/>
        </w:rPr>
      </w:pPr>
      <w:r>
        <w:rPr>
          <w:rFonts w:hint="eastAsia" w:ascii="Times New Roman" w:hAnsi="Times New Roman" w:eastAsia="宋体" w:cs="Times New Roman"/>
          <w:b/>
          <w:color w:val="auto"/>
          <w:sz w:val="21"/>
          <w:lang w:val="en-US" w:eastAsia="zh-CN"/>
        </w:rPr>
        <w:t>表3.6-8 沙颍河（安徽段）沿线耕地情况统计表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4"/>
        <w:gridCol w:w="1415"/>
        <w:gridCol w:w="1442"/>
        <w:gridCol w:w="1442"/>
        <w:gridCol w:w="1299"/>
        <w:gridCol w:w="15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blHeader/>
          <w:jc w:val="center"/>
        </w:trPr>
        <w:tc>
          <w:tcPr>
            <w:tcW w:w="1660" w:type="pct"/>
            <w:gridSpan w:val="2"/>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行政区划</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土地面积</w:t>
            </w:r>
          </w:p>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（亩）</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耕地面积（亩）</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人口（人）</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人均耕地面积（亩/人）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restar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界首市</w:t>
            </w: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东城</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58650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23535</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69014</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西城</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26700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6360</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61056</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田营</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43500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21230</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30746</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颍南</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63000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17900</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31339</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restar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太和县</w:t>
            </w: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税镇</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63900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39000</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44319</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旧县</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104700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54812.3</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59600</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大新</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96000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59087</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52461</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肖口</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85500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55143</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60400</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城关</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94500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25367</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52000</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赵集</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85500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53409</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44302</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restar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颍泉区</w:t>
            </w: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闻集</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214500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118000</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128000</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宁老庄</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175500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96000</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100000</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行流</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172500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98000</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110000</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周棚</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131250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54000</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76013</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伍明</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212250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124345</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122013</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颍州区</w:t>
            </w: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三十里铺</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75000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2564</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41432</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restar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颍东区</w:t>
            </w: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口孜</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122745</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69000</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83000</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袁寨</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84000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39700</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6300</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杨楼</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61500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34697</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36275</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restar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颍上县</w:t>
            </w: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江口</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118500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74835</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84960</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古城</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85800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49095</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41463</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黄桥</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106500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54150</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66692</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夏桥</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138465</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60930</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50996</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刘集</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110250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65595</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59992</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杨湖</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74670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35595</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54498</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五十里铺</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93750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44175</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38366</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六十里铺</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108360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70095</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61791</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新集</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77160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42525</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48050</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建颍</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121500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71700</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75784</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慎城</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118185</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57960</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163254</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八里河</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118725</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44205</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56201</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垂岗</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37050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30615</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25550</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王岗</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115950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55440</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40760</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30" w:type="pct"/>
            <w:vMerge w:val="continue"/>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30" w:type="pct"/>
            <w:tcBorders>
              <w:left w:val="single" w:color="auto" w:sz="2" w:space="0"/>
            </w:tcBorders>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赛涧回族</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67500</w:t>
            </w:r>
          </w:p>
        </w:tc>
        <w:tc>
          <w:tcPr>
            <w:tcW w:w="84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27750</w:t>
            </w:r>
          </w:p>
        </w:tc>
        <w:tc>
          <w:tcPr>
            <w:tcW w:w="76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23995</w:t>
            </w:r>
          </w:p>
        </w:tc>
        <w:tc>
          <w:tcPr>
            <w:tcW w:w="88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1.16</w:t>
            </w:r>
          </w:p>
        </w:tc>
      </w:tr>
    </w:tbl>
    <w:p>
      <w:pPr>
        <w:bidi w:val="0"/>
        <w:rPr>
          <w:rFonts w:hint="eastAsia"/>
        </w:rPr>
      </w:pPr>
      <w:r>
        <w:rPr>
          <w:rFonts w:hint="eastAsia"/>
        </w:rPr>
        <w:t>（2）农业产业结构状况</w:t>
      </w:r>
    </w:p>
    <w:p>
      <w:pPr>
        <w:bidi w:val="0"/>
        <w:rPr>
          <w:rFonts w:hint="eastAsia"/>
        </w:rPr>
      </w:pPr>
      <w:r>
        <w:t>阜阳</w:t>
      </w:r>
      <w:r>
        <w:rPr>
          <w:rFonts w:hint="eastAsia"/>
        </w:rPr>
        <w:t>市</w:t>
      </w:r>
      <w:r>
        <w:t>地处黄淮海平原，在我国南北气候分界线</w:t>
      </w:r>
      <w:r>
        <w:fldChar w:fldCharType="begin"/>
      </w:r>
      <w:r>
        <w:instrText xml:space="preserve"> HYPERLINK "http://baike.baidu.com/view/32665.htm" \t "_blank" </w:instrText>
      </w:r>
      <w:r>
        <w:fldChar w:fldCharType="separate"/>
      </w:r>
      <w:r>
        <w:t>秦岭</w:t>
      </w:r>
      <w:r>
        <w:fldChar w:fldCharType="end"/>
      </w:r>
      <w:r>
        <w:t>、淮河一线的交界处，地势平坦，四季分明，雨量适中，光照充足，适宜各类农作物和动植物的生长繁育，盛产</w:t>
      </w:r>
      <w:r>
        <w:fldChar w:fldCharType="begin"/>
      </w:r>
      <w:r>
        <w:instrText xml:space="preserve"> HYPERLINK "http://baike.baidu.com/view/22057.htm" \t "_blank" </w:instrText>
      </w:r>
      <w:r>
        <w:fldChar w:fldCharType="separate"/>
      </w:r>
      <w:r>
        <w:t>小麦</w:t>
      </w:r>
      <w:r>
        <w:fldChar w:fldCharType="end"/>
      </w:r>
      <w:r>
        <w:t>、</w:t>
      </w:r>
      <w:r>
        <w:fldChar w:fldCharType="begin"/>
      </w:r>
      <w:r>
        <w:instrText xml:space="preserve"> HYPERLINK "http://baike.baidu.com/view/25785.htm" \t "_blank" </w:instrText>
      </w:r>
      <w:r>
        <w:fldChar w:fldCharType="separate"/>
      </w:r>
      <w:r>
        <w:t>水稻</w:t>
      </w:r>
      <w:r>
        <w:fldChar w:fldCharType="end"/>
      </w:r>
      <w:r>
        <w:t>、</w:t>
      </w:r>
      <w:r>
        <w:fldChar w:fldCharType="begin"/>
      </w:r>
      <w:r>
        <w:instrText xml:space="preserve"> HYPERLINK "http://baike.baidu.com/view/60418.htm" \t "_blank" </w:instrText>
      </w:r>
      <w:r>
        <w:fldChar w:fldCharType="separate"/>
      </w:r>
      <w:r>
        <w:t>红薯</w:t>
      </w:r>
      <w:r>
        <w:fldChar w:fldCharType="end"/>
      </w:r>
      <w:r>
        <w:t>、</w:t>
      </w:r>
      <w:r>
        <w:fldChar w:fldCharType="begin"/>
      </w:r>
      <w:r>
        <w:instrText xml:space="preserve"> HYPERLINK "http://baike.baidu.com/view/23905.htm" \t "_blank" </w:instrText>
      </w:r>
      <w:r>
        <w:fldChar w:fldCharType="separate"/>
      </w:r>
      <w:r>
        <w:t>棉花</w:t>
      </w:r>
      <w:r>
        <w:fldChar w:fldCharType="end"/>
      </w:r>
      <w:r>
        <w:t>、</w:t>
      </w:r>
      <w:r>
        <w:fldChar w:fldCharType="begin"/>
      </w:r>
      <w:r>
        <w:instrText xml:space="preserve"> HYPERLINK "http://baike.baidu.com/view/1243.htm" \t "_blank" </w:instrText>
      </w:r>
      <w:r>
        <w:fldChar w:fldCharType="separate"/>
      </w:r>
      <w:r>
        <w:t>玉米</w:t>
      </w:r>
      <w:r>
        <w:fldChar w:fldCharType="end"/>
      </w:r>
      <w:r>
        <w:t>、</w:t>
      </w:r>
      <w:r>
        <w:fldChar w:fldCharType="begin"/>
      </w:r>
      <w:r>
        <w:instrText xml:space="preserve"> HYPERLINK "http://baike.baidu.com/view/30289.htm" \t "_blank" </w:instrText>
      </w:r>
      <w:r>
        <w:fldChar w:fldCharType="separate"/>
      </w:r>
      <w:r>
        <w:t>大豆</w:t>
      </w:r>
      <w:r>
        <w:fldChar w:fldCharType="end"/>
      </w:r>
      <w:r>
        <w:t>和水果、蔬菜、</w:t>
      </w:r>
      <w:r>
        <w:fldChar w:fldCharType="begin"/>
      </w:r>
      <w:r>
        <w:instrText xml:space="preserve"> HYPERLINK "http://baike.baidu.com/view/18986.htm" \t "_blank" </w:instrText>
      </w:r>
      <w:r>
        <w:fldChar w:fldCharType="separate"/>
      </w:r>
      <w:r>
        <w:t>薄荷</w:t>
      </w:r>
      <w:r>
        <w:fldChar w:fldCharType="end"/>
      </w:r>
      <w:r>
        <w:t>、中药材等，是国家重要的农副产品基地，全国</w:t>
      </w:r>
      <w:r>
        <w:fldChar w:fldCharType="begin"/>
      </w:r>
      <w:r>
        <w:instrText xml:space="preserve"> HYPERLINK "http://baike.baidu.com/view/666229.htm" \t "_blank" </w:instrText>
      </w:r>
      <w:r>
        <w:fldChar w:fldCharType="separate"/>
      </w:r>
      <w:r>
        <w:t>秸秆</w:t>
      </w:r>
      <w:r>
        <w:fldChar w:fldCharType="end"/>
      </w:r>
      <w:r>
        <w:t>养牛示范基地和山羊板皮重点产地。</w:t>
      </w:r>
    </w:p>
    <w:p>
      <w:pPr>
        <w:bidi w:val="0"/>
      </w:pPr>
      <w:r>
        <w:rPr>
          <w:rFonts w:hint="eastAsia"/>
        </w:rPr>
        <w:t>沙颍河沿线各区县</w:t>
      </w:r>
      <w:r>
        <w:t>的农业生产基本情况见表</w:t>
      </w:r>
      <w:r>
        <w:rPr>
          <w:rFonts w:hint="eastAsia"/>
          <w:lang w:val="en-US" w:eastAsia="zh-CN"/>
        </w:rPr>
        <w:t>3.6</w:t>
      </w:r>
      <w:r>
        <w:t>-</w:t>
      </w:r>
      <w:r>
        <w:rPr>
          <w:rFonts w:hint="eastAsia"/>
          <w:lang w:val="en-US" w:eastAsia="zh-CN"/>
        </w:rPr>
        <w:t>9</w:t>
      </w:r>
      <w:r>
        <w:t>。</w:t>
      </w:r>
    </w:p>
    <w:p>
      <w:pPr>
        <w:pStyle w:val="2"/>
        <w:spacing w:line="240" w:lineRule="auto"/>
        <w:ind w:firstLine="480"/>
        <w:rPr>
          <w:rFonts w:hint="eastAsia" w:eastAsia="宋体"/>
          <w:sz w:val="24"/>
          <w:lang w:eastAsia="zh-CN"/>
        </w:rPr>
      </w:pPr>
      <w:r>
        <w:rPr>
          <w:rFonts w:hint="eastAsia" w:eastAsia="宋体"/>
          <w:sz w:val="24"/>
          <w:lang w:eastAsia="zh-CN"/>
        </w:rPr>
        <w:drawing>
          <wp:inline distT="0" distB="0" distL="114300" distR="114300">
            <wp:extent cx="4691380" cy="5047615"/>
            <wp:effectExtent l="0" t="0" r="13970" b="635"/>
            <wp:docPr id="91" name="图片 91" descr="c95c2853103452bb9780c6fbf8102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c95c2853103452bb9780c6fbf8102ce"/>
                    <pic:cNvPicPr>
                      <a:picLocks noChangeAspect="1"/>
                    </pic:cNvPicPr>
                  </pic:nvPicPr>
                  <pic:blipFill>
                    <a:blip r:embed="rId32"/>
                    <a:stretch>
                      <a:fillRect/>
                    </a:stretch>
                  </pic:blipFill>
                  <pic:spPr>
                    <a:xfrm>
                      <a:off x="0" y="0"/>
                      <a:ext cx="4691380" cy="5047615"/>
                    </a:xfrm>
                    <a:prstGeom prst="rect">
                      <a:avLst/>
                    </a:prstGeom>
                  </pic:spPr>
                </pic:pic>
              </a:graphicData>
            </a:graphic>
          </wp:inline>
        </w:drawing>
      </w:r>
    </w:p>
    <w:p>
      <w:pPr>
        <w:pStyle w:val="2"/>
        <w:spacing w:line="240" w:lineRule="auto"/>
        <w:ind w:firstLine="480"/>
        <w:jc w:val="center"/>
        <w:rPr>
          <w:rFonts w:hint="eastAsia"/>
          <w:b/>
          <w:szCs w:val="21"/>
        </w:rPr>
      </w:pPr>
      <w:r>
        <w:rPr>
          <w:rFonts w:hint="eastAsia" w:ascii="Times New Roman" w:hAnsi="Times New Roman" w:eastAsia="黑体" w:cs="Times New Roman"/>
          <w:color w:val="auto"/>
          <w:kern w:val="0"/>
          <w:sz w:val="24"/>
          <w:szCs w:val="24"/>
          <w:shd w:val="clear" w:color="auto" w:fill="auto"/>
          <w:lang w:val="en-US" w:eastAsia="zh-CN" w:bidi="ar-SA"/>
        </w:rPr>
        <w:t>图3.6-2 沙颍河沿线土地利用图</w:t>
      </w:r>
    </w:p>
    <w:p>
      <w:pPr>
        <w:pStyle w:val="43"/>
        <w:bidi w:val="0"/>
        <w:rPr>
          <w:rFonts w:hint="eastAsia" w:ascii="Times New Roman" w:hAnsi="Times New Roman" w:eastAsia="宋体" w:cs="Times New Roman"/>
          <w:b/>
          <w:color w:val="auto"/>
          <w:sz w:val="21"/>
          <w:lang w:val="en-US" w:eastAsia="zh-CN"/>
        </w:rPr>
      </w:pPr>
      <w:r>
        <w:rPr>
          <w:rFonts w:hint="eastAsia" w:ascii="Times New Roman" w:hAnsi="Times New Roman" w:eastAsia="宋体" w:cs="Times New Roman"/>
          <w:b/>
          <w:color w:val="auto"/>
          <w:sz w:val="21"/>
          <w:lang w:val="en-US" w:eastAsia="zh-CN"/>
        </w:rPr>
        <w:t>表3.6-9  沙颍河（安徽段）沿线农业生产基本情况〔单位：万元〕</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1"/>
        <w:gridCol w:w="1498"/>
        <w:gridCol w:w="861"/>
        <w:gridCol w:w="881"/>
        <w:gridCol w:w="881"/>
        <w:gridCol w:w="862"/>
        <w:gridCol w:w="862"/>
        <w:gridCol w:w="863"/>
        <w:gridCol w:w="8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58" w:type="pct"/>
            <w:vMerge w:val="restar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行政区</w:t>
            </w:r>
          </w:p>
        </w:tc>
        <w:tc>
          <w:tcPr>
            <w:tcW w:w="1383" w:type="pct"/>
            <w:gridSpan w:val="2"/>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种植业</w:t>
            </w:r>
          </w:p>
        </w:tc>
        <w:tc>
          <w:tcPr>
            <w:tcW w:w="1034" w:type="pct"/>
            <w:gridSpan w:val="2"/>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林业</w:t>
            </w:r>
          </w:p>
        </w:tc>
        <w:tc>
          <w:tcPr>
            <w:tcW w:w="1012" w:type="pct"/>
            <w:gridSpan w:val="2"/>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牧业</w:t>
            </w:r>
          </w:p>
        </w:tc>
        <w:tc>
          <w:tcPr>
            <w:tcW w:w="1013" w:type="pct"/>
            <w:gridSpan w:val="2"/>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渔业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58"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产值</w:t>
            </w:r>
          </w:p>
        </w:tc>
        <w:tc>
          <w:tcPr>
            <w:tcW w:w="50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w:t>
            </w:r>
          </w:p>
        </w:tc>
        <w:tc>
          <w:tcPr>
            <w:tcW w:w="5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产值</w:t>
            </w:r>
          </w:p>
        </w:tc>
        <w:tc>
          <w:tcPr>
            <w:tcW w:w="5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产值</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产值</w:t>
            </w:r>
          </w:p>
        </w:tc>
        <w:tc>
          <w:tcPr>
            <w:tcW w:w="50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5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界首市</w:t>
            </w:r>
          </w:p>
        </w:tc>
        <w:tc>
          <w:tcPr>
            <w:tcW w:w="8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152057</w:t>
            </w:r>
          </w:p>
        </w:tc>
        <w:tc>
          <w:tcPr>
            <w:tcW w:w="50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55.7</w:t>
            </w:r>
          </w:p>
        </w:tc>
        <w:tc>
          <w:tcPr>
            <w:tcW w:w="5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16761</w:t>
            </w:r>
          </w:p>
        </w:tc>
        <w:tc>
          <w:tcPr>
            <w:tcW w:w="5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6.1</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90702</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33.2</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4970</w:t>
            </w:r>
          </w:p>
        </w:tc>
        <w:tc>
          <w:tcPr>
            <w:tcW w:w="50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5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太和县</w:t>
            </w:r>
          </w:p>
        </w:tc>
        <w:tc>
          <w:tcPr>
            <w:tcW w:w="8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297535</w:t>
            </w:r>
          </w:p>
        </w:tc>
        <w:tc>
          <w:tcPr>
            <w:tcW w:w="50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57.2</w:t>
            </w:r>
          </w:p>
        </w:tc>
        <w:tc>
          <w:tcPr>
            <w:tcW w:w="5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17117</w:t>
            </w:r>
          </w:p>
        </w:tc>
        <w:tc>
          <w:tcPr>
            <w:tcW w:w="5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3.3</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186972</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1.7</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8276</w:t>
            </w:r>
          </w:p>
        </w:tc>
        <w:tc>
          <w:tcPr>
            <w:tcW w:w="50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5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颍州区</w:t>
            </w:r>
          </w:p>
        </w:tc>
        <w:tc>
          <w:tcPr>
            <w:tcW w:w="8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88265</w:t>
            </w:r>
          </w:p>
        </w:tc>
        <w:tc>
          <w:tcPr>
            <w:tcW w:w="50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50.0</w:t>
            </w:r>
          </w:p>
        </w:tc>
        <w:tc>
          <w:tcPr>
            <w:tcW w:w="5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6629</w:t>
            </w:r>
          </w:p>
        </w:tc>
        <w:tc>
          <w:tcPr>
            <w:tcW w:w="5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3.8</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71377</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40.4</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4176</w:t>
            </w:r>
          </w:p>
        </w:tc>
        <w:tc>
          <w:tcPr>
            <w:tcW w:w="50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5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颍东区</w:t>
            </w:r>
          </w:p>
        </w:tc>
        <w:tc>
          <w:tcPr>
            <w:tcW w:w="8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106055</w:t>
            </w:r>
          </w:p>
        </w:tc>
        <w:tc>
          <w:tcPr>
            <w:tcW w:w="50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49.6</w:t>
            </w:r>
          </w:p>
        </w:tc>
        <w:tc>
          <w:tcPr>
            <w:tcW w:w="5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5799</w:t>
            </w:r>
          </w:p>
        </w:tc>
        <w:tc>
          <w:tcPr>
            <w:tcW w:w="5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2.7</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90205</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42.2</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5537</w:t>
            </w:r>
          </w:p>
        </w:tc>
        <w:tc>
          <w:tcPr>
            <w:tcW w:w="50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5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颍泉区</w:t>
            </w:r>
          </w:p>
        </w:tc>
        <w:tc>
          <w:tcPr>
            <w:tcW w:w="8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112927</w:t>
            </w:r>
          </w:p>
        </w:tc>
        <w:tc>
          <w:tcPr>
            <w:tcW w:w="50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51.6</w:t>
            </w:r>
          </w:p>
        </w:tc>
        <w:tc>
          <w:tcPr>
            <w:tcW w:w="5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6341</w:t>
            </w:r>
          </w:p>
        </w:tc>
        <w:tc>
          <w:tcPr>
            <w:tcW w:w="5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2.9</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86914</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39.7</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6695</w:t>
            </w:r>
          </w:p>
        </w:tc>
        <w:tc>
          <w:tcPr>
            <w:tcW w:w="50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5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颍上县</w:t>
            </w:r>
          </w:p>
        </w:tc>
        <w:tc>
          <w:tcPr>
            <w:tcW w:w="8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226402</w:t>
            </w:r>
          </w:p>
        </w:tc>
        <w:tc>
          <w:tcPr>
            <w:tcW w:w="50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46.6</w:t>
            </w:r>
          </w:p>
        </w:tc>
        <w:tc>
          <w:tcPr>
            <w:tcW w:w="5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22621</w:t>
            </w:r>
          </w:p>
        </w:tc>
        <w:tc>
          <w:tcPr>
            <w:tcW w:w="51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4.7</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192065</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39.5</w:t>
            </w:r>
          </w:p>
        </w:tc>
        <w:tc>
          <w:tcPr>
            <w:tcW w:w="50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31272</w:t>
            </w:r>
          </w:p>
        </w:tc>
        <w:tc>
          <w:tcPr>
            <w:tcW w:w="50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6.4</w:t>
            </w:r>
          </w:p>
        </w:tc>
      </w:tr>
    </w:tbl>
    <w:p>
      <w:pPr>
        <w:bidi w:val="0"/>
        <w:rPr>
          <w:rFonts w:hint="eastAsia"/>
        </w:rPr>
      </w:pPr>
      <w:r>
        <w:rPr>
          <w:rFonts w:hint="eastAsia"/>
        </w:rPr>
        <w:t>由表</w:t>
      </w:r>
      <w:r>
        <w:rPr>
          <w:rFonts w:hint="eastAsia"/>
          <w:lang w:val="en-US" w:eastAsia="zh-CN"/>
        </w:rPr>
        <w:t>3.6</w:t>
      </w:r>
      <w:r>
        <w:t>-</w:t>
      </w:r>
      <w:r>
        <w:rPr>
          <w:rFonts w:hint="eastAsia"/>
          <w:lang w:val="en-US" w:eastAsia="zh-CN"/>
        </w:rPr>
        <w:t>9</w:t>
      </w:r>
      <w:r>
        <w:rPr>
          <w:rFonts w:hint="eastAsia"/>
        </w:rPr>
        <w:t>可以看出：</w:t>
      </w:r>
    </w:p>
    <w:p>
      <w:pPr>
        <w:bidi w:val="0"/>
        <w:rPr>
          <w:rFonts w:hint="eastAsia"/>
        </w:rPr>
      </w:pPr>
      <w:r>
        <w:rPr>
          <w:rFonts w:hint="eastAsia"/>
        </w:rPr>
        <w:t>（1）沙颍河（安徽段）航道整治工程项目沿线以种植业为主，基本均超过农业生产总值的50%；</w:t>
      </w:r>
    </w:p>
    <w:p>
      <w:pPr>
        <w:bidi w:val="0"/>
      </w:pPr>
      <w:r>
        <w:rPr>
          <w:rFonts w:hint="eastAsia"/>
        </w:rPr>
        <w:t>（2）</w:t>
      </w:r>
      <w:r>
        <w:t>林业</w:t>
      </w:r>
      <w:r>
        <w:rPr>
          <w:rFonts w:hint="eastAsia"/>
        </w:rPr>
        <w:t>和渔业</w:t>
      </w:r>
      <w:r>
        <w:t>产值所占比例均</w:t>
      </w:r>
      <w:r>
        <w:rPr>
          <w:rFonts w:hint="eastAsia"/>
        </w:rPr>
        <w:t>较小</w:t>
      </w:r>
      <w:r>
        <w:t>，</w:t>
      </w:r>
      <w:r>
        <w:rPr>
          <w:rFonts w:hint="eastAsia"/>
        </w:rPr>
        <w:t>均不足</w:t>
      </w:r>
      <w:r>
        <w:t>农业总产值</w:t>
      </w:r>
      <w:r>
        <w:rPr>
          <w:rFonts w:hint="eastAsia"/>
        </w:rPr>
        <w:t>7</w:t>
      </w:r>
      <w:r>
        <w:t>％；</w:t>
      </w:r>
    </w:p>
    <w:p>
      <w:pPr>
        <w:bidi w:val="0"/>
        <w:rPr>
          <w:rFonts w:hint="eastAsia"/>
        </w:rPr>
      </w:pPr>
      <w:r>
        <w:rPr>
          <w:rFonts w:hint="eastAsia"/>
        </w:rPr>
        <w:t>（3）除太和县外，沙颍河（安徽段）航道整治工程项目沿线的畜牧业相对较发达，大部分区域的</w:t>
      </w:r>
      <w:r>
        <w:t>牧业</w:t>
      </w:r>
      <w:r>
        <w:rPr>
          <w:rFonts w:hint="eastAsia"/>
        </w:rPr>
        <w:t>产值均超过农业生产总值的40%</w:t>
      </w:r>
      <w:r>
        <w:t>。</w:t>
      </w:r>
    </w:p>
    <w:p>
      <w:pPr>
        <w:pStyle w:val="5"/>
        <w:numPr>
          <w:numId w:val="0"/>
        </w:numPr>
        <w:tabs>
          <w:tab w:val="left" w:pos="993"/>
        </w:tabs>
        <w:spacing w:before="240" w:beforeLines="100" w:after="120" w:afterLines="50" w:line="240" w:lineRule="auto"/>
        <w:ind w:left="142" w:leftChars="0" w:right="108" w:rightChars="0"/>
        <w:rPr>
          <w:sz w:val="24"/>
          <w:szCs w:val="24"/>
        </w:rPr>
      </w:pPr>
      <w:r>
        <w:rPr>
          <w:rFonts w:hint="eastAsia"/>
          <w:sz w:val="24"/>
          <w:szCs w:val="24"/>
          <w:lang w:val="en-US" w:eastAsia="zh-CN"/>
        </w:rPr>
        <w:t>3.6.3</w:t>
      </w:r>
      <w:r>
        <w:rPr>
          <w:rFonts w:hint="eastAsia"/>
          <w:sz w:val="24"/>
          <w:szCs w:val="24"/>
        </w:rPr>
        <w:t>水生生态环境现状</w:t>
      </w:r>
    </w:p>
    <w:p>
      <w:pPr>
        <w:pStyle w:val="6"/>
        <w:bidi w:val="0"/>
        <w:rPr>
          <w:rFonts w:hint="eastAsia"/>
        </w:rPr>
      </w:pPr>
      <w:r>
        <w:rPr>
          <w:rFonts w:hint="eastAsia"/>
          <w:lang w:val="en-US" w:eastAsia="zh-CN"/>
        </w:rPr>
        <w:t>3.6.3.1</w:t>
      </w:r>
      <w:r>
        <w:t>浮游植物</w:t>
      </w:r>
    </w:p>
    <w:p>
      <w:pPr>
        <w:bidi w:val="0"/>
      </w:pPr>
      <w:r>
        <w:rPr>
          <w:rFonts w:hint="eastAsia"/>
        </w:rPr>
        <w:t>（1）</w:t>
      </w:r>
      <w:r>
        <w:t>种类组成</w:t>
      </w:r>
    </w:p>
    <w:p>
      <w:pPr>
        <w:bidi w:val="0"/>
      </w:pPr>
      <w:r>
        <w:rPr>
          <w:rFonts w:hint="eastAsia"/>
        </w:rPr>
        <w:t>根据</w:t>
      </w:r>
      <w:r>
        <w:t>对</w:t>
      </w:r>
      <w:r>
        <w:rPr>
          <w:rFonts w:hint="eastAsia"/>
        </w:rPr>
        <w:t>沙颍河（安徽段）</w:t>
      </w:r>
      <w:r>
        <w:t>沿线水域采样点进行浮游生物的定性</w:t>
      </w:r>
      <w:r>
        <w:rPr>
          <w:rFonts w:hint="eastAsia"/>
        </w:rPr>
        <w:t>和定量</w:t>
      </w:r>
      <w:r>
        <w:t>调查，在本季节共发现浮游植物</w:t>
      </w:r>
      <w:r>
        <w:rPr>
          <w:rFonts w:hint="eastAsia"/>
        </w:rPr>
        <w:t>7</w:t>
      </w:r>
      <w:r>
        <w:t>门2</w:t>
      </w:r>
      <w:r>
        <w:rPr>
          <w:rFonts w:hint="eastAsia"/>
        </w:rPr>
        <w:t>1</w:t>
      </w:r>
      <w:r>
        <w:t>种，其中硅藻门（Bacillariophyta）</w:t>
      </w:r>
      <w:r>
        <w:rPr>
          <w:rFonts w:hint="eastAsia"/>
        </w:rPr>
        <w:t>8种，占浮游植物种类数的38%，</w:t>
      </w:r>
      <w:r>
        <w:t>绿藻门（Chlorophyta）</w:t>
      </w:r>
      <w:r>
        <w:rPr>
          <w:rFonts w:hint="eastAsia"/>
        </w:rPr>
        <w:t>、</w:t>
      </w:r>
      <w:r>
        <w:t>金藻门（Chrysophyta）、隐藻门（Cryptophyta）</w:t>
      </w:r>
      <w:r>
        <w:rPr>
          <w:rFonts w:hint="eastAsia"/>
        </w:rPr>
        <w:t>分别有3种，分别占浮游植物种类数的14%，</w:t>
      </w:r>
      <w:r>
        <w:t>裸藻门（Euglenophyta）</w:t>
      </w:r>
      <w:r>
        <w:rPr>
          <w:rFonts w:hint="eastAsia"/>
        </w:rPr>
        <w:t>2种，占浮游植物种类数的10%，</w:t>
      </w:r>
      <w:r>
        <w:t>甲藻门（Pyrrophyta）</w:t>
      </w:r>
      <w:r>
        <w:rPr>
          <w:rFonts w:hint="eastAsia"/>
        </w:rPr>
        <w:t>和</w:t>
      </w:r>
      <w:r>
        <w:t>蓝藻门（Cyanophyta）</w:t>
      </w:r>
      <w:r>
        <w:rPr>
          <w:rFonts w:hint="eastAsia"/>
        </w:rPr>
        <w:t>分别有1种，分别占浮游植物种类数的5%(附表6)</w:t>
      </w:r>
      <w:r>
        <w:t>。</w:t>
      </w:r>
    </w:p>
    <w:p>
      <w:pPr>
        <w:bidi w:val="0"/>
      </w:pPr>
      <w:r>
        <w:rPr>
          <w:rFonts w:hint="eastAsia"/>
        </w:rPr>
        <w:t>（2）</w:t>
      </w:r>
      <w:r>
        <w:t>优势种与常见种</w:t>
      </w:r>
    </w:p>
    <w:p>
      <w:pPr>
        <w:bidi w:val="0"/>
      </w:pPr>
      <w:r>
        <w:rPr>
          <w:rFonts w:hint="eastAsia"/>
        </w:rPr>
        <w:t>沙颍河（安徽段）</w:t>
      </w:r>
      <w:r>
        <w:t>调查水域浮游植物优势种和常见种</w:t>
      </w:r>
      <w:r>
        <w:rPr>
          <w:rFonts w:hint="eastAsia"/>
        </w:rPr>
        <w:t>包括</w:t>
      </w:r>
      <w:r>
        <w:t>：啮蚀隐藻（Crypto</w:t>
      </w:r>
      <w:r>
        <w:rPr>
          <w:rFonts w:hint="eastAsia"/>
          <w:lang w:eastAsia="zh-CN"/>
        </w:rPr>
        <w:t>m</w:t>
      </w:r>
      <w:r>
        <w:t>onas erosa）、舟形藻（Navicula</w:t>
      </w:r>
      <w:r>
        <w:rPr>
          <w:rFonts w:hint="eastAsia"/>
        </w:rPr>
        <w:t xml:space="preserve"> </w:t>
      </w:r>
      <w:r>
        <w:t>sp.）、</w:t>
      </w:r>
      <w:r>
        <w:rPr>
          <w:rFonts w:hint="eastAsia"/>
        </w:rPr>
        <w:t>囊状柄裸藻（</w:t>
      </w:r>
      <w:r>
        <w:t>Colaciu</w:t>
      </w:r>
      <w:r>
        <w:rPr>
          <w:rFonts w:hint="eastAsia"/>
          <w:lang w:eastAsia="zh-CN"/>
        </w:rPr>
        <w:t>m</w:t>
      </w:r>
      <w:r>
        <w:t xml:space="preserve"> vesiculosu</w:t>
      </w:r>
      <w:r>
        <w:rPr>
          <w:rFonts w:hint="eastAsia"/>
          <w:lang w:eastAsia="zh-CN"/>
        </w:rPr>
        <w:t>m</w:t>
      </w:r>
      <w:r>
        <w:rPr>
          <w:rFonts w:hint="eastAsia"/>
        </w:rPr>
        <w:t>）、</w:t>
      </w:r>
      <w:r>
        <w:t>针杆藻（Synedra</w:t>
      </w:r>
      <w:r>
        <w:rPr>
          <w:rFonts w:hint="eastAsia"/>
        </w:rPr>
        <w:t xml:space="preserve"> </w:t>
      </w:r>
      <w:r>
        <w:t>sp.）、</w:t>
      </w:r>
      <w:r>
        <w:rPr>
          <w:rFonts w:hint="eastAsia"/>
        </w:rPr>
        <w:t>圆柱扁裸藻（</w:t>
      </w:r>
      <w:r>
        <w:t>Phacus orbicularis</w:t>
      </w:r>
      <w:r>
        <w:rPr>
          <w:rFonts w:hint="eastAsia"/>
        </w:rPr>
        <w:t>）、脆杆藻（</w:t>
      </w:r>
      <w:r>
        <w:t>Fragilaria sp.</w:t>
      </w:r>
      <w:r>
        <w:rPr>
          <w:rFonts w:hint="eastAsia"/>
        </w:rPr>
        <w:t>）、具尾蓝隐藻（</w:t>
      </w:r>
      <w:r>
        <w:t>Chroo</w:t>
      </w:r>
      <w:r>
        <w:rPr>
          <w:rFonts w:hint="eastAsia"/>
          <w:lang w:eastAsia="zh-CN"/>
        </w:rPr>
        <w:t>m</w:t>
      </w:r>
      <w:r>
        <w:t>onas caudata</w:t>
      </w:r>
      <w:r>
        <w:rPr>
          <w:rFonts w:hint="eastAsia"/>
        </w:rPr>
        <w:t>）、卵形隐藻（</w:t>
      </w:r>
      <w:r>
        <w:t>Crypto</w:t>
      </w:r>
      <w:r>
        <w:rPr>
          <w:rFonts w:hint="eastAsia"/>
          <w:lang w:eastAsia="zh-CN"/>
        </w:rPr>
        <w:t>m</w:t>
      </w:r>
      <w:r>
        <w:t>onas</w:t>
      </w:r>
      <w:r>
        <w:rPr>
          <w:rFonts w:hint="eastAsia"/>
        </w:rPr>
        <w:t xml:space="preserve"> </w:t>
      </w:r>
      <w:r>
        <w:t>ovata</w:t>
      </w:r>
      <w:r>
        <w:rPr>
          <w:rFonts w:hint="eastAsia"/>
        </w:rPr>
        <w:t>）、小环藻（</w:t>
      </w:r>
      <w:r>
        <w:t>Cyclotella sp.</w:t>
      </w:r>
      <w:r>
        <w:rPr>
          <w:rFonts w:hint="eastAsia"/>
        </w:rPr>
        <w:t>）、纤维藻（</w:t>
      </w:r>
      <w:r>
        <w:t>Ankistrodes</w:t>
      </w:r>
      <w:r>
        <w:rPr>
          <w:rFonts w:hint="eastAsia"/>
          <w:lang w:eastAsia="zh-CN"/>
        </w:rPr>
        <w:t>m</w:t>
      </w:r>
      <w:r>
        <w:t>us sp.</w:t>
      </w:r>
      <w:r>
        <w:rPr>
          <w:rFonts w:hint="eastAsia"/>
        </w:rPr>
        <w:t>）、旋转黄团藻（</w:t>
      </w:r>
      <w:r>
        <w:t>Uroglena volvox</w:t>
      </w:r>
      <w:r>
        <w:rPr>
          <w:rFonts w:hint="eastAsia"/>
        </w:rPr>
        <w:t>）等。</w:t>
      </w:r>
    </w:p>
    <w:p>
      <w:pPr>
        <w:bidi w:val="0"/>
      </w:pPr>
      <w:r>
        <w:rPr>
          <w:rFonts w:hint="eastAsia"/>
        </w:rPr>
        <w:t xml:space="preserve">（3） </w:t>
      </w:r>
      <w:r>
        <w:t>密度和生物量</w:t>
      </w:r>
    </w:p>
    <w:p>
      <w:pPr>
        <w:bidi w:val="0"/>
        <w:rPr>
          <w:rFonts w:hint="eastAsia"/>
        </w:rPr>
      </w:pPr>
      <w:r>
        <w:t>分析</w:t>
      </w:r>
      <w:r>
        <w:rPr>
          <w:rFonts w:hint="eastAsia"/>
        </w:rPr>
        <w:t>沙颍河安徽段调查区域</w:t>
      </w:r>
      <w:r>
        <w:t>所得浮游植物的密度和生物量可以发现：密度以</w:t>
      </w:r>
      <w:r>
        <w:rPr>
          <w:rFonts w:hint="eastAsia"/>
        </w:rPr>
        <w:t>蓝</w:t>
      </w:r>
      <w:r>
        <w:t>藻门最大，为</w:t>
      </w:r>
      <w:r>
        <w:rPr>
          <w:rFonts w:hint="eastAsia"/>
        </w:rPr>
        <w:t xml:space="preserve">15000 </w:t>
      </w:r>
      <w:r>
        <w:t>ind.·L-1，硅藻门、绿藻门</w:t>
      </w:r>
      <w:r>
        <w:rPr>
          <w:rFonts w:hint="eastAsia"/>
        </w:rPr>
        <w:t>、</w:t>
      </w:r>
      <w:r>
        <w:t>金藻门密度也较大，分别为</w:t>
      </w:r>
      <w:r>
        <w:rPr>
          <w:rFonts w:hint="eastAsia"/>
        </w:rPr>
        <w:t>3500</w:t>
      </w:r>
      <w:r>
        <w:t xml:space="preserve"> ind.·L-1，</w:t>
      </w:r>
      <w:r>
        <w:rPr>
          <w:rFonts w:hint="eastAsia"/>
        </w:rPr>
        <w:t>3000</w:t>
      </w:r>
      <w:r>
        <w:t xml:space="preserve"> ind.·L-1，</w:t>
      </w:r>
      <w:r>
        <w:rPr>
          <w:rFonts w:hint="eastAsia"/>
        </w:rPr>
        <w:t>2000</w:t>
      </w:r>
      <w:r>
        <w:t xml:space="preserve"> ind.·L-1，以甲藻门密度最小，为</w:t>
      </w:r>
      <w:r>
        <w:rPr>
          <w:rFonts w:hint="eastAsia"/>
        </w:rPr>
        <w:t xml:space="preserve">15 </w:t>
      </w:r>
      <w:r>
        <w:t>ind.·L-1。在生物量方面，生物量以</w:t>
      </w:r>
      <w:r>
        <w:rPr>
          <w:rFonts w:hint="eastAsia"/>
        </w:rPr>
        <w:t>蓝</w:t>
      </w:r>
      <w:r>
        <w:t>藻门最大，为</w:t>
      </w:r>
      <w:r>
        <w:rPr>
          <w:rFonts w:hint="eastAsia"/>
        </w:rPr>
        <w:t>44</w:t>
      </w:r>
      <w:r>
        <w:t>.</w:t>
      </w:r>
      <w:r>
        <w:rPr>
          <w:rFonts w:hint="eastAsia"/>
        </w:rPr>
        <w:t>9</w:t>
      </w:r>
      <w:r>
        <w:t>5</w:t>
      </w:r>
      <w:r>
        <w:rPr>
          <w:rFonts w:hint="eastAsia"/>
        </w:rPr>
        <w:t xml:space="preserve"> </w:t>
      </w:r>
      <w:r>
        <w:rPr>
          <w:rFonts w:hint="eastAsia"/>
          <w:lang w:eastAsia="zh-CN"/>
        </w:rPr>
        <w:t>m</w:t>
      </w:r>
      <w:r>
        <w:t>g·L-1，硅藻门、绿藻门</w:t>
      </w:r>
      <w:r>
        <w:rPr>
          <w:rFonts w:hint="eastAsia"/>
        </w:rPr>
        <w:t>、</w:t>
      </w:r>
      <w:r>
        <w:t>金藻门生物量也较大，以</w:t>
      </w:r>
      <w:r>
        <w:rPr>
          <w:rFonts w:hint="eastAsia"/>
        </w:rPr>
        <w:t>甲</w:t>
      </w:r>
      <w:r>
        <w:t>藻门生物量最小，为0.0</w:t>
      </w:r>
      <w:r>
        <w:rPr>
          <w:rFonts w:hint="eastAsia"/>
        </w:rPr>
        <w:t>2</w:t>
      </w:r>
      <w:r>
        <w:t xml:space="preserve"> </w:t>
      </w:r>
      <w:r>
        <w:rPr>
          <w:rFonts w:hint="eastAsia"/>
          <w:lang w:eastAsia="zh-CN"/>
        </w:rPr>
        <w:t>m</w:t>
      </w:r>
      <w:r>
        <w:t>g·L-1（表</w:t>
      </w:r>
      <w:r>
        <w:rPr>
          <w:rFonts w:hint="eastAsia"/>
          <w:lang w:val="en-US" w:eastAsia="zh-CN"/>
        </w:rPr>
        <w:t>3.6</w:t>
      </w:r>
      <w:r>
        <w:t>-</w:t>
      </w:r>
      <w:r>
        <w:rPr>
          <w:rFonts w:hint="eastAsia"/>
        </w:rPr>
        <w:t>1</w:t>
      </w:r>
      <w:r>
        <w:rPr>
          <w:rFonts w:hint="eastAsia"/>
          <w:lang w:val="en-US" w:eastAsia="zh-CN"/>
        </w:rPr>
        <w:t>0</w:t>
      </w:r>
      <w:r>
        <w:t>）。由此可见，</w:t>
      </w:r>
      <w:r>
        <w:rPr>
          <w:rFonts w:hint="eastAsia"/>
        </w:rPr>
        <w:t>沙颍河安徽</w:t>
      </w:r>
      <w:r>
        <w:t>水域的浮游植物以</w:t>
      </w:r>
      <w:r>
        <w:rPr>
          <w:rFonts w:hint="eastAsia"/>
        </w:rPr>
        <w:t>蓝藻、</w:t>
      </w:r>
      <w:r>
        <w:t>硅藻为优势类群。</w:t>
      </w:r>
    </w:p>
    <w:p>
      <w:pPr>
        <w:pStyle w:val="43"/>
        <w:bidi w:val="0"/>
        <w:rPr>
          <w:rFonts w:hint="eastAsia" w:ascii="Times New Roman" w:hAnsi="Times New Roman" w:eastAsia="宋体" w:cs="Times New Roman"/>
          <w:b/>
          <w:color w:val="auto"/>
          <w:sz w:val="21"/>
          <w:lang w:val="en-US" w:eastAsia="zh-CN"/>
        </w:rPr>
      </w:pPr>
      <w:r>
        <w:rPr>
          <w:rFonts w:hint="eastAsia" w:ascii="Times New Roman" w:hAnsi="Times New Roman" w:eastAsia="宋体" w:cs="Times New Roman"/>
          <w:b/>
          <w:color w:val="auto"/>
          <w:sz w:val="21"/>
          <w:lang w:val="en-US" w:eastAsia="zh-CN"/>
        </w:rPr>
        <w:t>表3.6-10 沙颍河安徽段重点调查水域浮游植物种类定量调查</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8"/>
        <w:gridCol w:w="1023"/>
        <w:gridCol w:w="927"/>
        <w:gridCol w:w="927"/>
        <w:gridCol w:w="927"/>
        <w:gridCol w:w="927"/>
        <w:gridCol w:w="927"/>
        <w:gridCol w:w="9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13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门类</w:t>
            </w:r>
          </w:p>
        </w:tc>
        <w:tc>
          <w:tcPr>
            <w:tcW w:w="60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硅藻门</w:t>
            </w:r>
          </w:p>
        </w:tc>
        <w:tc>
          <w:tcPr>
            <w:tcW w:w="54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绿藻门</w:t>
            </w:r>
          </w:p>
        </w:tc>
        <w:tc>
          <w:tcPr>
            <w:tcW w:w="54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裸藻门</w:t>
            </w:r>
          </w:p>
        </w:tc>
        <w:tc>
          <w:tcPr>
            <w:tcW w:w="54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金藻门</w:t>
            </w:r>
          </w:p>
        </w:tc>
        <w:tc>
          <w:tcPr>
            <w:tcW w:w="54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隐藻门</w:t>
            </w:r>
          </w:p>
        </w:tc>
        <w:tc>
          <w:tcPr>
            <w:tcW w:w="54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甲藻门</w:t>
            </w:r>
          </w:p>
        </w:tc>
        <w:tc>
          <w:tcPr>
            <w:tcW w:w="54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蓝藻门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13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密度(ind.·L-1)</w:t>
            </w:r>
          </w:p>
        </w:tc>
        <w:tc>
          <w:tcPr>
            <w:tcW w:w="60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3500</w:t>
            </w:r>
          </w:p>
        </w:tc>
        <w:tc>
          <w:tcPr>
            <w:tcW w:w="54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3000</w:t>
            </w:r>
          </w:p>
        </w:tc>
        <w:tc>
          <w:tcPr>
            <w:tcW w:w="54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4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2000</w:t>
            </w:r>
          </w:p>
        </w:tc>
        <w:tc>
          <w:tcPr>
            <w:tcW w:w="54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205.00</w:t>
            </w:r>
          </w:p>
        </w:tc>
        <w:tc>
          <w:tcPr>
            <w:tcW w:w="54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15</w:t>
            </w:r>
          </w:p>
        </w:tc>
        <w:tc>
          <w:tcPr>
            <w:tcW w:w="54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13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生物量(</w:t>
            </w: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g·L-1)</w:t>
            </w:r>
          </w:p>
        </w:tc>
        <w:tc>
          <w:tcPr>
            <w:tcW w:w="60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6.24</w:t>
            </w:r>
          </w:p>
        </w:tc>
        <w:tc>
          <w:tcPr>
            <w:tcW w:w="54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3.88</w:t>
            </w:r>
          </w:p>
        </w:tc>
        <w:tc>
          <w:tcPr>
            <w:tcW w:w="54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1.50</w:t>
            </w:r>
          </w:p>
        </w:tc>
        <w:tc>
          <w:tcPr>
            <w:tcW w:w="54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3.64</w:t>
            </w:r>
          </w:p>
        </w:tc>
        <w:tc>
          <w:tcPr>
            <w:tcW w:w="54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0.31</w:t>
            </w:r>
          </w:p>
        </w:tc>
        <w:tc>
          <w:tcPr>
            <w:tcW w:w="54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0.02</w:t>
            </w:r>
          </w:p>
        </w:tc>
        <w:tc>
          <w:tcPr>
            <w:tcW w:w="54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44.95</w:t>
            </w:r>
          </w:p>
        </w:tc>
      </w:tr>
    </w:tbl>
    <w:p>
      <w:pPr>
        <w:pStyle w:val="6"/>
        <w:bidi w:val="0"/>
      </w:pPr>
      <w:r>
        <w:rPr>
          <w:rFonts w:hint="eastAsia"/>
          <w:lang w:val="en-US" w:eastAsia="zh-CN"/>
        </w:rPr>
        <w:t>3.6.3.2</w:t>
      </w:r>
      <w:r>
        <w:t>浮游动物</w:t>
      </w:r>
    </w:p>
    <w:p>
      <w:pPr>
        <w:bidi w:val="0"/>
      </w:pPr>
      <w:r>
        <w:rPr>
          <w:rFonts w:hint="eastAsia"/>
        </w:rPr>
        <w:t>（1）</w:t>
      </w:r>
      <w:r>
        <w:t>种类组成</w:t>
      </w:r>
    </w:p>
    <w:p>
      <w:pPr>
        <w:bidi w:val="0"/>
      </w:pPr>
      <w:r>
        <w:t>本次调查共发现浮游动物1</w:t>
      </w:r>
      <w:r>
        <w:rPr>
          <w:rFonts w:hint="eastAsia"/>
        </w:rPr>
        <w:t>2</w:t>
      </w:r>
      <w:r>
        <w:t>种，原生动物</w:t>
      </w:r>
      <w:r>
        <w:rPr>
          <w:rFonts w:hint="eastAsia"/>
        </w:rPr>
        <w:t>2</w:t>
      </w:r>
      <w:r>
        <w:t>种，轮虫</w:t>
      </w:r>
      <w:r>
        <w:rPr>
          <w:rFonts w:hint="eastAsia"/>
        </w:rPr>
        <w:t>9</w:t>
      </w:r>
      <w:r>
        <w:t>种，桡足类</w:t>
      </w:r>
      <w:r>
        <w:rPr>
          <w:rFonts w:hint="eastAsia"/>
        </w:rPr>
        <w:t>1</w:t>
      </w:r>
      <w:r>
        <w:t>种</w:t>
      </w:r>
      <w:r>
        <w:rPr>
          <w:rFonts w:hint="eastAsia"/>
        </w:rPr>
        <w:t>；</w:t>
      </w:r>
      <w:r>
        <w:t>原生动物和桡足类种类较少，轮虫种类较为丰富，</w:t>
      </w:r>
      <w:r>
        <w:rPr>
          <w:rFonts w:hint="eastAsia"/>
        </w:rPr>
        <w:t>未发现枝角类，</w:t>
      </w:r>
      <w:r>
        <w:t>主要优势种是壶状臂尾轮虫（Branchionus urceus）、真翅多肢轮虫（Polyarthra euryptera）、萼花臂尾轮虫（Branchionus calyciflorus）等</w:t>
      </w:r>
      <w:r>
        <w:rPr>
          <w:rFonts w:hint="eastAsia"/>
        </w:rPr>
        <w:t>（附表7）</w:t>
      </w:r>
      <w:r>
        <w:t>。</w:t>
      </w:r>
    </w:p>
    <w:p>
      <w:pPr>
        <w:bidi w:val="0"/>
      </w:pPr>
      <w:r>
        <w:rPr>
          <w:rFonts w:hint="eastAsia"/>
        </w:rPr>
        <w:t>（2）</w:t>
      </w:r>
      <w:r>
        <w:t>数量和生物量</w:t>
      </w:r>
    </w:p>
    <w:p>
      <w:pPr>
        <w:bidi w:val="0"/>
        <w:rPr>
          <w:rFonts w:hint="eastAsia"/>
        </w:rPr>
      </w:pPr>
      <w:r>
        <w:t>通过调查，</w:t>
      </w:r>
      <w:r>
        <w:rPr>
          <w:rFonts w:hint="eastAsia"/>
        </w:rPr>
        <w:t>沙颍河安徽段</w:t>
      </w:r>
      <w:r>
        <w:t>浮游动物</w:t>
      </w:r>
      <w:r>
        <w:rPr>
          <w:rFonts w:hint="eastAsia"/>
        </w:rPr>
        <w:t>平均密度为</w:t>
      </w:r>
      <w:r>
        <w:t>257</w:t>
      </w:r>
      <w:r>
        <w:rPr>
          <w:rFonts w:hint="eastAsia"/>
        </w:rPr>
        <w:t xml:space="preserve"> ind.</w:t>
      </w:r>
      <w:r>
        <w:t>·L-1</w:t>
      </w:r>
      <w:r>
        <w:rPr>
          <w:rFonts w:hint="eastAsia"/>
        </w:rPr>
        <w:t>，</w:t>
      </w:r>
      <w:r>
        <w:t xml:space="preserve">平均生物量约为为0.1276 </w:t>
      </w:r>
      <w:r>
        <w:rPr>
          <w:rFonts w:hint="eastAsia"/>
          <w:lang w:eastAsia="zh-CN"/>
        </w:rPr>
        <w:t>m</w:t>
      </w:r>
      <w:r>
        <w:t>g·L-1。</w:t>
      </w:r>
      <w:r>
        <w:rPr>
          <w:rFonts w:hint="eastAsia"/>
        </w:rPr>
        <w:t>各类群密度大小依次为：</w:t>
      </w:r>
      <w:r>
        <w:t>轮虫&gt;原生动物&gt;桡足类</w:t>
      </w:r>
      <w:r>
        <w:rPr>
          <w:rFonts w:hint="eastAsia"/>
        </w:rPr>
        <w:t>。各类群生物量大小依次为：</w:t>
      </w:r>
      <w:r>
        <w:t>轮虫&gt;桡足类&gt;原生动物</w:t>
      </w:r>
      <w:r>
        <w:rPr>
          <w:rFonts w:hint="eastAsia"/>
        </w:rPr>
        <w:t>。</w:t>
      </w:r>
      <w:r>
        <w:t>轮虫、桡足类</w:t>
      </w:r>
      <w:r>
        <w:rPr>
          <w:rFonts w:hint="eastAsia"/>
        </w:rPr>
        <w:t>、</w:t>
      </w:r>
      <w:r>
        <w:t>原生动物分别占</w:t>
      </w:r>
      <w:r>
        <w:rPr>
          <w:rFonts w:hint="eastAsia"/>
        </w:rPr>
        <w:t>总</w:t>
      </w:r>
      <w:r>
        <w:t>生物量</w:t>
      </w:r>
      <w:r>
        <w:rPr>
          <w:rFonts w:hint="eastAsia"/>
        </w:rPr>
        <w:t>的比例为68.73</w:t>
      </w:r>
      <w:r>
        <w:t>%，</w:t>
      </w:r>
      <w:r>
        <w:rPr>
          <w:rFonts w:hint="eastAsia"/>
        </w:rPr>
        <w:t>28.79</w:t>
      </w:r>
      <w:r>
        <w:t xml:space="preserve"> %，</w:t>
      </w:r>
      <w:r>
        <w:rPr>
          <w:rFonts w:hint="eastAsia"/>
        </w:rPr>
        <w:t>1.49</w:t>
      </w:r>
      <w:r>
        <w:t xml:space="preserve"> %（表</w:t>
      </w:r>
      <w:r>
        <w:rPr>
          <w:rFonts w:hint="eastAsia"/>
          <w:lang w:val="en-US" w:eastAsia="zh-CN"/>
        </w:rPr>
        <w:t>3.6</w:t>
      </w:r>
      <w:r>
        <w:t>-1</w:t>
      </w:r>
      <w:r>
        <w:rPr>
          <w:rFonts w:hint="eastAsia"/>
          <w:lang w:val="en-US" w:eastAsia="zh-CN"/>
        </w:rPr>
        <w:t>1</w:t>
      </w:r>
      <w:r>
        <w:t>）。</w:t>
      </w:r>
    </w:p>
    <w:p>
      <w:pPr>
        <w:pStyle w:val="43"/>
        <w:bidi w:val="0"/>
        <w:rPr>
          <w:rFonts w:hint="eastAsia" w:ascii="Times New Roman" w:hAnsi="Times New Roman" w:eastAsia="宋体" w:cs="Times New Roman"/>
          <w:b/>
          <w:color w:val="auto"/>
          <w:sz w:val="21"/>
          <w:lang w:val="en-US" w:eastAsia="zh-CN"/>
        </w:rPr>
      </w:pPr>
      <w:r>
        <w:rPr>
          <w:rFonts w:hint="eastAsia" w:ascii="Times New Roman" w:hAnsi="Times New Roman" w:eastAsia="宋体" w:cs="Times New Roman"/>
          <w:b/>
          <w:color w:val="auto"/>
          <w:sz w:val="21"/>
          <w:lang w:val="en-US" w:eastAsia="zh-CN"/>
        </w:rPr>
        <w:t>表3.6-11 沙颍河安徽段浮游动物的密度及其生物量</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30" w:type="dxa"/>
          <w:bottom w:w="0" w:type="dxa"/>
          <w:right w:w="30" w:type="dxa"/>
        </w:tblCellMar>
      </w:tblPr>
      <w:tblGrid>
        <w:gridCol w:w="1508"/>
        <w:gridCol w:w="857"/>
        <w:gridCol w:w="857"/>
        <w:gridCol w:w="857"/>
        <w:gridCol w:w="858"/>
        <w:gridCol w:w="857"/>
        <w:gridCol w:w="857"/>
        <w:gridCol w:w="857"/>
        <w:gridCol w:w="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902" w:type="pct"/>
            <w:vMerge w:val="restar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bookmarkStart w:id="282" w:name="OLE_LINK8"/>
            <w:r>
              <w:rPr>
                <w:rFonts w:hint="eastAsia" w:ascii="Times New Roman" w:hAnsi="Times New Roman" w:cs="Times New Roman"/>
                <w:color w:val="auto"/>
                <w:sz w:val="21"/>
                <w:shd w:val="clear" w:color="auto" w:fill="auto"/>
              </w:rPr>
              <w:t>地点</w:t>
            </w:r>
          </w:p>
        </w:tc>
        <w:tc>
          <w:tcPr>
            <w:tcW w:w="2049" w:type="pct"/>
            <w:gridSpan w:val="4"/>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mc:AlternateContent>
                <mc:Choice Requires="wps">
                  <w:drawing>
                    <wp:anchor distT="0" distB="0" distL="114300" distR="114300" simplePos="0" relativeHeight="1395244032" behindDoc="0" locked="0" layoutInCell="1" allowOverlap="1">
                      <wp:simplePos x="0" y="0"/>
                      <wp:positionH relativeFrom="column">
                        <wp:posOffset>-43815</wp:posOffset>
                      </wp:positionH>
                      <wp:positionV relativeFrom="paragraph">
                        <wp:posOffset>1416685</wp:posOffset>
                      </wp:positionV>
                      <wp:extent cx="635" cy="635"/>
                      <wp:effectExtent l="0" t="0" r="0" b="0"/>
                      <wp:wrapNone/>
                      <wp:docPr id="81" name="直接连接符 81"/>
                      <wp:cNvGraphicFramePr/>
                      <a:graphic xmlns:a="http://schemas.openxmlformats.org/drawingml/2006/main">
                        <a:graphicData uri="http://schemas.microsoft.com/office/word/2010/wordprocessingShape">
                          <wps:wsp>
                            <wps:cNvSpPr/>
                            <wps:spPr>
                              <a:xfrm>
                                <a:off x="0" y="0"/>
                                <a:ext cx="635" cy="63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45pt;margin-top:111.55pt;height:0.05pt;width:0.05pt;z-index:1395244032;mso-width-relative:page;mso-height-relative:page;" filled="f" stroked="t" coordsize="21600,21600" o:gfxdata="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uEUVhNYAAAAJAQAADwAAAAAAAAABACAA&#10;AAAiAAAAZHJzL2Rvd25yZXYueG1sUEsBAhQAFAAAAAgAh07iQBQI/XbWAQAAlgMAAA4AAAAAAAAA&#10;AQAgAAAAJQEAAGRycy9lMm9Eb2MueG1sUEsFBgAAAAAGAAYAWQEAAG0FAAAAAA==&#10;">
                      <v:fill on="f" focussize="0,0"/>
                      <v:stroke color="#000000" joinstyle="round"/>
                      <v:imagedata o:title=""/>
                      <o:lock v:ext="edit" aspectratio="f"/>
                    </v:line>
                  </w:pict>
                </mc:Fallback>
              </mc:AlternateContent>
            </w:r>
            <w:r>
              <w:rPr>
                <w:rFonts w:hint="eastAsia" w:ascii="Times New Roman" w:hAnsi="Times New Roman" w:cs="Times New Roman"/>
                <w:color w:val="auto"/>
                <w:sz w:val="21"/>
                <w:shd w:val="clear" w:color="auto" w:fill="auto"/>
              </w:rPr>
              <w:t>浮    游    动    物</w:t>
            </w:r>
          </w:p>
        </w:tc>
        <w:tc>
          <w:tcPr>
            <w:tcW w:w="2049" w:type="pct"/>
            <w:gridSpan w:val="4"/>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各类浮游动物所占比例（%）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902"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合计</w:t>
            </w: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轮虫</w:t>
            </w: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原生动物</w:t>
            </w:r>
          </w:p>
        </w:tc>
        <w:tc>
          <w:tcPr>
            <w:tcW w:w="5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桡足类</w:t>
            </w: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合 计</w:t>
            </w: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轮虫</w:t>
            </w: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原生动物</w:t>
            </w:r>
          </w:p>
        </w:tc>
        <w:tc>
          <w:tcPr>
            <w:tcW w:w="5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桡足类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90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bookmarkStart w:id="283" w:name="_Hlk223368397"/>
            <w:bookmarkStart w:id="284" w:name="OLE_LINK5"/>
            <w:r>
              <w:rPr>
                <w:rFonts w:hint="eastAsia" w:ascii="Times New Roman" w:hAnsi="Times New Roman" w:cs="Times New Roman"/>
                <w:color w:val="auto"/>
                <w:sz w:val="21"/>
                <w:shd w:val="clear" w:color="auto" w:fill="auto"/>
              </w:rPr>
              <w:t>密度(ind.·L-1)</w:t>
            </w: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257</w:t>
            </w: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215</w:t>
            </w: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30</w:t>
            </w:r>
          </w:p>
        </w:tc>
        <w:tc>
          <w:tcPr>
            <w:tcW w:w="5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12</w:t>
            </w: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w:t>
            </w: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83.66</w:t>
            </w: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11.67</w:t>
            </w:r>
          </w:p>
        </w:tc>
        <w:tc>
          <w:tcPr>
            <w:tcW w:w="5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90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生物量（</w:t>
            </w:r>
            <w:r>
              <w:rPr>
                <w:rFonts w:hint="eastAsia" w:ascii="Times New Roman" w:hAnsi="Times New Roman" w:cs="Times New Roman"/>
                <w:color w:val="auto"/>
                <w:sz w:val="21"/>
                <w:shd w:val="clear" w:color="auto" w:fill="auto"/>
                <w:lang w:eastAsia="zh-CN"/>
              </w:rPr>
              <w:t>m</w:t>
            </w:r>
            <w:r>
              <w:rPr>
                <w:rFonts w:hint="eastAsia" w:ascii="Times New Roman" w:hAnsi="Times New Roman" w:cs="Times New Roman"/>
                <w:color w:val="auto"/>
                <w:sz w:val="21"/>
                <w:shd w:val="clear" w:color="auto" w:fill="auto"/>
              </w:rPr>
              <w:t>g·L-1）</w:t>
            </w: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0.1276</w:t>
            </w: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0.0877</w:t>
            </w: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0.0019</w:t>
            </w:r>
          </w:p>
        </w:tc>
        <w:tc>
          <w:tcPr>
            <w:tcW w:w="5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0.038</w:t>
            </w: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w:t>
            </w: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68.73</w:t>
            </w:r>
          </w:p>
        </w:tc>
        <w:tc>
          <w:tcPr>
            <w:tcW w:w="51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1.49</w:t>
            </w:r>
          </w:p>
        </w:tc>
        <w:tc>
          <w:tcPr>
            <w:tcW w:w="51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29.78</w:t>
            </w:r>
          </w:p>
        </w:tc>
      </w:tr>
      <w:bookmarkEnd w:id="282"/>
      <w:bookmarkEnd w:id="283"/>
      <w:bookmarkEnd w:id="284"/>
    </w:tbl>
    <w:p>
      <w:pPr>
        <w:pStyle w:val="6"/>
        <w:bidi w:val="0"/>
      </w:pPr>
      <w:r>
        <w:rPr>
          <w:rFonts w:hint="eastAsia"/>
          <w:lang w:val="en-US" w:eastAsia="zh-CN"/>
        </w:rPr>
        <w:t>3.6.3.3</w:t>
      </w:r>
      <w:r>
        <w:t>底栖动物</w:t>
      </w:r>
    </w:p>
    <w:p>
      <w:pPr>
        <w:bidi w:val="0"/>
      </w:pPr>
      <w:r>
        <w:rPr>
          <w:rFonts w:hint="eastAsia"/>
        </w:rPr>
        <w:t>（1）</w:t>
      </w:r>
      <w:r>
        <w:t>种类组成</w:t>
      </w:r>
    </w:p>
    <w:p>
      <w:pPr>
        <w:bidi w:val="0"/>
      </w:pPr>
      <w:r>
        <w:t>本次</w:t>
      </w:r>
      <w:r>
        <w:rPr>
          <w:rFonts w:hint="eastAsia"/>
        </w:rPr>
        <w:t>沙颍河安徽段</w:t>
      </w:r>
      <w:r>
        <w:t>调查共采集到底栖动物</w:t>
      </w:r>
      <w:r>
        <w:rPr>
          <w:rFonts w:hint="eastAsia"/>
        </w:rPr>
        <w:t>31</w:t>
      </w:r>
      <w:r>
        <w:t>种，隶属于7目，1</w:t>
      </w:r>
      <w:r>
        <w:rPr>
          <w:rFonts w:hint="eastAsia"/>
        </w:rPr>
        <w:t>0</w:t>
      </w:r>
      <w:r>
        <w:t>科，其中腹足纲1</w:t>
      </w:r>
      <w:r>
        <w:rPr>
          <w:rFonts w:hint="eastAsia"/>
        </w:rPr>
        <w:t>4</w:t>
      </w:r>
      <w:r>
        <w:t>种，瓣鳃纲5种，环节动物门</w:t>
      </w:r>
      <w:r>
        <w:rPr>
          <w:rFonts w:hint="eastAsia"/>
        </w:rPr>
        <w:t>5</w:t>
      </w:r>
      <w:r>
        <w:t>种，甲壳纲</w:t>
      </w:r>
      <w:r>
        <w:rPr>
          <w:rFonts w:hint="eastAsia"/>
        </w:rPr>
        <w:t>2</w:t>
      </w:r>
      <w:r>
        <w:t>种，昆虫纲</w:t>
      </w:r>
      <w:r>
        <w:rPr>
          <w:rFonts w:hint="eastAsia"/>
        </w:rPr>
        <w:t>5</w:t>
      </w:r>
      <w:r>
        <w:t>种（附</w:t>
      </w:r>
      <w:r>
        <w:rPr>
          <w:rFonts w:hint="eastAsia"/>
        </w:rPr>
        <w:t>表8</w:t>
      </w:r>
      <w:r>
        <w:t>）。</w:t>
      </w:r>
      <w:r>
        <w:rPr>
          <w:rFonts w:hint="eastAsia"/>
        </w:rPr>
        <w:t>沙颍河安徽段</w:t>
      </w:r>
      <w:r>
        <w:t>以苏氏尾鳃蚓（Branchiura sowerbyi）、梨形环棱螺（Bella</w:t>
      </w:r>
      <w:r>
        <w:rPr>
          <w:rFonts w:hint="eastAsia"/>
          <w:lang w:eastAsia="zh-CN"/>
        </w:rPr>
        <w:t>m</w:t>
      </w:r>
      <w:r>
        <w:t>ya</w:t>
      </w:r>
      <w:r>
        <w:rPr>
          <w:rFonts w:hint="eastAsia"/>
        </w:rPr>
        <w:t xml:space="preserve"> </w:t>
      </w:r>
      <w:r>
        <w:t>purificata）</w:t>
      </w:r>
      <w:r>
        <w:rPr>
          <w:rFonts w:hint="eastAsia"/>
        </w:rPr>
        <w:t>、</w:t>
      </w:r>
      <w:r>
        <w:t>背角无齿蚌</w:t>
      </w:r>
      <w:r>
        <w:rPr>
          <w:rFonts w:hint="eastAsia"/>
        </w:rPr>
        <w:t>（</w:t>
      </w:r>
      <w:r>
        <w:t>Anodonta woodiana</w:t>
      </w:r>
      <w:r>
        <w:rPr>
          <w:rFonts w:hint="eastAsia"/>
        </w:rPr>
        <w:t>）</w:t>
      </w:r>
      <w:r>
        <w:t>为优势</w:t>
      </w:r>
      <w:r>
        <w:rPr>
          <w:rFonts w:hint="eastAsia"/>
        </w:rPr>
        <w:t>种</w:t>
      </w:r>
      <w:r>
        <w:t>，尤其是梨形环棱螺占底栖动物</w:t>
      </w:r>
      <w:r>
        <w:rPr>
          <w:rFonts w:hint="eastAsia"/>
        </w:rPr>
        <w:t>密度</w:t>
      </w:r>
      <w:r>
        <w:t>的比例最大</w:t>
      </w:r>
      <w:r>
        <w:rPr>
          <w:rFonts w:hint="eastAsia"/>
        </w:rPr>
        <w:t>；</w:t>
      </w:r>
      <w:r>
        <w:t>此外，圆顶珠蚌（Unio douglasiae）在浅水区域和水草丰富的地区数量较多。</w:t>
      </w:r>
    </w:p>
    <w:p>
      <w:pPr>
        <w:bidi w:val="0"/>
      </w:pPr>
      <w:r>
        <w:rPr>
          <w:rFonts w:hint="eastAsia"/>
        </w:rPr>
        <w:t>（2）</w:t>
      </w:r>
      <w:r>
        <w:t>空间分布</w:t>
      </w:r>
    </w:p>
    <w:p>
      <w:pPr>
        <w:bidi w:val="0"/>
      </w:pPr>
      <w:r>
        <w:t>调查发现</w:t>
      </w:r>
      <w:r>
        <w:rPr>
          <w:rFonts w:hint="eastAsia"/>
        </w:rPr>
        <w:t>沙颍河安徽段</w:t>
      </w:r>
      <w:r>
        <w:t>底栖动物平均</w:t>
      </w:r>
      <w:r>
        <w:rPr>
          <w:rFonts w:hint="eastAsia"/>
        </w:rPr>
        <w:t>密度为39</w:t>
      </w:r>
      <w:r>
        <w:t>ind.·</w:t>
      </w:r>
      <w:r>
        <w:rPr>
          <w:rFonts w:hint="eastAsia"/>
          <w:vertAlign w:val="baseline"/>
          <w:lang w:eastAsia="zh-CN"/>
        </w:rPr>
        <w:t>m</w:t>
      </w:r>
      <w:r>
        <w:rPr>
          <w:rFonts w:hint="eastAsia"/>
          <w:vertAlign w:val="superscript"/>
          <w:lang w:eastAsia="zh-CN"/>
        </w:rPr>
        <w:t>-2</w:t>
      </w:r>
      <w:r>
        <w:t>（表</w:t>
      </w:r>
      <w:r>
        <w:rPr>
          <w:rFonts w:hint="eastAsia"/>
        </w:rPr>
        <w:t>4</w:t>
      </w:r>
      <w:r>
        <w:t>-</w:t>
      </w:r>
      <w:r>
        <w:rPr>
          <w:rFonts w:hint="eastAsia"/>
        </w:rPr>
        <w:t>13，</w:t>
      </w:r>
      <w:r>
        <w:t>表</w:t>
      </w:r>
      <w:r>
        <w:rPr>
          <w:rFonts w:hint="eastAsia"/>
        </w:rPr>
        <w:t>4</w:t>
      </w:r>
      <w:r>
        <w:t>-</w:t>
      </w:r>
      <w:r>
        <w:rPr>
          <w:rFonts w:hint="eastAsia"/>
        </w:rPr>
        <w:t>15</w:t>
      </w:r>
      <w:r>
        <w:t>），</w:t>
      </w:r>
      <w:r>
        <w:rPr>
          <w:rFonts w:hint="eastAsia"/>
        </w:rPr>
        <w:t>其中阜阳至袁寨河段底栖动物的密度为33.0</w:t>
      </w:r>
      <w:r>
        <w:t>ind.·</w:t>
      </w:r>
      <w:r>
        <w:rPr>
          <w:rFonts w:hint="eastAsia"/>
          <w:vertAlign w:val="baseline"/>
          <w:lang w:eastAsia="zh-CN"/>
        </w:rPr>
        <w:t>m</w:t>
      </w:r>
      <w:r>
        <w:rPr>
          <w:rFonts w:hint="eastAsia"/>
          <w:vertAlign w:val="superscript"/>
          <w:lang w:eastAsia="zh-CN"/>
        </w:rPr>
        <w:t>-2</w:t>
      </w:r>
      <w:r>
        <w:t>，</w:t>
      </w:r>
      <w:r>
        <w:rPr>
          <w:rFonts w:hint="eastAsia"/>
        </w:rPr>
        <w:t>杨湖镇至沫河口河段底栖动物的密度为45.0</w:t>
      </w:r>
      <w:r>
        <w:t xml:space="preserve"> ind.·</w:t>
      </w:r>
      <w:r>
        <w:rPr>
          <w:rFonts w:hint="eastAsia"/>
          <w:vertAlign w:val="baseline"/>
          <w:lang w:eastAsia="zh-CN"/>
        </w:rPr>
        <w:t>m</w:t>
      </w:r>
      <w:r>
        <w:rPr>
          <w:rFonts w:hint="eastAsia"/>
          <w:vertAlign w:val="superscript"/>
          <w:lang w:eastAsia="zh-CN"/>
        </w:rPr>
        <w:t>-2</w:t>
      </w:r>
      <w:r>
        <w:t>，环节动物</w:t>
      </w:r>
      <w:r>
        <w:rPr>
          <w:rFonts w:hint="eastAsia"/>
        </w:rPr>
        <w:t>和软体动物密度</w:t>
      </w:r>
      <w:r>
        <w:t xml:space="preserve">较大，分别为 </w:t>
      </w:r>
      <w:r>
        <w:rPr>
          <w:rFonts w:hint="eastAsia"/>
        </w:rPr>
        <w:t>17.6</w:t>
      </w:r>
      <w:r>
        <w:t xml:space="preserve"> ind.·</w:t>
      </w:r>
      <w:r>
        <w:rPr>
          <w:rFonts w:hint="eastAsia"/>
          <w:vertAlign w:val="baseline"/>
          <w:lang w:eastAsia="zh-CN"/>
        </w:rPr>
        <w:t>m</w:t>
      </w:r>
      <w:r>
        <w:rPr>
          <w:rFonts w:hint="eastAsia"/>
          <w:vertAlign w:val="superscript"/>
          <w:lang w:eastAsia="zh-CN"/>
        </w:rPr>
        <w:t>-2</w:t>
      </w:r>
      <w:r>
        <w:t>和</w:t>
      </w:r>
      <w:r>
        <w:rPr>
          <w:rFonts w:hint="eastAsia"/>
        </w:rPr>
        <w:t>12.1</w:t>
      </w:r>
      <w:r>
        <w:t>ind.·</w:t>
      </w:r>
      <w:r>
        <w:rPr>
          <w:rFonts w:hint="eastAsia"/>
          <w:vertAlign w:val="baseline"/>
          <w:lang w:eastAsia="zh-CN"/>
        </w:rPr>
        <w:t>m</w:t>
      </w:r>
      <w:r>
        <w:rPr>
          <w:rFonts w:hint="eastAsia"/>
          <w:vertAlign w:val="superscript"/>
          <w:lang w:eastAsia="zh-CN"/>
        </w:rPr>
        <w:t>-2</w:t>
      </w:r>
      <w:r>
        <w:t>，而</w:t>
      </w:r>
      <w:r>
        <w:rPr>
          <w:rFonts w:hint="eastAsia"/>
        </w:rPr>
        <w:t>节肢</w:t>
      </w:r>
      <w:r>
        <w:t>动物数量较小，仅为</w:t>
      </w:r>
      <w:r>
        <w:rPr>
          <w:rFonts w:hint="eastAsia"/>
        </w:rPr>
        <w:t>9.2</w:t>
      </w:r>
      <w:r>
        <w:t xml:space="preserve"> ind./</w:t>
      </w:r>
      <w:r>
        <w:rPr>
          <w:rStyle w:val="93"/>
          <w:rFonts w:hint="eastAsia"/>
          <w:lang w:eastAsia="zh-CN"/>
        </w:rPr>
        <w:t>m</w:t>
      </w:r>
      <w:r>
        <w:rPr>
          <w:rFonts w:hint="eastAsia"/>
          <w:vertAlign w:val="superscript"/>
          <w:lang w:eastAsia="zh-CN"/>
        </w:rPr>
        <w:t>2</w:t>
      </w:r>
      <w:r>
        <w:t>。节肢动物、环节动物、软体动物在</w:t>
      </w:r>
      <w:r>
        <w:rPr>
          <w:rFonts w:hint="eastAsia"/>
        </w:rPr>
        <w:t>沙颍河安徽段</w:t>
      </w:r>
      <w:r>
        <w:t>底栖动物总个体数中所占比例分别为45.</w:t>
      </w:r>
      <w:r>
        <w:rPr>
          <w:rFonts w:hint="eastAsia"/>
        </w:rPr>
        <w:t>2</w:t>
      </w:r>
      <w:r>
        <w:t>%、</w:t>
      </w:r>
      <w:r>
        <w:rPr>
          <w:rFonts w:hint="eastAsia"/>
        </w:rPr>
        <w:t>31.1</w:t>
      </w:r>
      <w:r>
        <w:t>%</w:t>
      </w:r>
      <w:r>
        <w:rPr>
          <w:rFonts w:hint="eastAsia"/>
        </w:rPr>
        <w:t>、23</w:t>
      </w:r>
      <w:r>
        <w:t>.7%。</w:t>
      </w:r>
    </w:p>
    <w:p>
      <w:pPr>
        <w:bidi w:val="0"/>
      </w:pPr>
      <w:r>
        <w:t>可见，环节动物在各个采样区域数量变动不大，分布较均匀，软体动物和节肢动物的平均数量分布变动较大。</w:t>
      </w:r>
    </w:p>
    <w:p>
      <w:pPr>
        <w:bidi w:val="0"/>
      </w:pPr>
      <w:r>
        <w:rPr>
          <w:rFonts w:hint="eastAsia"/>
        </w:rPr>
        <w:t>（3）</w:t>
      </w:r>
      <w:r>
        <w:t>底栖动物生物量</w:t>
      </w:r>
    </w:p>
    <w:p>
      <w:pPr>
        <w:bidi w:val="0"/>
      </w:pPr>
      <w:r>
        <w:t>调查区域底栖动物平均生物量为</w:t>
      </w:r>
      <w:r>
        <w:rPr>
          <w:rFonts w:hint="eastAsia"/>
        </w:rPr>
        <w:t>16.1</w:t>
      </w:r>
      <w:r>
        <w:t>g·</w:t>
      </w:r>
      <w:r>
        <w:rPr>
          <w:rFonts w:hint="eastAsia"/>
          <w:vertAlign w:val="baseline"/>
          <w:lang w:eastAsia="zh-CN"/>
        </w:rPr>
        <w:t>m</w:t>
      </w:r>
      <w:r>
        <w:rPr>
          <w:rFonts w:hint="eastAsia"/>
          <w:vertAlign w:val="superscript"/>
          <w:lang w:eastAsia="zh-CN"/>
        </w:rPr>
        <w:t>-2</w:t>
      </w:r>
      <w:r>
        <w:t>，其中</w:t>
      </w:r>
      <w:r>
        <w:rPr>
          <w:rFonts w:hint="eastAsia"/>
        </w:rPr>
        <w:t>阜阳至袁寨河段底栖动物的</w:t>
      </w:r>
      <w:r>
        <w:t>生物量为</w:t>
      </w:r>
      <w:r>
        <w:rPr>
          <w:rFonts w:hint="eastAsia"/>
        </w:rPr>
        <w:t xml:space="preserve">16.9 </w:t>
      </w:r>
      <w:r>
        <w:t>g·</w:t>
      </w:r>
      <w:r>
        <w:rPr>
          <w:rFonts w:hint="eastAsia"/>
          <w:vertAlign w:val="baseline"/>
          <w:lang w:eastAsia="zh-CN"/>
        </w:rPr>
        <w:t>m</w:t>
      </w:r>
      <w:r>
        <w:rPr>
          <w:rFonts w:hint="eastAsia"/>
          <w:vertAlign w:val="superscript"/>
          <w:lang w:eastAsia="zh-CN"/>
        </w:rPr>
        <w:t>-2</w:t>
      </w:r>
      <w:r>
        <w:t>，</w:t>
      </w:r>
      <w:r>
        <w:rPr>
          <w:rFonts w:hint="eastAsia"/>
        </w:rPr>
        <w:t>杨湖镇至沫河口河段底栖动物的</w:t>
      </w:r>
      <w:r>
        <w:t>生物量为</w:t>
      </w:r>
      <w:r>
        <w:rPr>
          <w:rFonts w:hint="eastAsia"/>
        </w:rPr>
        <w:t>15.3</w:t>
      </w:r>
      <w:r>
        <w:t>g·</w:t>
      </w:r>
      <w:r>
        <w:rPr>
          <w:rFonts w:hint="eastAsia"/>
          <w:vertAlign w:val="baseline"/>
          <w:lang w:eastAsia="zh-CN"/>
        </w:rPr>
        <w:t>m</w:t>
      </w:r>
      <w:r>
        <w:rPr>
          <w:rFonts w:hint="eastAsia"/>
          <w:vertAlign w:val="superscript"/>
          <w:lang w:eastAsia="zh-CN"/>
        </w:rPr>
        <w:t>-2</w:t>
      </w:r>
      <w:r>
        <w:rPr>
          <w:rFonts w:hint="eastAsia"/>
        </w:rPr>
        <w:t>。沙颍河安徽段</w:t>
      </w:r>
      <w:r>
        <w:t>软体动物、环节动物、节肢动物平均生物量分别为</w:t>
      </w:r>
      <w:r>
        <w:rPr>
          <w:rFonts w:hint="eastAsia"/>
        </w:rPr>
        <w:t>14.8</w:t>
      </w:r>
      <w:r>
        <w:t>g·</w:t>
      </w:r>
      <w:r>
        <w:rPr>
          <w:rFonts w:hint="eastAsia"/>
          <w:vertAlign w:val="baseline"/>
          <w:lang w:eastAsia="zh-CN"/>
        </w:rPr>
        <w:t>m</w:t>
      </w:r>
      <w:r>
        <w:rPr>
          <w:rFonts w:hint="eastAsia"/>
          <w:vertAlign w:val="superscript"/>
          <w:lang w:eastAsia="zh-CN"/>
        </w:rPr>
        <w:t>-2</w:t>
      </w:r>
      <w:r>
        <w:t>，</w:t>
      </w:r>
      <w:r>
        <w:rPr>
          <w:rFonts w:hint="eastAsia"/>
        </w:rPr>
        <w:t>0.7</w:t>
      </w:r>
      <w:r>
        <w:t>g·</w:t>
      </w:r>
      <w:r>
        <w:rPr>
          <w:rFonts w:hint="eastAsia"/>
          <w:vertAlign w:val="baseline"/>
          <w:lang w:eastAsia="zh-CN"/>
        </w:rPr>
        <w:t>m</w:t>
      </w:r>
      <w:r>
        <w:rPr>
          <w:rFonts w:hint="eastAsia"/>
          <w:vertAlign w:val="superscript"/>
          <w:lang w:eastAsia="zh-CN"/>
        </w:rPr>
        <w:t>-2</w:t>
      </w:r>
      <w:r>
        <w:t>，</w:t>
      </w:r>
      <w:r>
        <w:rPr>
          <w:rFonts w:hint="eastAsia"/>
        </w:rPr>
        <w:t>0.6</w:t>
      </w:r>
      <w:r>
        <w:t>g·</w:t>
      </w:r>
      <w:r>
        <w:rPr>
          <w:rFonts w:hint="eastAsia"/>
          <w:vertAlign w:val="baseline"/>
          <w:lang w:eastAsia="zh-CN"/>
        </w:rPr>
        <w:t>m</w:t>
      </w:r>
      <w:r>
        <w:rPr>
          <w:rFonts w:hint="eastAsia"/>
          <w:vertAlign w:val="superscript"/>
          <w:lang w:eastAsia="zh-CN"/>
        </w:rPr>
        <w:t>-2</w:t>
      </w:r>
      <w:r>
        <w:t>。软体动物生物量占底栖动物生物量的9</w:t>
      </w:r>
      <w:r>
        <w:rPr>
          <w:rFonts w:hint="eastAsia"/>
        </w:rPr>
        <w:t>2</w:t>
      </w:r>
      <w:r>
        <w:t>.0%，而环节动物为</w:t>
      </w:r>
      <w:r>
        <w:rPr>
          <w:rFonts w:hint="eastAsia"/>
        </w:rPr>
        <w:t>4.3</w:t>
      </w:r>
      <w:r>
        <w:t>%，节肢动物比例为</w:t>
      </w:r>
      <w:r>
        <w:rPr>
          <w:rFonts w:hint="eastAsia"/>
        </w:rPr>
        <w:t>3</w:t>
      </w:r>
      <w:r>
        <w:t>.</w:t>
      </w:r>
      <w:r>
        <w:rPr>
          <w:rFonts w:hint="eastAsia"/>
        </w:rPr>
        <w:t>7</w:t>
      </w:r>
      <w:r>
        <w:t>%（表</w:t>
      </w:r>
      <w:r>
        <w:rPr>
          <w:rFonts w:hint="eastAsia"/>
          <w:lang w:val="en-US" w:eastAsia="zh-CN"/>
        </w:rPr>
        <w:t>3.6</w:t>
      </w:r>
      <w:r>
        <w:t>-</w:t>
      </w:r>
      <w:r>
        <w:rPr>
          <w:rFonts w:hint="eastAsia"/>
        </w:rPr>
        <w:t>1</w:t>
      </w:r>
      <w:r>
        <w:rPr>
          <w:rFonts w:hint="eastAsia"/>
          <w:lang w:val="en-US" w:eastAsia="zh-CN"/>
        </w:rPr>
        <w:t>3</w:t>
      </w:r>
      <w:r>
        <w:rPr>
          <w:rFonts w:hint="eastAsia"/>
        </w:rPr>
        <w:t>，</w:t>
      </w:r>
      <w:r>
        <w:t>表</w:t>
      </w:r>
      <w:r>
        <w:rPr>
          <w:rFonts w:hint="eastAsia"/>
          <w:lang w:val="en-US" w:eastAsia="zh-CN"/>
        </w:rPr>
        <w:t>3.6</w:t>
      </w:r>
      <w:r>
        <w:t>-</w:t>
      </w:r>
      <w:r>
        <w:rPr>
          <w:rFonts w:hint="eastAsia"/>
        </w:rPr>
        <w:t>1</w:t>
      </w:r>
      <w:r>
        <w:rPr>
          <w:rFonts w:hint="eastAsia"/>
          <w:lang w:val="en-US" w:eastAsia="zh-CN"/>
        </w:rPr>
        <w:t>5</w:t>
      </w:r>
      <w:r>
        <w:t>）。因此，软体动物占据了生物量的绝大部分。</w:t>
      </w:r>
    </w:p>
    <w:p>
      <w:pPr>
        <w:bidi w:val="0"/>
        <w:rPr>
          <w:rFonts w:hint="eastAsia"/>
        </w:rPr>
      </w:pPr>
      <w:r>
        <w:rPr>
          <w:rFonts w:hint="eastAsia"/>
        </w:rPr>
        <w:t>对比两个采样区段的底栖动物的种类组成及各类群的密度，阜阳至袁寨河段底栖动物密度较低，节肢动物分布较少，杨湖镇至沫河口河段底栖动物的组成较为复杂，软体动物密度较高，同时节肢动物分布较多。</w:t>
      </w:r>
    </w:p>
    <w:p>
      <w:pPr>
        <w:pStyle w:val="43"/>
        <w:bidi w:val="0"/>
        <w:rPr>
          <w:rFonts w:hint="eastAsia" w:ascii="Times New Roman" w:hAnsi="Times New Roman" w:eastAsia="宋体" w:cs="Times New Roman"/>
          <w:b/>
          <w:color w:val="auto"/>
          <w:sz w:val="21"/>
          <w:lang w:val="en-US" w:eastAsia="zh-CN"/>
        </w:rPr>
      </w:pPr>
      <w:r>
        <w:rPr>
          <w:rFonts w:hint="eastAsia" w:ascii="Times New Roman" w:hAnsi="Times New Roman" w:eastAsia="宋体" w:cs="Times New Roman"/>
          <w:b/>
          <w:color w:val="auto"/>
          <w:sz w:val="21"/>
          <w:lang w:val="en-US" w:eastAsia="zh-CN"/>
        </w:rPr>
        <w:t>表3.6-12 阜阳至袁寨河段底栖动物的数量组成</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30" w:type="dxa"/>
          <w:bottom w:w="0" w:type="dxa"/>
          <w:right w:w="30" w:type="dxa"/>
        </w:tblCellMar>
      </w:tblPr>
      <w:tblGrid>
        <w:gridCol w:w="1087"/>
        <w:gridCol w:w="726"/>
        <w:gridCol w:w="944"/>
        <w:gridCol w:w="952"/>
        <w:gridCol w:w="950"/>
        <w:gridCol w:w="668"/>
        <w:gridCol w:w="984"/>
        <w:gridCol w:w="982"/>
        <w:gridCol w:w="1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650" w:type="pct"/>
            <w:vMerge w:val="restar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bookmarkStart w:id="285" w:name="OLE_LINK7"/>
            <w:bookmarkStart w:id="286" w:name="OLE_LINK6"/>
            <w:r>
              <w:rPr>
                <w:rFonts w:hint="eastAsia" w:ascii="Times New Roman" w:hAnsi="Times New Roman" w:cs="Times New Roman"/>
                <w:color w:val="auto"/>
                <w:sz w:val="21"/>
                <w:shd w:val="clear" w:color="auto" w:fill="auto"/>
              </w:rPr>
              <w:t>地点</w:t>
            </w:r>
          </w:p>
        </w:tc>
        <w:tc>
          <w:tcPr>
            <w:tcW w:w="2135" w:type="pct"/>
            <w:gridSpan w:val="4"/>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底  栖  动  物  数  量(ind.·</w:t>
            </w:r>
            <w:r>
              <w:rPr>
                <w:rFonts w:hint="eastAsia" w:ascii="Times New Roman" w:hAnsi="Times New Roman" w:cs="Times New Roman"/>
                <w:color w:val="auto"/>
                <w:sz w:val="21"/>
                <w:shd w:val="clear" w:color="auto" w:fill="auto"/>
                <w:vertAlign w:val="baseline"/>
                <w:lang w:eastAsia="zh-CN"/>
              </w:rPr>
              <w:t>m</w:t>
            </w:r>
            <w:r>
              <w:rPr>
                <w:rFonts w:hint="eastAsia" w:ascii="Times New Roman" w:hAnsi="Times New Roman" w:cs="Times New Roman"/>
                <w:color w:val="auto"/>
                <w:sz w:val="21"/>
                <w:shd w:val="clear" w:color="auto" w:fill="auto"/>
                <w:vertAlign w:val="superscript"/>
                <w:lang w:eastAsia="zh-CN"/>
              </w:rPr>
              <w:t>-2</w:t>
            </w:r>
            <w:r>
              <w:rPr>
                <w:rFonts w:hint="eastAsia" w:ascii="Times New Roman" w:hAnsi="Times New Roman" w:cs="Times New Roman"/>
                <w:color w:val="auto"/>
                <w:sz w:val="21"/>
                <w:shd w:val="clear" w:color="auto" w:fill="auto"/>
              </w:rPr>
              <w:t>)</w:t>
            </w:r>
          </w:p>
        </w:tc>
        <w:tc>
          <w:tcPr>
            <w:tcW w:w="2215" w:type="pct"/>
            <w:gridSpan w:val="4"/>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各 类 底 栖 动 物 所 占 比 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650"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合计</w:t>
            </w:r>
          </w:p>
        </w:tc>
        <w:tc>
          <w:tcPr>
            <w:tcW w:w="5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软体动物</w:t>
            </w:r>
          </w:p>
        </w:tc>
        <w:tc>
          <w:tcPr>
            <w:tcW w:w="56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环节动物</w:t>
            </w:r>
          </w:p>
        </w:tc>
        <w:tc>
          <w:tcPr>
            <w:tcW w:w="56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节肢动物</w:t>
            </w:r>
          </w:p>
        </w:tc>
        <w:tc>
          <w:tcPr>
            <w:tcW w:w="3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合 计</w:t>
            </w:r>
          </w:p>
        </w:tc>
        <w:tc>
          <w:tcPr>
            <w:tcW w:w="5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软体动物</w:t>
            </w:r>
          </w:p>
        </w:tc>
        <w:tc>
          <w:tcPr>
            <w:tcW w:w="58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环节动物</w:t>
            </w:r>
          </w:p>
        </w:tc>
        <w:tc>
          <w:tcPr>
            <w:tcW w:w="64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节肢动物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6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位点1</w:t>
            </w:r>
          </w:p>
        </w:tc>
        <w:tc>
          <w:tcPr>
            <w:tcW w:w="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22.0</w:t>
            </w:r>
          </w:p>
        </w:tc>
        <w:tc>
          <w:tcPr>
            <w:tcW w:w="5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8.0</w:t>
            </w:r>
          </w:p>
        </w:tc>
        <w:tc>
          <w:tcPr>
            <w:tcW w:w="56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14.0</w:t>
            </w:r>
          </w:p>
        </w:tc>
        <w:tc>
          <w:tcPr>
            <w:tcW w:w="56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0.0</w:t>
            </w:r>
          </w:p>
        </w:tc>
        <w:tc>
          <w:tcPr>
            <w:tcW w:w="3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36.4</w:t>
            </w:r>
          </w:p>
        </w:tc>
        <w:tc>
          <w:tcPr>
            <w:tcW w:w="58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63.6</w:t>
            </w:r>
          </w:p>
        </w:tc>
        <w:tc>
          <w:tcPr>
            <w:tcW w:w="64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6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位点2</w:t>
            </w:r>
          </w:p>
        </w:tc>
        <w:tc>
          <w:tcPr>
            <w:tcW w:w="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39.0</w:t>
            </w:r>
          </w:p>
        </w:tc>
        <w:tc>
          <w:tcPr>
            <w:tcW w:w="5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12.0</w:t>
            </w:r>
          </w:p>
        </w:tc>
        <w:tc>
          <w:tcPr>
            <w:tcW w:w="56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27.0</w:t>
            </w:r>
          </w:p>
        </w:tc>
        <w:tc>
          <w:tcPr>
            <w:tcW w:w="56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0.0</w:t>
            </w:r>
          </w:p>
        </w:tc>
        <w:tc>
          <w:tcPr>
            <w:tcW w:w="3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30.8</w:t>
            </w:r>
          </w:p>
        </w:tc>
        <w:tc>
          <w:tcPr>
            <w:tcW w:w="58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69.2</w:t>
            </w:r>
          </w:p>
        </w:tc>
        <w:tc>
          <w:tcPr>
            <w:tcW w:w="64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6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位点3</w:t>
            </w:r>
          </w:p>
        </w:tc>
        <w:tc>
          <w:tcPr>
            <w:tcW w:w="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11.0</w:t>
            </w:r>
          </w:p>
        </w:tc>
        <w:tc>
          <w:tcPr>
            <w:tcW w:w="5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4.0</w:t>
            </w:r>
          </w:p>
        </w:tc>
        <w:tc>
          <w:tcPr>
            <w:tcW w:w="56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6.0</w:t>
            </w:r>
          </w:p>
        </w:tc>
        <w:tc>
          <w:tcPr>
            <w:tcW w:w="56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w:t>
            </w:r>
          </w:p>
        </w:tc>
        <w:tc>
          <w:tcPr>
            <w:tcW w:w="3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36.4</w:t>
            </w:r>
          </w:p>
        </w:tc>
        <w:tc>
          <w:tcPr>
            <w:tcW w:w="58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54.5</w:t>
            </w:r>
          </w:p>
        </w:tc>
        <w:tc>
          <w:tcPr>
            <w:tcW w:w="64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6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位点4</w:t>
            </w:r>
          </w:p>
        </w:tc>
        <w:tc>
          <w:tcPr>
            <w:tcW w:w="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26.0</w:t>
            </w:r>
          </w:p>
        </w:tc>
        <w:tc>
          <w:tcPr>
            <w:tcW w:w="5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16.0</w:t>
            </w:r>
          </w:p>
        </w:tc>
        <w:tc>
          <w:tcPr>
            <w:tcW w:w="56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4.0</w:t>
            </w:r>
          </w:p>
        </w:tc>
        <w:tc>
          <w:tcPr>
            <w:tcW w:w="56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6.0</w:t>
            </w:r>
          </w:p>
        </w:tc>
        <w:tc>
          <w:tcPr>
            <w:tcW w:w="3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61.5</w:t>
            </w:r>
          </w:p>
        </w:tc>
        <w:tc>
          <w:tcPr>
            <w:tcW w:w="58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15.4</w:t>
            </w:r>
          </w:p>
        </w:tc>
        <w:tc>
          <w:tcPr>
            <w:tcW w:w="64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6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位点5</w:t>
            </w:r>
          </w:p>
        </w:tc>
        <w:tc>
          <w:tcPr>
            <w:tcW w:w="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44.0</w:t>
            </w:r>
          </w:p>
        </w:tc>
        <w:tc>
          <w:tcPr>
            <w:tcW w:w="5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21.0</w:t>
            </w:r>
          </w:p>
        </w:tc>
        <w:tc>
          <w:tcPr>
            <w:tcW w:w="56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15.0</w:t>
            </w:r>
          </w:p>
        </w:tc>
        <w:tc>
          <w:tcPr>
            <w:tcW w:w="56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8.0</w:t>
            </w:r>
          </w:p>
        </w:tc>
        <w:tc>
          <w:tcPr>
            <w:tcW w:w="3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47.7</w:t>
            </w:r>
          </w:p>
        </w:tc>
        <w:tc>
          <w:tcPr>
            <w:tcW w:w="58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34.1</w:t>
            </w:r>
          </w:p>
        </w:tc>
        <w:tc>
          <w:tcPr>
            <w:tcW w:w="64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6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位点6</w:t>
            </w:r>
          </w:p>
        </w:tc>
        <w:tc>
          <w:tcPr>
            <w:tcW w:w="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56.0</w:t>
            </w:r>
          </w:p>
        </w:tc>
        <w:tc>
          <w:tcPr>
            <w:tcW w:w="5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8.0</w:t>
            </w:r>
          </w:p>
        </w:tc>
        <w:tc>
          <w:tcPr>
            <w:tcW w:w="56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28.0</w:t>
            </w:r>
          </w:p>
        </w:tc>
        <w:tc>
          <w:tcPr>
            <w:tcW w:w="56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19.0</w:t>
            </w:r>
          </w:p>
        </w:tc>
        <w:tc>
          <w:tcPr>
            <w:tcW w:w="3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14.3</w:t>
            </w:r>
          </w:p>
        </w:tc>
        <w:tc>
          <w:tcPr>
            <w:tcW w:w="58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50.0</w:t>
            </w:r>
          </w:p>
        </w:tc>
        <w:tc>
          <w:tcPr>
            <w:tcW w:w="64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6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平均数量</w:t>
            </w:r>
          </w:p>
        </w:tc>
        <w:tc>
          <w:tcPr>
            <w:tcW w:w="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33.0</w:t>
            </w:r>
          </w:p>
        </w:tc>
        <w:tc>
          <w:tcPr>
            <w:tcW w:w="5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11.5</w:t>
            </w:r>
          </w:p>
        </w:tc>
        <w:tc>
          <w:tcPr>
            <w:tcW w:w="56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15.7</w:t>
            </w:r>
          </w:p>
        </w:tc>
        <w:tc>
          <w:tcPr>
            <w:tcW w:w="56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5.7</w:t>
            </w:r>
          </w:p>
        </w:tc>
        <w:tc>
          <w:tcPr>
            <w:tcW w:w="3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37.9</w:t>
            </w:r>
          </w:p>
        </w:tc>
        <w:tc>
          <w:tcPr>
            <w:tcW w:w="58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47.8</w:t>
            </w:r>
          </w:p>
        </w:tc>
        <w:tc>
          <w:tcPr>
            <w:tcW w:w="64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14.3</w:t>
            </w:r>
          </w:p>
        </w:tc>
      </w:tr>
      <w:bookmarkEnd w:id="285"/>
      <w:bookmarkEnd w:id="286"/>
    </w:tbl>
    <w:p>
      <w:pPr>
        <w:spacing w:line="360" w:lineRule="auto"/>
        <w:ind w:right="-175" w:rightChars="-73"/>
        <w:jc w:val="center"/>
        <w:rPr>
          <w:rFonts w:hint="eastAsia"/>
          <w:b/>
          <w:szCs w:val="21"/>
        </w:rPr>
      </w:pPr>
    </w:p>
    <w:p>
      <w:pPr>
        <w:pStyle w:val="43"/>
        <w:bidi w:val="0"/>
        <w:rPr>
          <w:rFonts w:hint="eastAsia" w:ascii="Times New Roman" w:hAnsi="Times New Roman" w:eastAsia="宋体" w:cs="Times New Roman"/>
          <w:b/>
          <w:color w:val="auto"/>
          <w:sz w:val="21"/>
          <w:lang w:val="en-US" w:eastAsia="zh-CN"/>
        </w:rPr>
      </w:pPr>
      <w:r>
        <w:rPr>
          <w:rFonts w:hint="eastAsia" w:ascii="Times New Roman" w:hAnsi="Times New Roman" w:eastAsia="宋体" w:cs="Times New Roman"/>
          <w:b/>
          <w:color w:val="auto"/>
          <w:sz w:val="21"/>
          <w:lang w:val="en-US" w:eastAsia="zh-CN"/>
        </w:rPr>
        <w:t>表3.6-13 阜阳至袁寨河段底栖动物的生物量</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30" w:type="dxa"/>
          <w:bottom w:w="0" w:type="dxa"/>
          <w:right w:w="30" w:type="dxa"/>
        </w:tblCellMar>
      </w:tblPr>
      <w:tblGrid>
        <w:gridCol w:w="976"/>
        <w:gridCol w:w="776"/>
        <w:gridCol w:w="969"/>
        <w:gridCol w:w="954"/>
        <w:gridCol w:w="974"/>
        <w:gridCol w:w="643"/>
        <w:gridCol w:w="929"/>
        <w:gridCol w:w="992"/>
        <w:gridCol w:w="1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exact"/>
          <w:jc w:val="center"/>
        </w:trPr>
        <w:tc>
          <w:tcPr>
            <w:tcW w:w="584" w:type="pct"/>
            <w:vMerge w:val="restar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地点</w:t>
            </w:r>
          </w:p>
        </w:tc>
        <w:tc>
          <w:tcPr>
            <w:tcW w:w="2195" w:type="pct"/>
            <w:gridSpan w:val="4"/>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底 栖 动 物 生 物 量（g·</w:t>
            </w:r>
            <w:r>
              <w:rPr>
                <w:rFonts w:hint="eastAsia" w:ascii="Times New Roman" w:hAnsi="Times New Roman" w:cs="Times New Roman"/>
                <w:color w:val="auto"/>
                <w:sz w:val="21"/>
                <w:shd w:val="clear" w:color="auto" w:fill="auto"/>
                <w:vertAlign w:val="baseline"/>
                <w:lang w:eastAsia="zh-CN"/>
              </w:rPr>
              <w:t>m</w:t>
            </w:r>
            <w:r>
              <w:rPr>
                <w:rFonts w:hint="eastAsia" w:ascii="Times New Roman" w:hAnsi="Times New Roman" w:cs="Times New Roman"/>
                <w:color w:val="auto"/>
                <w:sz w:val="21"/>
                <w:shd w:val="clear" w:color="auto" w:fill="auto"/>
                <w:vertAlign w:val="superscript"/>
                <w:lang w:eastAsia="zh-CN"/>
              </w:rPr>
              <w:t>-2</w:t>
            </w:r>
            <w:r>
              <w:rPr>
                <w:rFonts w:hint="eastAsia" w:ascii="Times New Roman" w:hAnsi="Times New Roman" w:cs="Times New Roman"/>
                <w:color w:val="auto"/>
                <w:sz w:val="21"/>
                <w:shd w:val="clear" w:color="auto" w:fill="auto"/>
              </w:rPr>
              <w:t>）</w:t>
            </w:r>
          </w:p>
        </w:tc>
        <w:tc>
          <w:tcPr>
            <w:tcW w:w="2220" w:type="pct"/>
            <w:gridSpan w:val="4"/>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各 类 底 栖 动 物 所 占 比 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exact"/>
          <w:jc w:val="center"/>
        </w:trPr>
        <w:tc>
          <w:tcPr>
            <w:tcW w:w="584"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4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合计</w:t>
            </w:r>
          </w:p>
        </w:tc>
        <w:tc>
          <w:tcPr>
            <w:tcW w:w="5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软体动物</w:t>
            </w:r>
          </w:p>
        </w:tc>
        <w:tc>
          <w:tcPr>
            <w:tcW w:w="57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环节动物</w:t>
            </w:r>
          </w:p>
        </w:tc>
        <w:tc>
          <w:tcPr>
            <w:tcW w:w="5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节肢动物</w:t>
            </w:r>
          </w:p>
        </w:tc>
        <w:tc>
          <w:tcPr>
            <w:tcW w:w="38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合 计</w:t>
            </w:r>
          </w:p>
        </w:tc>
        <w:tc>
          <w:tcPr>
            <w:tcW w:w="55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软体动物</w:t>
            </w:r>
          </w:p>
        </w:tc>
        <w:tc>
          <w:tcPr>
            <w:tcW w:w="59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环节动物</w:t>
            </w:r>
          </w:p>
        </w:tc>
        <w:tc>
          <w:tcPr>
            <w:tcW w:w="68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节肢动物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exact"/>
          <w:jc w:val="center"/>
        </w:trPr>
        <w:tc>
          <w:tcPr>
            <w:tcW w:w="58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位点1</w:t>
            </w:r>
          </w:p>
        </w:tc>
        <w:tc>
          <w:tcPr>
            <w:tcW w:w="4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11.1</w:t>
            </w:r>
          </w:p>
        </w:tc>
        <w:tc>
          <w:tcPr>
            <w:tcW w:w="5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10.7</w:t>
            </w:r>
          </w:p>
        </w:tc>
        <w:tc>
          <w:tcPr>
            <w:tcW w:w="57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0.4</w:t>
            </w:r>
          </w:p>
        </w:tc>
        <w:tc>
          <w:tcPr>
            <w:tcW w:w="5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0.0</w:t>
            </w:r>
          </w:p>
        </w:tc>
        <w:tc>
          <w:tcPr>
            <w:tcW w:w="38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5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96.4</w:t>
            </w:r>
          </w:p>
        </w:tc>
        <w:tc>
          <w:tcPr>
            <w:tcW w:w="59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3.6</w:t>
            </w:r>
          </w:p>
        </w:tc>
        <w:tc>
          <w:tcPr>
            <w:tcW w:w="68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exact"/>
          <w:jc w:val="center"/>
        </w:trPr>
        <w:tc>
          <w:tcPr>
            <w:tcW w:w="58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位点2</w:t>
            </w:r>
          </w:p>
        </w:tc>
        <w:tc>
          <w:tcPr>
            <w:tcW w:w="4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12.3</w:t>
            </w:r>
          </w:p>
        </w:tc>
        <w:tc>
          <w:tcPr>
            <w:tcW w:w="5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11.2</w:t>
            </w:r>
          </w:p>
        </w:tc>
        <w:tc>
          <w:tcPr>
            <w:tcW w:w="57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w:t>
            </w:r>
          </w:p>
        </w:tc>
        <w:tc>
          <w:tcPr>
            <w:tcW w:w="5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0.0</w:t>
            </w:r>
          </w:p>
        </w:tc>
        <w:tc>
          <w:tcPr>
            <w:tcW w:w="38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5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91.1</w:t>
            </w:r>
          </w:p>
        </w:tc>
        <w:tc>
          <w:tcPr>
            <w:tcW w:w="59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8.9</w:t>
            </w:r>
          </w:p>
        </w:tc>
        <w:tc>
          <w:tcPr>
            <w:tcW w:w="68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exact"/>
          <w:jc w:val="center"/>
        </w:trPr>
        <w:tc>
          <w:tcPr>
            <w:tcW w:w="58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位点3</w:t>
            </w:r>
          </w:p>
        </w:tc>
        <w:tc>
          <w:tcPr>
            <w:tcW w:w="4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2.8</w:t>
            </w:r>
          </w:p>
        </w:tc>
        <w:tc>
          <w:tcPr>
            <w:tcW w:w="5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2.4</w:t>
            </w:r>
          </w:p>
        </w:tc>
        <w:tc>
          <w:tcPr>
            <w:tcW w:w="57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0.3</w:t>
            </w:r>
          </w:p>
        </w:tc>
        <w:tc>
          <w:tcPr>
            <w:tcW w:w="5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0.1</w:t>
            </w:r>
          </w:p>
        </w:tc>
        <w:tc>
          <w:tcPr>
            <w:tcW w:w="38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5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85.7</w:t>
            </w:r>
          </w:p>
        </w:tc>
        <w:tc>
          <w:tcPr>
            <w:tcW w:w="59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10.7</w:t>
            </w:r>
          </w:p>
        </w:tc>
        <w:tc>
          <w:tcPr>
            <w:tcW w:w="68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exact"/>
          <w:jc w:val="center"/>
        </w:trPr>
        <w:tc>
          <w:tcPr>
            <w:tcW w:w="58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位点4</w:t>
            </w:r>
          </w:p>
        </w:tc>
        <w:tc>
          <w:tcPr>
            <w:tcW w:w="4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26.4</w:t>
            </w:r>
          </w:p>
        </w:tc>
        <w:tc>
          <w:tcPr>
            <w:tcW w:w="5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25.9</w:t>
            </w:r>
          </w:p>
        </w:tc>
        <w:tc>
          <w:tcPr>
            <w:tcW w:w="57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0.2</w:t>
            </w:r>
          </w:p>
        </w:tc>
        <w:tc>
          <w:tcPr>
            <w:tcW w:w="5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0.3</w:t>
            </w:r>
          </w:p>
        </w:tc>
        <w:tc>
          <w:tcPr>
            <w:tcW w:w="38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5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98.1</w:t>
            </w:r>
          </w:p>
        </w:tc>
        <w:tc>
          <w:tcPr>
            <w:tcW w:w="59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0.8</w:t>
            </w:r>
          </w:p>
        </w:tc>
        <w:tc>
          <w:tcPr>
            <w:tcW w:w="68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exact"/>
          <w:jc w:val="center"/>
        </w:trPr>
        <w:tc>
          <w:tcPr>
            <w:tcW w:w="58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位点5</w:t>
            </w:r>
          </w:p>
        </w:tc>
        <w:tc>
          <w:tcPr>
            <w:tcW w:w="4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39.6</w:t>
            </w:r>
          </w:p>
        </w:tc>
        <w:tc>
          <w:tcPr>
            <w:tcW w:w="5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38.6</w:t>
            </w:r>
          </w:p>
        </w:tc>
        <w:tc>
          <w:tcPr>
            <w:tcW w:w="57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0.4</w:t>
            </w:r>
          </w:p>
        </w:tc>
        <w:tc>
          <w:tcPr>
            <w:tcW w:w="5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0.6</w:t>
            </w:r>
          </w:p>
        </w:tc>
        <w:tc>
          <w:tcPr>
            <w:tcW w:w="38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5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97.5</w:t>
            </w:r>
          </w:p>
        </w:tc>
        <w:tc>
          <w:tcPr>
            <w:tcW w:w="59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w:t>
            </w:r>
          </w:p>
        </w:tc>
        <w:tc>
          <w:tcPr>
            <w:tcW w:w="68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exact"/>
          <w:jc w:val="center"/>
        </w:trPr>
        <w:tc>
          <w:tcPr>
            <w:tcW w:w="58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位点6</w:t>
            </w:r>
          </w:p>
        </w:tc>
        <w:tc>
          <w:tcPr>
            <w:tcW w:w="4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8.9</w:t>
            </w:r>
          </w:p>
        </w:tc>
        <w:tc>
          <w:tcPr>
            <w:tcW w:w="5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6.6</w:t>
            </w:r>
          </w:p>
        </w:tc>
        <w:tc>
          <w:tcPr>
            <w:tcW w:w="57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w:t>
            </w:r>
          </w:p>
        </w:tc>
        <w:tc>
          <w:tcPr>
            <w:tcW w:w="5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1.3</w:t>
            </w:r>
          </w:p>
        </w:tc>
        <w:tc>
          <w:tcPr>
            <w:tcW w:w="38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5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74.2</w:t>
            </w:r>
          </w:p>
        </w:tc>
        <w:tc>
          <w:tcPr>
            <w:tcW w:w="59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11.2</w:t>
            </w:r>
          </w:p>
        </w:tc>
        <w:tc>
          <w:tcPr>
            <w:tcW w:w="68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exact"/>
          <w:jc w:val="center"/>
        </w:trPr>
        <w:tc>
          <w:tcPr>
            <w:tcW w:w="58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平均数量</w:t>
            </w:r>
          </w:p>
        </w:tc>
        <w:tc>
          <w:tcPr>
            <w:tcW w:w="4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16.9</w:t>
            </w:r>
          </w:p>
        </w:tc>
        <w:tc>
          <w:tcPr>
            <w:tcW w:w="5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15.9</w:t>
            </w:r>
          </w:p>
        </w:tc>
        <w:tc>
          <w:tcPr>
            <w:tcW w:w="57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0.6</w:t>
            </w:r>
          </w:p>
        </w:tc>
        <w:tc>
          <w:tcPr>
            <w:tcW w:w="5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0.4</w:t>
            </w:r>
          </w:p>
        </w:tc>
        <w:tc>
          <w:tcPr>
            <w:tcW w:w="38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5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94.4</w:t>
            </w:r>
          </w:p>
        </w:tc>
        <w:tc>
          <w:tcPr>
            <w:tcW w:w="59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3.4</w:t>
            </w:r>
          </w:p>
        </w:tc>
        <w:tc>
          <w:tcPr>
            <w:tcW w:w="68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2.3</w:t>
            </w:r>
          </w:p>
        </w:tc>
      </w:tr>
    </w:tbl>
    <w:p>
      <w:pPr>
        <w:autoSpaceDE w:val="0"/>
        <w:autoSpaceDN w:val="0"/>
        <w:adjustRightInd w:val="0"/>
        <w:snapToGrid w:val="0"/>
        <w:spacing w:line="360" w:lineRule="auto"/>
        <w:ind w:right="-175" w:rightChars="-73"/>
        <w:jc w:val="center"/>
        <w:rPr>
          <w:rFonts w:hint="eastAsia"/>
          <w:b/>
          <w:szCs w:val="21"/>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right="-175" w:rightChars="-73"/>
        <w:jc w:val="center"/>
        <w:textAlignment w:val="auto"/>
        <w:rPr>
          <w:rFonts w:hint="eastAsia" w:ascii="Times New Roman" w:hAnsi="Times New Roman" w:eastAsia="宋体" w:cs="Times New Roman"/>
          <w:b/>
          <w:color w:val="auto"/>
          <w:kern w:val="2"/>
          <w:sz w:val="21"/>
          <w:szCs w:val="24"/>
          <w:lang w:val="en-US" w:eastAsia="zh-CN" w:bidi="ar-SA"/>
        </w:rPr>
      </w:pPr>
      <w:r>
        <w:rPr>
          <w:rFonts w:hint="eastAsia" w:ascii="Times New Roman" w:hAnsi="Times New Roman" w:eastAsia="宋体" w:cs="Times New Roman"/>
          <w:b/>
          <w:color w:val="auto"/>
          <w:kern w:val="2"/>
          <w:sz w:val="21"/>
          <w:szCs w:val="24"/>
          <w:lang w:val="en-US" w:eastAsia="zh-CN" w:bidi="ar-SA"/>
        </w:rPr>
        <w:t>表</w:t>
      </w:r>
      <w:r>
        <w:rPr>
          <w:rFonts w:hint="eastAsia" w:ascii="Times New Roman" w:hAnsi="Times New Roman" w:cs="Times New Roman"/>
          <w:b/>
          <w:color w:val="auto"/>
          <w:kern w:val="2"/>
          <w:sz w:val="21"/>
          <w:szCs w:val="24"/>
          <w:lang w:val="en-US" w:eastAsia="zh-CN" w:bidi="ar-SA"/>
        </w:rPr>
        <w:t>3.6</w:t>
      </w:r>
      <w:r>
        <w:rPr>
          <w:rFonts w:hint="eastAsia" w:ascii="Times New Roman" w:hAnsi="Times New Roman" w:eastAsia="宋体" w:cs="Times New Roman"/>
          <w:b/>
          <w:color w:val="auto"/>
          <w:kern w:val="2"/>
          <w:sz w:val="21"/>
          <w:szCs w:val="24"/>
          <w:lang w:val="en-US" w:eastAsia="zh-CN" w:bidi="ar-SA"/>
        </w:rPr>
        <w:t>-1</w:t>
      </w:r>
      <w:r>
        <w:rPr>
          <w:rFonts w:hint="eastAsia" w:ascii="Times New Roman" w:hAnsi="Times New Roman" w:cs="Times New Roman"/>
          <w:b/>
          <w:color w:val="auto"/>
          <w:kern w:val="2"/>
          <w:sz w:val="21"/>
          <w:szCs w:val="24"/>
          <w:lang w:val="en-US" w:eastAsia="zh-CN" w:bidi="ar-SA"/>
        </w:rPr>
        <w:t>4</w:t>
      </w:r>
      <w:r>
        <w:rPr>
          <w:rFonts w:hint="eastAsia" w:ascii="Times New Roman" w:hAnsi="Times New Roman" w:eastAsia="宋体" w:cs="Times New Roman"/>
          <w:b/>
          <w:color w:val="auto"/>
          <w:kern w:val="2"/>
          <w:sz w:val="21"/>
          <w:szCs w:val="24"/>
          <w:lang w:val="en-US" w:eastAsia="zh-CN" w:bidi="ar-SA"/>
        </w:rPr>
        <w:t xml:space="preserve"> 杨湖镇至沫河口河段底栖动物的数量组成</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30" w:type="dxa"/>
          <w:bottom w:w="0" w:type="dxa"/>
          <w:right w:w="30" w:type="dxa"/>
        </w:tblCellMar>
      </w:tblPr>
      <w:tblGrid>
        <w:gridCol w:w="1087"/>
        <w:gridCol w:w="726"/>
        <w:gridCol w:w="944"/>
        <w:gridCol w:w="952"/>
        <w:gridCol w:w="950"/>
        <w:gridCol w:w="668"/>
        <w:gridCol w:w="984"/>
        <w:gridCol w:w="982"/>
        <w:gridCol w:w="1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650" w:type="pct"/>
            <w:vMerge w:val="restar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地点</w:t>
            </w:r>
          </w:p>
        </w:tc>
        <w:tc>
          <w:tcPr>
            <w:tcW w:w="2135" w:type="pct"/>
            <w:gridSpan w:val="4"/>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底  栖  动  物  数  量(ind.·</w:t>
            </w:r>
            <w:r>
              <w:rPr>
                <w:rFonts w:hint="eastAsia" w:ascii="Times New Roman" w:hAnsi="Times New Roman" w:cs="Times New Roman"/>
                <w:color w:val="auto"/>
                <w:sz w:val="21"/>
                <w:shd w:val="clear" w:color="auto" w:fill="auto"/>
                <w:vertAlign w:val="baseline"/>
                <w:lang w:eastAsia="zh-CN"/>
              </w:rPr>
              <w:t>m</w:t>
            </w:r>
            <w:r>
              <w:rPr>
                <w:rFonts w:hint="eastAsia" w:ascii="Times New Roman" w:hAnsi="Times New Roman" w:cs="Times New Roman"/>
                <w:color w:val="auto"/>
                <w:sz w:val="21"/>
                <w:shd w:val="clear" w:color="auto" w:fill="auto"/>
                <w:vertAlign w:val="superscript"/>
                <w:lang w:eastAsia="zh-CN"/>
              </w:rPr>
              <w:t>-2</w:t>
            </w:r>
            <w:r>
              <w:rPr>
                <w:rFonts w:hint="eastAsia" w:ascii="Times New Roman" w:hAnsi="Times New Roman" w:cs="Times New Roman"/>
                <w:color w:val="auto"/>
                <w:sz w:val="21"/>
                <w:shd w:val="clear" w:color="auto" w:fill="auto"/>
              </w:rPr>
              <w:t>)</w:t>
            </w:r>
          </w:p>
        </w:tc>
        <w:tc>
          <w:tcPr>
            <w:tcW w:w="2215" w:type="pct"/>
            <w:gridSpan w:val="4"/>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各 类 底 栖 动 物 所 占 比 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650"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合计</w:t>
            </w:r>
          </w:p>
        </w:tc>
        <w:tc>
          <w:tcPr>
            <w:tcW w:w="5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软体动物</w:t>
            </w:r>
          </w:p>
        </w:tc>
        <w:tc>
          <w:tcPr>
            <w:tcW w:w="56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环节动物</w:t>
            </w:r>
          </w:p>
        </w:tc>
        <w:tc>
          <w:tcPr>
            <w:tcW w:w="56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节肢动物</w:t>
            </w:r>
          </w:p>
        </w:tc>
        <w:tc>
          <w:tcPr>
            <w:tcW w:w="3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合 计</w:t>
            </w:r>
          </w:p>
        </w:tc>
        <w:tc>
          <w:tcPr>
            <w:tcW w:w="5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软体动物</w:t>
            </w:r>
          </w:p>
        </w:tc>
        <w:tc>
          <w:tcPr>
            <w:tcW w:w="58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环节动物</w:t>
            </w:r>
          </w:p>
        </w:tc>
        <w:tc>
          <w:tcPr>
            <w:tcW w:w="64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节肢动物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6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位点1</w:t>
            </w:r>
          </w:p>
        </w:tc>
        <w:tc>
          <w:tcPr>
            <w:tcW w:w="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51.0</w:t>
            </w:r>
          </w:p>
        </w:tc>
        <w:tc>
          <w:tcPr>
            <w:tcW w:w="5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12.0</w:t>
            </w:r>
          </w:p>
        </w:tc>
        <w:tc>
          <w:tcPr>
            <w:tcW w:w="56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16.0</w:t>
            </w:r>
          </w:p>
        </w:tc>
        <w:tc>
          <w:tcPr>
            <w:tcW w:w="56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23.0</w:t>
            </w:r>
          </w:p>
        </w:tc>
        <w:tc>
          <w:tcPr>
            <w:tcW w:w="3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23.5</w:t>
            </w:r>
          </w:p>
        </w:tc>
        <w:tc>
          <w:tcPr>
            <w:tcW w:w="58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31.4</w:t>
            </w:r>
          </w:p>
        </w:tc>
        <w:tc>
          <w:tcPr>
            <w:tcW w:w="64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6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位点2</w:t>
            </w:r>
          </w:p>
        </w:tc>
        <w:tc>
          <w:tcPr>
            <w:tcW w:w="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45.0</w:t>
            </w:r>
          </w:p>
        </w:tc>
        <w:tc>
          <w:tcPr>
            <w:tcW w:w="5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4.0</w:t>
            </w:r>
          </w:p>
        </w:tc>
        <w:tc>
          <w:tcPr>
            <w:tcW w:w="56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26.0</w:t>
            </w:r>
          </w:p>
        </w:tc>
        <w:tc>
          <w:tcPr>
            <w:tcW w:w="56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15.0</w:t>
            </w:r>
          </w:p>
        </w:tc>
        <w:tc>
          <w:tcPr>
            <w:tcW w:w="3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8.9</w:t>
            </w:r>
          </w:p>
        </w:tc>
        <w:tc>
          <w:tcPr>
            <w:tcW w:w="58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57.8</w:t>
            </w:r>
          </w:p>
        </w:tc>
        <w:tc>
          <w:tcPr>
            <w:tcW w:w="64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6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位点3</w:t>
            </w:r>
          </w:p>
        </w:tc>
        <w:tc>
          <w:tcPr>
            <w:tcW w:w="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39.0</w:t>
            </w:r>
          </w:p>
        </w:tc>
        <w:tc>
          <w:tcPr>
            <w:tcW w:w="5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22.0</w:t>
            </w:r>
          </w:p>
        </w:tc>
        <w:tc>
          <w:tcPr>
            <w:tcW w:w="56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17.0</w:t>
            </w:r>
          </w:p>
        </w:tc>
        <w:tc>
          <w:tcPr>
            <w:tcW w:w="56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0.0</w:t>
            </w:r>
          </w:p>
        </w:tc>
        <w:tc>
          <w:tcPr>
            <w:tcW w:w="3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56.4</w:t>
            </w:r>
          </w:p>
        </w:tc>
        <w:tc>
          <w:tcPr>
            <w:tcW w:w="58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43.6</w:t>
            </w:r>
          </w:p>
        </w:tc>
        <w:tc>
          <w:tcPr>
            <w:tcW w:w="64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atLeast"/>
          <w:jc w:val="center"/>
        </w:trPr>
        <w:tc>
          <w:tcPr>
            <w:tcW w:w="65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平均数量</w:t>
            </w:r>
          </w:p>
        </w:tc>
        <w:tc>
          <w:tcPr>
            <w:tcW w:w="43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45.0</w:t>
            </w:r>
          </w:p>
        </w:tc>
        <w:tc>
          <w:tcPr>
            <w:tcW w:w="5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12.7</w:t>
            </w:r>
          </w:p>
        </w:tc>
        <w:tc>
          <w:tcPr>
            <w:tcW w:w="56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19.7</w:t>
            </w:r>
          </w:p>
        </w:tc>
        <w:tc>
          <w:tcPr>
            <w:tcW w:w="56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12.7</w:t>
            </w:r>
          </w:p>
        </w:tc>
        <w:tc>
          <w:tcPr>
            <w:tcW w:w="39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100.0</w:t>
            </w:r>
          </w:p>
        </w:tc>
        <w:tc>
          <w:tcPr>
            <w:tcW w:w="5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28.1</w:t>
            </w:r>
          </w:p>
        </w:tc>
        <w:tc>
          <w:tcPr>
            <w:tcW w:w="587"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43.7</w:t>
            </w:r>
          </w:p>
        </w:tc>
        <w:tc>
          <w:tcPr>
            <w:tcW w:w="64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28.1</w:t>
            </w:r>
          </w:p>
        </w:tc>
      </w:tr>
    </w:tbl>
    <w:p>
      <w:pPr>
        <w:spacing w:line="360" w:lineRule="auto"/>
        <w:ind w:right="-175" w:rightChars="-73"/>
        <w:jc w:val="center"/>
        <w:rPr>
          <w:rFonts w:hint="eastAsia" w:ascii="宋体" w:hAnsi="宋体"/>
          <w:b/>
          <w:szCs w:val="21"/>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right="-175" w:rightChars="-73"/>
        <w:jc w:val="center"/>
        <w:textAlignment w:val="auto"/>
        <w:rPr>
          <w:rFonts w:hint="eastAsia" w:ascii="Times New Roman" w:hAnsi="Times New Roman" w:eastAsia="宋体" w:cs="Times New Roman"/>
          <w:b/>
          <w:color w:val="auto"/>
          <w:kern w:val="2"/>
          <w:sz w:val="21"/>
          <w:szCs w:val="24"/>
          <w:lang w:val="en-US" w:eastAsia="zh-CN" w:bidi="ar-SA"/>
        </w:rPr>
      </w:pPr>
      <w:r>
        <w:rPr>
          <w:rFonts w:hint="eastAsia" w:ascii="Times New Roman" w:hAnsi="Times New Roman" w:eastAsia="宋体" w:cs="Times New Roman"/>
          <w:b/>
          <w:color w:val="auto"/>
          <w:kern w:val="2"/>
          <w:sz w:val="21"/>
          <w:szCs w:val="24"/>
          <w:lang w:val="en-US" w:eastAsia="zh-CN" w:bidi="ar-SA"/>
        </w:rPr>
        <w:t>表</w:t>
      </w:r>
      <w:r>
        <w:rPr>
          <w:rFonts w:hint="eastAsia" w:ascii="Times New Roman" w:hAnsi="Times New Roman" w:cs="Times New Roman"/>
          <w:b/>
          <w:color w:val="auto"/>
          <w:kern w:val="2"/>
          <w:sz w:val="21"/>
          <w:szCs w:val="24"/>
          <w:lang w:val="en-US" w:eastAsia="zh-CN" w:bidi="ar-SA"/>
        </w:rPr>
        <w:t>3.6</w:t>
      </w:r>
      <w:r>
        <w:rPr>
          <w:rFonts w:hint="eastAsia" w:ascii="Times New Roman" w:hAnsi="Times New Roman" w:eastAsia="宋体" w:cs="Times New Roman"/>
          <w:b/>
          <w:color w:val="auto"/>
          <w:kern w:val="2"/>
          <w:sz w:val="21"/>
          <w:szCs w:val="24"/>
          <w:lang w:val="en-US" w:eastAsia="zh-CN" w:bidi="ar-SA"/>
        </w:rPr>
        <w:t>-1</w:t>
      </w:r>
      <w:r>
        <w:rPr>
          <w:rFonts w:hint="eastAsia" w:ascii="Times New Roman" w:hAnsi="Times New Roman" w:cs="Times New Roman"/>
          <w:b/>
          <w:color w:val="auto"/>
          <w:kern w:val="2"/>
          <w:sz w:val="21"/>
          <w:szCs w:val="24"/>
          <w:lang w:val="en-US" w:eastAsia="zh-CN" w:bidi="ar-SA"/>
        </w:rPr>
        <w:t>5</w:t>
      </w:r>
      <w:r>
        <w:rPr>
          <w:rFonts w:hint="eastAsia" w:ascii="Times New Roman" w:hAnsi="Times New Roman" w:eastAsia="宋体" w:cs="Times New Roman"/>
          <w:b/>
          <w:color w:val="auto"/>
          <w:kern w:val="2"/>
          <w:sz w:val="21"/>
          <w:szCs w:val="24"/>
          <w:lang w:val="en-US" w:eastAsia="zh-CN" w:bidi="ar-SA"/>
        </w:rPr>
        <w:t xml:space="preserve"> 杨湖镇至沫河口河段段底栖动物的生物量</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30" w:type="dxa"/>
          <w:bottom w:w="0" w:type="dxa"/>
          <w:right w:w="30" w:type="dxa"/>
        </w:tblCellMar>
      </w:tblPr>
      <w:tblGrid>
        <w:gridCol w:w="979"/>
        <w:gridCol w:w="776"/>
        <w:gridCol w:w="969"/>
        <w:gridCol w:w="954"/>
        <w:gridCol w:w="974"/>
        <w:gridCol w:w="596"/>
        <w:gridCol w:w="975"/>
        <w:gridCol w:w="992"/>
        <w:gridCol w:w="11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exact"/>
          <w:jc w:val="center"/>
        </w:trPr>
        <w:tc>
          <w:tcPr>
            <w:tcW w:w="585" w:type="pct"/>
            <w:vMerge w:val="restar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地点</w:t>
            </w:r>
          </w:p>
        </w:tc>
        <w:tc>
          <w:tcPr>
            <w:tcW w:w="2195" w:type="pct"/>
            <w:gridSpan w:val="4"/>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底 栖 动 物 生 物 量（g·</w:t>
            </w:r>
            <w:r>
              <w:rPr>
                <w:rFonts w:hint="eastAsia" w:ascii="Times New Roman" w:hAnsi="Times New Roman" w:cs="Times New Roman"/>
                <w:color w:val="auto"/>
                <w:sz w:val="21"/>
                <w:shd w:val="clear" w:color="auto" w:fill="auto"/>
                <w:vertAlign w:val="baseline"/>
                <w:lang w:eastAsia="zh-CN"/>
              </w:rPr>
              <w:t>m</w:t>
            </w:r>
            <w:r>
              <w:rPr>
                <w:rFonts w:hint="eastAsia" w:ascii="Times New Roman" w:hAnsi="Times New Roman" w:cs="Times New Roman"/>
                <w:color w:val="auto"/>
                <w:sz w:val="21"/>
                <w:shd w:val="clear" w:color="auto" w:fill="auto"/>
                <w:vertAlign w:val="superscript"/>
                <w:lang w:eastAsia="zh-CN"/>
              </w:rPr>
              <w:t>-2</w:t>
            </w:r>
            <w:r>
              <w:rPr>
                <w:rFonts w:hint="eastAsia" w:ascii="Times New Roman" w:hAnsi="Times New Roman" w:cs="Times New Roman"/>
                <w:color w:val="auto"/>
                <w:sz w:val="21"/>
                <w:shd w:val="clear" w:color="auto" w:fill="auto"/>
              </w:rPr>
              <w:t>）</w:t>
            </w:r>
          </w:p>
        </w:tc>
        <w:tc>
          <w:tcPr>
            <w:tcW w:w="2220" w:type="pct"/>
            <w:gridSpan w:val="4"/>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各 类 底 栖 动 物 所 占 比 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exact"/>
          <w:jc w:val="center"/>
        </w:trPr>
        <w:tc>
          <w:tcPr>
            <w:tcW w:w="585"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4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合计</w:t>
            </w:r>
          </w:p>
        </w:tc>
        <w:tc>
          <w:tcPr>
            <w:tcW w:w="5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软体动物</w:t>
            </w:r>
          </w:p>
        </w:tc>
        <w:tc>
          <w:tcPr>
            <w:tcW w:w="57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环节动物</w:t>
            </w:r>
          </w:p>
        </w:tc>
        <w:tc>
          <w:tcPr>
            <w:tcW w:w="5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节肢动物</w:t>
            </w:r>
          </w:p>
        </w:tc>
        <w:tc>
          <w:tcPr>
            <w:tcW w:w="35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合 计</w:t>
            </w:r>
          </w:p>
        </w:tc>
        <w:tc>
          <w:tcPr>
            <w:tcW w:w="58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软体动物</w:t>
            </w:r>
          </w:p>
        </w:tc>
        <w:tc>
          <w:tcPr>
            <w:tcW w:w="59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环节动物</w:t>
            </w:r>
          </w:p>
        </w:tc>
        <w:tc>
          <w:tcPr>
            <w:tcW w:w="6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节肢动物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exact"/>
          <w:jc w:val="center"/>
        </w:trPr>
        <w:tc>
          <w:tcPr>
            <w:tcW w:w="58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位点1</w:t>
            </w:r>
          </w:p>
        </w:tc>
        <w:tc>
          <w:tcPr>
            <w:tcW w:w="4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12.9</w:t>
            </w:r>
          </w:p>
        </w:tc>
        <w:tc>
          <w:tcPr>
            <w:tcW w:w="5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10.9</w:t>
            </w:r>
          </w:p>
        </w:tc>
        <w:tc>
          <w:tcPr>
            <w:tcW w:w="57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0.3</w:t>
            </w:r>
          </w:p>
        </w:tc>
        <w:tc>
          <w:tcPr>
            <w:tcW w:w="5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1.7</w:t>
            </w:r>
          </w:p>
        </w:tc>
        <w:tc>
          <w:tcPr>
            <w:tcW w:w="35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w:t>
            </w:r>
          </w:p>
        </w:tc>
        <w:tc>
          <w:tcPr>
            <w:tcW w:w="58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84.50</w:t>
            </w:r>
          </w:p>
        </w:tc>
        <w:tc>
          <w:tcPr>
            <w:tcW w:w="59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2.33</w:t>
            </w:r>
          </w:p>
        </w:tc>
        <w:tc>
          <w:tcPr>
            <w:tcW w:w="6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exact"/>
          <w:jc w:val="center"/>
        </w:trPr>
        <w:tc>
          <w:tcPr>
            <w:tcW w:w="58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位点2</w:t>
            </w:r>
          </w:p>
        </w:tc>
        <w:tc>
          <w:tcPr>
            <w:tcW w:w="4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5.5</w:t>
            </w:r>
          </w:p>
        </w:tc>
        <w:tc>
          <w:tcPr>
            <w:tcW w:w="5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3.2</w:t>
            </w:r>
          </w:p>
        </w:tc>
        <w:tc>
          <w:tcPr>
            <w:tcW w:w="57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1.1</w:t>
            </w:r>
          </w:p>
        </w:tc>
        <w:tc>
          <w:tcPr>
            <w:tcW w:w="5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1.2</w:t>
            </w:r>
          </w:p>
        </w:tc>
        <w:tc>
          <w:tcPr>
            <w:tcW w:w="35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w:t>
            </w:r>
          </w:p>
        </w:tc>
        <w:tc>
          <w:tcPr>
            <w:tcW w:w="58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58.18</w:t>
            </w:r>
          </w:p>
        </w:tc>
        <w:tc>
          <w:tcPr>
            <w:tcW w:w="59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20.00</w:t>
            </w:r>
          </w:p>
        </w:tc>
        <w:tc>
          <w:tcPr>
            <w:tcW w:w="6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284" w:hRule="exact"/>
          <w:jc w:val="center"/>
        </w:trPr>
        <w:tc>
          <w:tcPr>
            <w:tcW w:w="58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位点3</w:t>
            </w:r>
          </w:p>
        </w:tc>
        <w:tc>
          <w:tcPr>
            <w:tcW w:w="4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27.6</w:t>
            </w:r>
          </w:p>
        </w:tc>
        <w:tc>
          <w:tcPr>
            <w:tcW w:w="5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26.7</w:t>
            </w:r>
          </w:p>
        </w:tc>
        <w:tc>
          <w:tcPr>
            <w:tcW w:w="57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0.9</w:t>
            </w:r>
          </w:p>
        </w:tc>
        <w:tc>
          <w:tcPr>
            <w:tcW w:w="5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0.0</w:t>
            </w:r>
          </w:p>
        </w:tc>
        <w:tc>
          <w:tcPr>
            <w:tcW w:w="35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w:t>
            </w:r>
          </w:p>
        </w:tc>
        <w:tc>
          <w:tcPr>
            <w:tcW w:w="58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96.74</w:t>
            </w:r>
          </w:p>
        </w:tc>
        <w:tc>
          <w:tcPr>
            <w:tcW w:w="59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3.26</w:t>
            </w:r>
          </w:p>
        </w:tc>
        <w:tc>
          <w:tcPr>
            <w:tcW w:w="6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exact"/>
          <w:jc w:val="center"/>
        </w:trPr>
        <w:tc>
          <w:tcPr>
            <w:tcW w:w="585"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平均数量</w:t>
            </w:r>
          </w:p>
        </w:tc>
        <w:tc>
          <w:tcPr>
            <w:tcW w:w="464"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15.3</w:t>
            </w:r>
          </w:p>
        </w:tc>
        <w:tc>
          <w:tcPr>
            <w:tcW w:w="57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13.6</w:t>
            </w:r>
          </w:p>
        </w:tc>
        <w:tc>
          <w:tcPr>
            <w:tcW w:w="57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0.8</w:t>
            </w:r>
          </w:p>
        </w:tc>
        <w:tc>
          <w:tcPr>
            <w:tcW w:w="582"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w:t>
            </w:r>
          </w:p>
        </w:tc>
        <w:tc>
          <w:tcPr>
            <w:tcW w:w="356"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100</w:t>
            </w:r>
          </w:p>
        </w:tc>
        <w:tc>
          <w:tcPr>
            <w:tcW w:w="58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88.70</w:t>
            </w:r>
          </w:p>
        </w:tc>
        <w:tc>
          <w:tcPr>
            <w:tcW w:w="593"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5.00</w:t>
            </w:r>
          </w:p>
        </w:tc>
        <w:tc>
          <w:tcPr>
            <w:tcW w:w="688"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6.30</w:t>
            </w:r>
          </w:p>
        </w:tc>
      </w:tr>
    </w:tbl>
    <w:p>
      <w:pPr>
        <w:pStyle w:val="6"/>
        <w:bidi w:val="0"/>
        <w:rPr>
          <w:rFonts w:hint="eastAsia"/>
        </w:rPr>
      </w:pPr>
      <w:r>
        <w:rPr>
          <w:rFonts w:hint="eastAsia"/>
          <w:lang w:val="en-US" w:eastAsia="zh-CN"/>
        </w:rPr>
        <w:t>3.6.3.4</w:t>
      </w:r>
      <w:r>
        <w:rPr>
          <w:rFonts w:hint="eastAsia"/>
        </w:rPr>
        <w:t>鱼类资源</w:t>
      </w:r>
    </w:p>
    <w:p>
      <w:pPr>
        <w:bidi w:val="0"/>
      </w:pPr>
      <w:bookmarkStart w:id="287" w:name="_Toc233017630"/>
      <w:bookmarkStart w:id="288" w:name="_Toc32515"/>
      <w:r>
        <w:rPr>
          <w:rFonts w:hint="eastAsia"/>
        </w:rPr>
        <w:t>（1）</w:t>
      </w:r>
      <w:r>
        <w:t>鱼类物种组成</w:t>
      </w:r>
      <w:bookmarkEnd w:id="287"/>
      <w:bookmarkEnd w:id="288"/>
    </w:p>
    <w:p>
      <w:pPr>
        <w:bidi w:val="0"/>
        <w:rPr>
          <w:rFonts w:hint="eastAsia"/>
        </w:rPr>
      </w:pPr>
      <w:bookmarkStart w:id="289" w:name="_Toc233017631"/>
      <w:bookmarkStart w:id="290" w:name="_Toc12974"/>
      <w:r>
        <w:t>根据调查和资料初步统计分析结果，沙颍河安徽段共有鱼类资源7目14科45种（附表</w:t>
      </w:r>
      <w:r>
        <w:rPr>
          <w:rFonts w:hint="eastAsia"/>
        </w:rPr>
        <w:t>9</w:t>
      </w:r>
      <w:r>
        <w:t>）。鲤形目含鲤科、鳅科两科，共26种（鲤科24种，鳅科2种）；鲇形目包括2科3种，分别为：鲇科（1种），鲿科（2种）；鲈形目6科9种，分别为：鮨科（3种），塘鳢科（1种），鰕虎鱼科（1种），斗鱼科（1种），鱧科（1种），刺鳅科（1种）；鲱形目1科：鲱科（2种）；鲑形目1科（银鱼科3种）；颌鳃鱼目、鳗鲡目各包含1科1种，分别为颌鳃科、鳗鲡科。从科、种分布情况看，鲤科鱼类为该区域优势资源</w:t>
      </w:r>
      <w:r>
        <w:rPr>
          <w:rFonts w:hint="eastAsia"/>
        </w:rPr>
        <w:t>（见表</w:t>
      </w:r>
      <w:r>
        <w:rPr>
          <w:rFonts w:hint="eastAsia"/>
          <w:lang w:val="en-US" w:eastAsia="zh-CN"/>
        </w:rPr>
        <w:t>3.6</w:t>
      </w:r>
      <w:r>
        <w:rPr>
          <w:rFonts w:hint="eastAsia"/>
        </w:rPr>
        <w:t>-1</w:t>
      </w:r>
      <w:r>
        <w:rPr>
          <w:rFonts w:hint="eastAsia"/>
          <w:lang w:val="en-US" w:eastAsia="zh-CN"/>
        </w:rPr>
        <w:t>6</w:t>
      </w:r>
      <w:r>
        <w:rPr>
          <w:rFonts w:hint="eastAsia"/>
        </w:rPr>
        <w:t>）</w:t>
      </w:r>
      <w:r>
        <w:t>。</w:t>
      </w:r>
    </w:p>
    <w:p>
      <w:pPr>
        <w:keepNext w:val="0"/>
        <w:keepLines w:val="0"/>
        <w:pageBreakBefore w:val="0"/>
        <w:widowControl w:val="0"/>
        <w:kinsoku/>
        <w:wordWrap/>
        <w:overflowPunct/>
        <w:topLinePunct w:val="0"/>
        <w:autoSpaceDE w:val="0"/>
        <w:autoSpaceDN w:val="0"/>
        <w:bidi w:val="0"/>
        <w:adjustRightInd w:val="0"/>
        <w:snapToGrid w:val="0"/>
        <w:spacing w:line="240" w:lineRule="auto"/>
        <w:ind w:right="-175" w:rightChars="-73"/>
        <w:jc w:val="center"/>
        <w:textAlignment w:val="auto"/>
        <w:rPr>
          <w:rFonts w:hint="eastAsia" w:ascii="Times New Roman" w:hAnsi="Times New Roman" w:eastAsia="宋体" w:cs="Times New Roman"/>
          <w:b/>
          <w:color w:val="auto"/>
          <w:kern w:val="2"/>
          <w:sz w:val="21"/>
          <w:szCs w:val="24"/>
          <w:lang w:val="en-US" w:eastAsia="zh-CN" w:bidi="ar-SA"/>
        </w:rPr>
      </w:pPr>
      <w:r>
        <w:rPr>
          <w:rFonts w:hint="eastAsia" w:ascii="Times New Roman" w:hAnsi="Times New Roman" w:eastAsia="宋体" w:cs="Times New Roman"/>
          <w:b/>
          <w:color w:val="auto"/>
          <w:kern w:val="2"/>
          <w:sz w:val="21"/>
          <w:szCs w:val="24"/>
          <w:lang w:val="en-US" w:eastAsia="zh-CN" w:bidi="ar-SA"/>
        </w:rPr>
        <w:t>表</w:t>
      </w:r>
      <w:r>
        <w:rPr>
          <w:rFonts w:hint="eastAsia" w:ascii="Times New Roman" w:hAnsi="Times New Roman" w:cs="Times New Roman"/>
          <w:b/>
          <w:color w:val="auto"/>
          <w:kern w:val="2"/>
          <w:sz w:val="21"/>
          <w:szCs w:val="24"/>
          <w:lang w:val="en-US" w:eastAsia="zh-CN" w:bidi="ar-SA"/>
        </w:rPr>
        <w:t>3.6</w:t>
      </w:r>
      <w:r>
        <w:rPr>
          <w:rFonts w:hint="eastAsia" w:ascii="Times New Roman" w:hAnsi="Times New Roman" w:eastAsia="宋体" w:cs="Times New Roman"/>
          <w:b/>
          <w:color w:val="auto"/>
          <w:kern w:val="2"/>
          <w:sz w:val="21"/>
          <w:szCs w:val="24"/>
          <w:lang w:val="en-US" w:eastAsia="zh-CN" w:bidi="ar-SA"/>
        </w:rPr>
        <w:t>-1</w:t>
      </w:r>
      <w:r>
        <w:rPr>
          <w:rFonts w:hint="eastAsia" w:ascii="Times New Roman" w:hAnsi="Times New Roman" w:cs="Times New Roman"/>
          <w:b/>
          <w:color w:val="auto"/>
          <w:kern w:val="2"/>
          <w:sz w:val="21"/>
          <w:szCs w:val="24"/>
          <w:lang w:val="en-US" w:eastAsia="zh-CN" w:bidi="ar-SA"/>
        </w:rPr>
        <w:t>6</w:t>
      </w:r>
      <w:r>
        <w:rPr>
          <w:rFonts w:hint="eastAsia" w:ascii="Times New Roman" w:hAnsi="Times New Roman" w:eastAsia="宋体" w:cs="Times New Roman"/>
          <w:b/>
          <w:color w:val="auto"/>
          <w:kern w:val="2"/>
          <w:sz w:val="21"/>
          <w:szCs w:val="24"/>
          <w:lang w:val="en-US" w:eastAsia="zh-CN" w:bidi="ar-SA"/>
        </w:rPr>
        <w:t xml:space="preserve"> 鱼类资源种类组成统计</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1"/>
        <w:gridCol w:w="1018"/>
        <w:gridCol w:w="995"/>
        <w:gridCol w:w="1018"/>
        <w:gridCol w:w="995"/>
        <w:gridCol w:w="995"/>
        <w:gridCol w:w="1251"/>
        <w:gridCol w:w="9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734" w:type="pct"/>
            <w:noWrap w:val="0"/>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分类地位</w:t>
            </w:r>
          </w:p>
        </w:tc>
        <w:tc>
          <w:tcPr>
            <w:tcW w:w="4266" w:type="pct"/>
            <w:gridSpan w:val="7"/>
            <w:noWrap w:val="0"/>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沙颍河鱼类资源种类统计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734" w:type="pct"/>
            <w:noWrap w:val="0"/>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目</w:t>
            </w:r>
          </w:p>
        </w:tc>
        <w:tc>
          <w:tcPr>
            <w:tcW w:w="597" w:type="pct"/>
            <w:noWrap w:val="0"/>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鲤形目</w:t>
            </w:r>
          </w:p>
        </w:tc>
        <w:tc>
          <w:tcPr>
            <w:tcW w:w="584"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鲇形目</w:t>
            </w:r>
          </w:p>
        </w:tc>
        <w:tc>
          <w:tcPr>
            <w:tcW w:w="597"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鲈形目</w:t>
            </w:r>
          </w:p>
        </w:tc>
        <w:tc>
          <w:tcPr>
            <w:tcW w:w="584"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鲱形目</w:t>
            </w:r>
          </w:p>
        </w:tc>
        <w:tc>
          <w:tcPr>
            <w:tcW w:w="584"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鲑形目</w:t>
            </w:r>
          </w:p>
        </w:tc>
        <w:tc>
          <w:tcPr>
            <w:tcW w:w="734"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颌鳃鱼目</w:t>
            </w:r>
          </w:p>
        </w:tc>
        <w:tc>
          <w:tcPr>
            <w:tcW w:w="586"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鳗鲡目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734" w:type="pct"/>
            <w:noWrap w:val="0"/>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科</w:t>
            </w:r>
          </w:p>
        </w:tc>
        <w:tc>
          <w:tcPr>
            <w:tcW w:w="597" w:type="pct"/>
            <w:noWrap w:val="0"/>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w:t>
            </w:r>
          </w:p>
        </w:tc>
        <w:tc>
          <w:tcPr>
            <w:tcW w:w="584"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w:t>
            </w:r>
          </w:p>
        </w:tc>
        <w:tc>
          <w:tcPr>
            <w:tcW w:w="597"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w:t>
            </w:r>
          </w:p>
        </w:tc>
        <w:tc>
          <w:tcPr>
            <w:tcW w:w="584"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w:t>
            </w:r>
          </w:p>
        </w:tc>
        <w:tc>
          <w:tcPr>
            <w:tcW w:w="584"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w:t>
            </w:r>
          </w:p>
        </w:tc>
        <w:tc>
          <w:tcPr>
            <w:tcW w:w="734"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w:t>
            </w:r>
          </w:p>
        </w:tc>
        <w:tc>
          <w:tcPr>
            <w:tcW w:w="586"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734" w:type="pct"/>
            <w:noWrap w:val="0"/>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种</w:t>
            </w:r>
          </w:p>
        </w:tc>
        <w:tc>
          <w:tcPr>
            <w:tcW w:w="597" w:type="pct"/>
            <w:noWrap w:val="0"/>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26</w:t>
            </w:r>
          </w:p>
        </w:tc>
        <w:tc>
          <w:tcPr>
            <w:tcW w:w="584"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w:t>
            </w:r>
          </w:p>
        </w:tc>
        <w:tc>
          <w:tcPr>
            <w:tcW w:w="597"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9</w:t>
            </w:r>
          </w:p>
        </w:tc>
        <w:tc>
          <w:tcPr>
            <w:tcW w:w="584"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w:t>
            </w:r>
          </w:p>
        </w:tc>
        <w:tc>
          <w:tcPr>
            <w:tcW w:w="584"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w:t>
            </w:r>
          </w:p>
        </w:tc>
        <w:tc>
          <w:tcPr>
            <w:tcW w:w="734"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w:t>
            </w:r>
          </w:p>
        </w:tc>
        <w:tc>
          <w:tcPr>
            <w:tcW w:w="586"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734" w:type="pct"/>
            <w:noWrap w:val="0"/>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种百分比</w:t>
            </w:r>
          </w:p>
        </w:tc>
        <w:tc>
          <w:tcPr>
            <w:tcW w:w="597" w:type="pct"/>
            <w:noWrap w:val="0"/>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57.78%</w:t>
            </w:r>
          </w:p>
        </w:tc>
        <w:tc>
          <w:tcPr>
            <w:tcW w:w="584"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6.67%</w:t>
            </w:r>
          </w:p>
        </w:tc>
        <w:tc>
          <w:tcPr>
            <w:tcW w:w="597"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20.00%</w:t>
            </w:r>
          </w:p>
        </w:tc>
        <w:tc>
          <w:tcPr>
            <w:tcW w:w="584"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4.44%</w:t>
            </w:r>
          </w:p>
        </w:tc>
        <w:tc>
          <w:tcPr>
            <w:tcW w:w="584"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6.67%</w:t>
            </w:r>
          </w:p>
        </w:tc>
        <w:tc>
          <w:tcPr>
            <w:tcW w:w="734"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2.22%</w:t>
            </w:r>
          </w:p>
        </w:tc>
        <w:tc>
          <w:tcPr>
            <w:tcW w:w="586" w:type="pct"/>
            <w:noWrap/>
            <w:vAlign w:val="top"/>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2.22%</w:t>
            </w:r>
          </w:p>
        </w:tc>
      </w:tr>
    </w:tbl>
    <w:p>
      <w:pPr>
        <w:bidi w:val="0"/>
        <w:rPr>
          <w:rFonts w:hint="eastAsia"/>
        </w:rPr>
      </w:pPr>
      <w:r>
        <w:rPr>
          <w:rFonts w:hint="eastAsia"/>
        </w:rPr>
        <w:t>沙颍河流域的</w:t>
      </w:r>
      <w:r>
        <w:t>主要鱼类为青</w:t>
      </w:r>
      <w:r>
        <w:rPr>
          <w:rFonts w:hint="eastAsia"/>
        </w:rPr>
        <w:t>鱼</w:t>
      </w:r>
      <w:r>
        <w:t>(</w:t>
      </w:r>
      <w:r>
        <w:rPr>
          <w:rFonts w:hint="eastAsia"/>
          <w:lang w:eastAsia="zh-CN"/>
        </w:rPr>
        <w:t>m</w:t>
      </w:r>
      <w:r>
        <w:t>ylopharyngodon</w:t>
      </w:r>
      <w:r>
        <w:rPr>
          <w:rFonts w:hint="eastAsia"/>
        </w:rPr>
        <w:t xml:space="preserve"> </w:t>
      </w:r>
      <w:r>
        <w:t>piceus)</w:t>
      </w:r>
      <w:r>
        <w:rPr>
          <w:rFonts w:hint="eastAsia"/>
        </w:rPr>
        <w:t>、</w:t>
      </w:r>
      <w:r>
        <w:t>草</w:t>
      </w:r>
      <w:r>
        <w:rPr>
          <w:rFonts w:hint="eastAsia"/>
        </w:rPr>
        <w:t>鱼</w:t>
      </w:r>
      <w:r>
        <w:t>(Ctenopharyngodon idellus)、鲢</w:t>
      </w:r>
      <w:r>
        <w:rPr>
          <w:rFonts w:hint="eastAsia"/>
        </w:rPr>
        <w:t>鱼</w:t>
      </w:r>
      <w:r>
        <w:t>(Hypophthal</w:t>
      </w:r>
      <w:r>
        <w:rPr>
          <w:rFonts w:hint="eastAsia"/>
          <w:lang w:eastAsia="zh-CN"/>
        </w:rPr>
        <w:t>m</w:t>
      </w:r>
      <w:r>
        <w:t xml:space="preserve">ichthys </w:t>
      </w:r>
      <w:r>
        <w:rPr>
          <w:rFonts w:hint="eastAsia"/>
          <w:lang w:eastAsia="zh-CN"/>
        </w:rPr>
        <w:t>m</w:t>
      </w:r>
      <w:r>
        <w:t>olitrix)、鳙</w:t>
      </w:r>
      <w:r>
        <w:rPr>
          <w:rFonts w:hint="eastAsia"/>
        </w:rPr>
        <w:t>鱼</w:t>
      </w:r>
      <w:r>
        <w:t>(Aristichthys nobilis)、鲤</w:t>
      </w:r>
      <w:r>
        <w:rPr>
          <w:rFonts w:hint="eastAsia"/>
        </w:rPr>
        <w:t>鱼</w:t>
      </w:r>
      <w:r>
        <w:t>(Cyprinus carpio)、鲫</w:t>
      </w:r>
      <w:r>
        <w:rPr>
          <w:rFonts w:hint="eastAsia"/>
        </w:rPr>
        <w:t>鱼</w:t>
      </w:r>
      <w:r>
        <w:t>(Carassius auratus)等。</w:t>
      </w:r>
    </w:p>
    <w:p>
      <w:pPr>
        <w:bidi w:val="0"/>
        <w:rPr>
          <w:rFonts w:hint="eastAsia"/>
        </w:rPr>
      </w:pPr>
      <w:r>
        <w:rPr>
          <w:rFonts w:hint="eastAsia"/>
        </w:rPr>
        <w:t>从鱼类的生活习性来看：沙颍河流域大多为定居性鱼类，包括</w:t>
      </w:r>
      <w:r>
        <w:t>四大家鱼</w:t>
      </w:r>
      <w:r>
        <w:rPr>
          <w:rFonts w:hint="eastAsia"/>
        </w:rPr>
        <w:t>（</w:t>
      </w:r>
      <w:r>
        <w:t>青</w:t>
      </w:r>
      <w:r>
        <w:rPr>
          <w:rFonts w:hint="eastAsia"/>
        </w:rPr>
        <w:t>、</w:t>
      </w:r>
      <w:r>
        <w:t>草、鲢、鳙</w:t>
      </w:r>
      <w:r>
        <w:rPr>
          <w:rFonts w:hint="eastAsia"/>
        </w:rPr>
        <w:t>）、</w:t>
      </w:r>
      <w:r>
        <w:t>鲤</w:t>
      </w:r>
      <w:r>
        <w:rPr>
          <w:rFonts w:hint="eastAsia"/>
        </w:rPr>
        <w:t>鱼</w:t>
      </w:r>
      <w:r>
        <w:t>、鲫</w:t>
      </w:r>
      <w:r>
        <w:rPr>
          <w:rFonts w:hint="eastAsia"/>
        </w:rPr>
        <w:t>鱼、</w:t>
      </w:r>
      <w:r>
        <w:t>泥鳅</w:t>
      </w:r>
      <w:r>
        <w:rPr>
          <w:rFonts w:hint="eastAsia"/>
        </w:rPr>
        <w:t>等沙颍河流域的主要鱼类，这些鱼类以草食性、杂食性为主，广泛</w:t>
      </w:r>
      <w:r>
        <w:t>分布于</w:t>
      </w:r>
      <w:r>
        <w:rPr>
          <w:rFonts w:hint="eastAsia"/>
        </w:rPr>
        <w:t>我国</w:t>
      </w:r>
      <w:r>
        <w:t>辽河、淮河、长江、闽江至珠江等</w:t>
      </w:r>
      <w:r>
        <w:rPr>
          <w:rFonts w:hint="eastAsia"/>
        </w:rPr>
        <w:t>流域</w:t>
      </w:r>
      <w:r>
        <w:t>，</w:t>
      </w:r>
      <w:r>
        <w:rPr>
          <w:rFonts w:hint="eastAsia"/>
        </w:rPr>
        <w:t>在沙颍河流域的颍河、泉河、茨河等自然河流及八里河等天然湖泊中均有广泛分布。但沙颍河流域也有少量洄游性鱼类分布，主要为</w:t>
      </w:r>
      <w:r>
        <w:t>刀鲚</w:t>
      </w:r>
      <w:r>
        <w:rPr>
          <w:rFonts w:hint="eastAsia"/>
        </w:rPr>
        <w:t>、</w:t>
      </w:r>
      <w:r>
        <w:t>银鱼</w:t>
      </w:r>
      <w:r>
        <w:rPr>
          <w:rFonts w:hint="eastAsia"/>
        </w:rPr>
        <w:t>、</w:t>
      </w:r>
      <w:r>
        <w:t>日本鳗鲡</w:t>
      </w:r>
      <w:r>
        <w:rPr>
          <w:rFonts w:hint="eastAsia"/>
        </w:rPr>
        <w:t>。</w:t>
      </w:r>
    </w:p>
    <w:p>
      <w:pPr>
        <w:bidi w:val="0"/>
        <w:rPr>
          <w:rFonts w:hint="eastAsia"/>
        </w:rPr>
      </w:pPr>
      <w:r>
        <w:drawing>
          <wp:anchor distT="0" distB="0" distL="114300" distR="114300" simplePos="0" relativeHeight="1395248128" behindDoc="1" locked="0" layoutInCell="1" allowOverlap="0">
            <wp:simplePos x="0" y="0"/>
            <wp:positionH relativeFrom="column">
              <wp:posOffset>0</wp:posOffset>
            </wp:positionH>
            <wp:positionV relativeFrom="paragraph">
              <wp:posOffset>141605</wp:posOffset>
            </wp:positionV>
            <wp:extent cx="1800225" cy="633730"/>
            <wp:effectExtent l="9525" t="9525" r="19050" b="23495"/>
            <wp:wrapTight wrapText="bothSides">
              <wp:wrapPolygon>
                <wp:start x="-114" y="-325"/>
                <wp:lineTo x="-114" y="21102"/>
                <wp:lineTo x="21600" y="21102"/>
                <wp:lineTo x="21600" y="-325"/>
                <wp:lineTo x="-114" y="-325"/>
              </wp:wrapPolygon>
            </wp:wrapTight>
            <wp:docPr id="80" name="图片 5" descr="刀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 descr="刀鲚"/>
                    <pic:cNvPicPr>
                      <a:picLocks noChangeAspect="1"/>
                    </pic:cNvPicPr>
                  </pic:nvPicPr>
                  <pic:blipFill>
                    <a:blip r:embed="rId33"/>
                    <a:stretch>
                      <a:fillRect/>
                    </a:stretch>
                  </pic:blipFill>
                  <pic:spPr>
                    <a:xfrm>
                      <a:off x="0" y="0"/>
                      <a:ext cx="1800225" cy="633730"/>
                    </a:xfrm>
                    <a:prstGeom prst="rect">
                      <a:avLst/>
                    </a:prstGeom>
                    <a:noFill/>
                    <a:ln w="9525" cap="flat" cmpd="sng">
                      <a:solidFill>
                        <a:srgbClr val="000000"/>
                      </a:solidFill>
                      <a:prstDash val="solid"/>
                      <a:miter/>
                      <a:headEnd type="none" w="med" len="med"/>
                      <a:tailEnd type="none" w="med" len="med"/>
                    </a:ln>
                  </pic:spPr>
                </pic:pic>
              </a:graphicData>
            </a:graphic>
          </wp:anchor>
        </w:drawing>
      </w:r>
      <w:r>
        <w:t>刀鲚</w:t>
      </w:r>
      <w:r>
        <w:rPr>
          <w:rFonts w:hint="eastAsia"/>
        </w:rPr>
        <w:t>：刀鲚为长距离江海洄游性鱼类，平时生活在近海，每年2月中旬开始，亲鱼陆续由海入江进行生殖洄游，最远可达到江西赣江和湖南洞庭湖等地，在长江中、下游及其附属湖泊和河流中产卵；产卵后，亲鱼一般返回河口和近海；幼鱼则顺流而下至河口区索饵肥育，直至11月后才降河至近海越冬。由于沙颍河为长江的二级支流，且长期建闸，根据历史资料，洄游至沙颍河的刀鲚较少，且由于刀鲚亲鱼的产卵场主要分布于</w:t>
      </w:r>
      <w:r>
        <w:t>沿</w:t>
      </w:r>
      <w:r>
        <w:rPr>
          <w:rFonts w:hint="eastAsia"/>
        </w:rPr>
        <w:t>长江的</w:t>
      </w:r>
      <w:r>
        <w:t>湖泊、支流或在干流浅水弯道、流速较缓地区</w:t>
      </w:r>
      <w:r>
        <w:rPr>
          <w:rFonts w:hint="eastAsia"/>
        </w:rPr>
        <w:t>，而沙颍河水流流速较大，因此，刀鲚在沙颍河流域的产卵场可能出现在沙颍河与淮河交汇的八里河湖</w:t>
      </w:r>
      <w:r>
        <w:t>。</w:t>
      </w:r>
    </w:p>
    <w:p>
      <w:pPr>
        <w:bidi w:val="0"/>
        <w:rPr>
          <w:rFonts w:hint="eastAsia"/>
        </w:rPr>
      </w:pPr>
      <w:r>
        <w:drawing>
          <wp:anchor distT="0" distB="0" distL="114300" distR="114300" simplePos="0" relativeHeight="1395249152" behindDoc="1" locked="0" layoutInCell="1" allowOverlap="1">
            <wp:simplePos x="0" y="0"/>
            <wp:positionH relativeFrom="column">
              <wp:posOffset>0</wp:posOffset>
            </wp:positionH>
            <wp:positionV relativeFrom="paragraph">
              <wp:posOffset>34925</wp:posOffset>
            </wp:positionV>
            <wp:extent cx="1800225" cy="609600"/>
            <wp:effectExtent l="0" t="0" r="9525" b="0"/>
            <wp:wrapTight wrapText="bothSides">
              <wp:wrapPolygon>
                <wp:start x="0" y="0"/>
                <wp:lineTo x="0" y="20925"/>
                <wp:lineTo x="21486" y="20925"/>
                <wp:lineTo x="21486" y="0"/>
                <wp:lineTo x="0" y="0"/>
              </wp:wrapPolygon>
            </wp:wrapTight>
            <wp:docPr id="82" name="图片 6" descr="银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descr="银鱼"/>
                    <pic:cNvPicPr>
                      <a:picLocks noChangeAspect="1"/>
                    </pic:cNvPicPr>
                  </pic:nvPicPr>
                  <pic:blipFill>
                    <a:blip r:embed="rId34"/>
                    <a:stretch>
                      <a:fillRect/>
                    </a:stretch>
                  </pic:blipFill>
                  <pic:spPr>
                    <a:xfrm>
                      <a:off x="0" y="0"/>
                      <a:ext cx="1800225" cy="609600"/>
                    </a:xfrm>
                    <a:prstGeom prst="rect">
                      <a:avLst/>
                    </a:prstGeom>
                    <a:noFill/>
                    <a:ln>
                      <a:noFill/>
                    </a:ln>
                  </pic:spPr>
                </pic:pic>
              </a:graphicData>
            </a:graphic>
          </wp:anchor>
        </w:drawing>
      </w:r>
      <w:r>
        <w:t>银鱼</w:t>
      </w:r>
      <w:r>
        <w:rPr>
          <w:rFonts w:hint="eastAsia"/>
        </w:rPr>
        <w:t>：</w:t>
      </w:r>
      <w:r>
        <w:t>银鱼</w:t>
      </w:r>
      <w:r>
        <w:rPr>
          <w:rFonts w:hint="eastAsia"/>
        </w:rPr>
        <w:t>为</w:t>
      </w:r>
      <w:r>
        <w:t>生活于近海的淡水鱼，具有海洋至江河洄游的习性。</w:t>
      </w:r>
      <w:r>
        <w:rPr>
          <w:rFonts w:hint="eastAsia"/>
        </w:rPr>
        <w:t>主要分布于我国</w:t>
      </w:r>
      <w:r>
        <w:t>山东至浙江沿海地区，</w:t>
      </w:r>
      <w:r>
        <w:rPr>
          <w:rFonts w:hint="eastAsia"/>
        </w:rPr>
        <w:t>尤其是</w:t>
      </w:r>
      <w:r>
        <w:fldChar w:fldCharType="begin"/>
      </w:r>
      <w:r>
        <w:instrText xml:space="preserve"> HYPERLINK "http://baike.baidu.com/view/4173.htm" \t "_blank" </w:instrText>
      </w:r>
      <w:r>
        <w:fldChar w:fldCharType="separate"/>
      </w:r>
      <w:r>
        <w:t>鄱阳湖</w:t>
      </w:r>
      <w:r>
        <w:fldChar w:fldCharType="end"/>
      </w:r>
      <w:r>
        <w:t>，巢湖，太湖</w:t>
      </w:r>
      <w:r>
        <w:rPr>
          <w:rFonts w:hint="eastAsia"/>
        </w:rPr>
        <w:t>以及</w:t>
      </w:r>
      <w:r>
        <w:t>长江口崇明等地</w:t>
      </w:r>
      <w:r>
        <w:rPr>
          <w:rFonts w:hint="eastAsia"/>
        </w:rPr>
        <w:t>分布较</w:t>
      </w:r>
      <w:r>
        <w:t>多。银鱼</w:t>
      </w:r>
      <w:r>
        <w:rPr>
          <w:rFonts w:hint="eastAsia"/>
        </w:rPr>
        <w:t>主要生活于</w:t>
      </w:r>
      <w:r>
        <w:t>浅水</w:t>
      </w:r>
      <w:r>
        <w:rPr>
          <w:rFonts w:hint="eastAsia"/>
        </w:rPr>
        <w:t>、缓流地区，根据历史资料，沙颍河水流流速较大，且长期建闸，</w:t>
      </w:r>
      <w:r>
        <w:t>银鱼</w:t>
      </w:r>
      <w:r>
        <w:rPr>
          <w:rFonts w:hint="eastAsia"/>
        </w:rPr>
        <w:t>分布较少，因此，沙颍河流域</w:t>
      </w:r>
      <w:r>
        <w:t>银鱼</w:t>
      </w:r>
      <w:r>
        <w:rPr>
          <w:rFonts w:hint="eastAsia"/>
        </w:rPr>
        <w:t>主要分布于泉河、茨河等水流较缓的通畅水系及沙颍河与淮河交汇的八里河湖中。</w:t>
      </w:r>
    </w:p>
    <w:p>
      <w:pPr>
        <w:bidi w:val="0"/>
        <w:rPr>
          <w:rFonts w:hint="eastAsia"/>
        </w:rPr>
      </w:pPr>
      <w:r>
        <w:drawing>
          <wp:anchor distT="0" distB="0" distL="114300" distR="114300" simplePos="0" relativeHeight="1395250176" behindDoc="1" locked="0" layoutInCell="1" allowOverlap="1">
            <wp:simplePos x="0" y="0"/>
            <wp:positionH relativeFrom="column">
              <wp:posOffset>66675</wp:posOffset>
            </wp:positionH>
            <wp:positionV relativeFrom="paragraph">
              <wp:posOffset>137160</wp:posOffset>
            </wp:positionV>
            <wp:extent cx="1800225" cy="741680"/>
            <wp:effectExtent l="9525" t="9525" r="19050" b="10795"/>
            <wp:wrapTight wrapText="bothSides">
              <wp:wrapPolygon>
                <wp:start x="-114" y="-277"/>
                <wp:lineTo x="-114" y="21360"/>
                <wp:lineTo x="21600" y="21360"/>
                <wp:lineTo x="21600" y="-277"/>
                <wp:lineTo x="-114" y="-277"/>
              </wp:wrapPolygon>
            </wp:wrapTight>
            <wp:docPr id="84" name="图片 7" descr="b6045da932e0f5ef1f17a2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 descr="b6045da932e0f5ef1f17a27f"/>
                    <pic:cNvPicPr>
                      <a:picLocks noChangeAspect="1"/>
                    </pic:cNvPicPr>
                  </pic:nvPicPr>
                  <pic:blipFill>
                    <a:blip r:embed="rId35"/>
                    <a:stretch>
                      <a:fillRect/>
                    </a:stretch>
                  </pic:blipFill>
                  <pic:spPr>
                    <a:xfrm>
                      <a:off x="0" y="0"/>
                      <a:ext cx="1800225" cy="741680"/>
                    </a:xfrm>
                    <a:prstGeom prst="rect">
                      <a:avLst/>
                    </a:prstGeom>
                    <a:noFill/>
                    <a:ln w="9525" cap="flat" cmpd="sng">
                      <a:solidFill>
                        <a:srgbClr val="000000"/>
                      </a:solidFill>
                      <a:prstDash val="solid"/>
                      <a:miter/>
                      <a:headEnd type="none" w="med" len="med"/>
                      <a:tailEnd type="none" w="med" len="med"/>
                    </a:ln>
                  </pic:spPr>
                </pic:pic>
              </a:graphicData>
            </a:graphic>
          </wp:anchor>
        </w:drawing>
      </w:r>
      <w:r>
        <w:t>日本鳗鲡</w:t>
      </w:r>
      <w:r>
        <w:rPr>
          <w:rFonts w:hint="eastAsia"/>
        </w:rPr>
        <w:t>：日本鳗鲡</w:t>
      </w:r>
      <w:r>
        <w:t>为降河性鱼类，平时生活在淡水，秋季成熟亲鱼经河口区降至深海产卵繁殖</w:t>
      </w:r>
      <w:r>
        <w:rPr>
          <w:rFonts w:hint="eastAsia"/>
        </w:rPr>
        <w:t>，</w:t>
      </w:r>
      <w:r>
        <w:t>产卵场在以琉球海沟为中心的海域</w:t>
      </w:r>
      <w:r>
        <w:rPr>
          <w:rFonts w:hint="eastAsia"/>
        </w:rPr>
        <w:t>。长江流域具体由海入江时间为2-5月；雄鳗通常在长江口生长，而雌鳗进入长江的干支流和通江湖泊中肥育；到成熟年龄，在秋季9-11月再大批降海，游至长江口会同河口区的雄鳗，到海洋中进行繁殖。目前，日本鳗鲡</w:t>
      </w:r>
      <w:r>
        <w:t>多为人工养殖，产地粤、闽、浙、苏产量较多。</w:t>
      </w:r>
      <w:r>
        <w:rPr>
          <w:rFonts w:hint="eastAsia"/>
        </w:rPr>
        <w:t>因此，沙颍河流域的自然河流及沿线湖泊可能为日本鳗鲡雌鳗的一般洄游通道。</w:t>
      </w:r>
    </w:p>
    <w:p>
      <w:pPr>
        <w:bidi w:val="0"/>
        <w:rPr>
          <w:rFonts w:hint="eastAsia"/>
        </w:rPr>
      </w:pPr>
      <w:r>
        <w:rPr>
          <w:rFonts w:hint="eastAsia"/>
        </w:rPr>
        <w:t>（2）</w:t>
      </w:r>
      <w:bookmarkEnd w:id="289"/>
      <w:bookmarkEnd w:id="290"/>
      <w:bookmarkStart w:id="291" w:name="_Toc23034"/>
      <w:r>
        <w:rPr>
          <w:rFonts w:hint="eastAsia"/>
        </w:rPr>
        <w:t>鱼类产卵场</w:t>
      </w:r>
      <w:bookmarkEnd w:id="291"/>
    </w:p>
    <w:p>
      <w:pPr>
        <w:bidi w:val="0"/>
        <w:rPr>
          <w:rFonts w:hint="eastAsia"/>
        </w:rPr>
      </w:pPr>
      <w:r>
        <w:t>鱼类一般会选择在2-7月份产卵，由于</w:t>
      </w:r>
      <w:r>
        <w:rPr>
          <w:rFonts w:hint="eastAsia"/>
        </w:rPr>
        <w:t>本次</w:t>
      </w:r>
      <w:r>
        <w:t>调查时间在冬季，鱼类没有在产卵期，</w:t>
      </w:r>
      <w:r>
        <w:rPr>
          <w:rFonts w:hint="eastAsia"/>
        </w:rPr>
        <w:t>因此，在此次实地调查中</w:t>
      </w:r>
      <w:r>
        <w:t>没有发现鱼类产卵场。</w:t>
      </w:r>
      <w:r>
        <w:rPr>
          <w:rFonts w:hint="eastAsia"/>
        </w:rPr>
        <w:t>根据资料调研及部门走访，沙颍河沿线无渔业部门划定的鱼类集中产卵场、索饵场和越冬场；阜阳市渔业部门划定的鱼类集中产卵场分布于颍上县的八里河、阜南县的蒙河以及太和县的茨河。</w:t>
      </w:r>
    </w:p>
    <w:p>
      <w:pPr>
        <w:bidi w:val="0"/>
        <w:rPr>
          <w:rFonts w:hint="eastAsia"/>
        </w:rPr>
      </w:pPr>
      <w:r>
        <w:t>鱼类选择产卵场与水文环境有很大的关系，如四大家鱼产卵主要发生在水位上涨的过程中，产卵场的主要分布江段</w:t>
      </w:r>
      <w:r>
        <w:rPr>
          <w:rFonts w:hint="eastAsia"/>
        </w:rPr>
        <w:t>特征为</w:t>
      </w:r>
      <w:r>
        <w:t>：平均流速大于0.8</w:t>
      </w:r>
      <w:r>
        <w:rPr>
          <w:rFonts w:hint="eastAsia"/>
          <w:lang w:eastAsia="zh-CN"/>
        </w:rPr>
        <w:t>m</w:t>
      </w:r>
      <w:r>
        <w:t>/s，水流急、缓交错，泡沙水较多、流态紊乱等区域。根据中科院南京地理研究所的研究，水流经过闸孔底部下泄时，急流遇到消力栏的阻挡，使上层水流作旋转运动，不断向四周翻滚，在闸下很长距离内水流紊乱，流向复杂，提供了家鱼产卵必需的流水条件，形成新的、潜在的产卵场，因此，我们认为在2-7月的水流较为紊乱的区域中：如颍河闸处，可能会出现产卵场。</w:t>
      </w:r>
    </w:p>
    <w:p>
      <w:pPr>
        <w:bidi w:val="0"/>
        <w:rPr>
          <w:rFonts w:hint="eastAsia"/>
        </w:rPr>
      </w:pPr>
      <w:r>
        <w:rPr>
          <w:rFonts w:hint="eastAsia"/>
        </w:rPr>
        <w:t>（3）重点保护鱼类</w:t>
      </w:r>
    </w:p>
    <w:p>
      <w:pPr>
        <w:bidi w:val="0"/>
        <w:rPr>
          <w:rFonts w:hint="eastAsia"/>
        </w:rPr>
      </w:pPr>
      <w:r>
        <w:t>根据</w:t>
      </w:r>
      <w:r>
        <w:rPr>
          <w:rFonts w:hint="eastAsia"/>
        </w:rPr>
        <w:t>实地调查，并结合</w:t>
      </w:r>
      <w:r>
        <w:t>查阅历史</w:t>
      </w:r>
      <w:r>
        <w:rPr>
          <w:rFonts w:hint="eastAsia"/>
        </w:rPr>
        <w:t>文献</w:t>
      </w:r>
      <w:r>
        <w:t>资料，</w:t>
      </w:r>
      <w:r>
        <w:rPr>
          <w:rFonts w:hint="eastAsia"/>
        </w:rPr>
        <w:t>沙颍河（安徽段）</w:t>
      </w:r>
      <w:r>
        <w:t>未</w:t>
      </w:r>
      <w:r>
        <w:rPr>
          <w:rFonts w:hint="eastAsia"/>
        </w:rPr>
        <w:t>有</w:t>
      </w:r>
      <w:r>
        <w:t>国家重</w:t>
      </w:r>
      <w:r>
        <w:rPr>
          <w:rFonts w:hint="eastAsia"/>
        </w:rPr>
        <w:t>点</w:t>
      </w:r>
      <w:r>
        <w:t>保护野生鱼类。</w:t>
      </w:r>
    </w:p>
    <w:p>
      <w:pPr>
        <w:pStyle w:val="5"/>
        <w:bidi w:val="0"/>
      </w:pPr>
      <w:r>
        <w:rPr>
          <w:rFonts w:hint="eastAsia"/>
          <w:lang w:val="en-US" w:eastAsia="zh-CN"/>
        </w:rPr>
        <w:t>3.6.4</w:t>
      </w:r>
      <w:r>
        <w:rPr>
          <w:rFonts w:hint="eastAsia"/>
        </w:rPr>
        <w:t>湿地生态环境现状</w:t>
      </w:r>
    </w:p>
    <w:p>
      <w:pPr>
        <w:bidi w:val="0"/>
        <w:rPr>
          <w:rFonts w:hint="eastAsia"/>
        </w:rPr>
      </w:pPr>
      <w:r>
        <w:rPr>
          <w:rFonts w:hint="eastAsia"/>
        </w:rPr>
        <w:t>根据实地调查和资料调研，沙颍河（安徽段）沿线共有6种湿地类型，包括河流、水塘、鱼塘、草甸湿地、三角洲、人工渠（见图</w:t>
      </w:r>
      <w:r>
        <w:rPr>
          <w:rFonts w:hint="eastAsia"/>
          <w:lang w:val="en-US" w:eastAsia="zh-CN"/>
        </w:rPr>
        <w:t>3.6</w:t>
      </w:r>
      <w:r>
        <w:rPr>
          <w:rFonts w:hint="eastAsia"/>
        </w:rPr>
        <w:t>-</w:t>
      </w:r>
      <w:r>
        <w:rPr>
          <w:rFonts w:hint="eastAsia"/>
          <w:lang w:val="en-US" w:eastAsia="zh-CN"/>
        </w:rPr>
        <w:t>3</w:t>
      </w:r>
      <w:r>
        <w:rPr>
          <w:rFonts w:hint="eastAsia"/>
        </w:rPr>
        <w:t>及表</w:t>
      </w:r>
      <w:r>
        <w:rPr>
          <w:rFonts w:hint="eastAsia"/>
          <w:lang w:val="en-US" w:eastAsia="zh-CN"/>
        </w:rPr>
        <w:t>3.6</w:t>
      </w:r>
      <w:r>
        <w:rPr>
          <w:rFonts w:hint="eastAsia"/>
        </w:rPr>
        <w:t>-1</w:t>
      </w:r>
      <w:r>
        <w:rPr>
          <w:rFonts w:hint="eastAsia"/>
          <w:lang w:val="en-US" w:eastAsia="zh-CN"/>
        </w:rPr>
        <w:t>7</w:t>
      </w:r>
      <w:r>
        <w:rPr>
          <w:rFonts w:hint="eastAsia"/>
        </w:rPr>
        <w:t>）。</w:t>
      </w:r>
    </w:p>
    <w:p>
      <w:pPr>
        <w:pStyle w:val="43"/>
        <w:bidi w:val="0"/>
        <w:rPr>
          <w:rFonts w:hint="eastAsia" w:ascii="Times New Roman" w:hAnsi="Times New Roman" w:eastAsia="宋体" w:cs="Times New Roman"/>
          <w:b/>
          <w:color w:val="auto"/>
          <w:sz w:val="21"/>
          <w:lang w:val="en-US" w:eastAsia="zh-CN"/>
        </w:rPr>
      </w:pPr>
      <w:r>
        <w:rPr>
          <w:rFonts w:hint="eastAsia" w:ascii="Times New Roman" w:hAnsi="Times New Roman" w:eastAsia="宋体" w:cs="Times New Roman"/>
          <w:b/>
          <w:color w:val="auto"/>
          <w:sz w:val="21"/>
          <w:lang w:val="en-US" w:eastAsia="zh-CN"/>
        </w:rPr>
        <w:t>表3.6-17 沙颍河（安徽段）沿线湿地类型分布</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413"/>
        <w:gridCol w:w="5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湿地类</w:t>
            </w:r>
          </w:p>
        </w:tc>
        <w:tc>
          <w:tcPr>
            <w:tcW w:w="82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湿地型</w:t>
            </w:r>
          </w:p>
        </w:tc>
        <w:tc>
          <w:tcPr>
            <w:tcW w:w="349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主要特征及分布地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1" w:type="pct"/>
            <w:vMerge w:val="restar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河流湿地</w:t>
            </w:r>
          </w:p>
        </w:tc>
        <w:tc>
          <w:tcPr>
            <w:tcW w:w="82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1.河流</w:t>
            </w:r>
          </w:p>
        </w:tc>
        <w:tc>
          <w:tcPr>
            <w:tcW w:w="349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常年有水，包括沙颍河干流河段及其支流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1"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2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2. 三角洲</w:t>
            </w:r>
          </w:p>
        </w:tc>
        <w:tc>
          <w:tcPr>
            <w:tcW w:w="349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多分布于河流内，四周为河面包围，主要分布于阜阳市区和颍上县县城内的沙颍河三角洲湿地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1"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草甸湿地</w:t>
            </w:r>
          </w:p>
        </w:tc>
        <w:tc>
          <w:tcPr>
            <w:tcW w:w="82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3. 草甸湿地</w:t>
            </w:r>
          </w:p>
        </w:tc>
        <w:tc>
          <w:tcPr>
            <w:tcW w:w="349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植被丰富度高，常年或定期积水，多分布于杨湖镇至沫河口河段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1" w:type="pct"/>
            <w:vMerge w:val="restar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人工湿地</w:t>
            </w:r>
          </w:p>
        </w:tc>
        <w:tc>
          <w:tcPr>
            <w:tcW w:w="82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4. 水塘</w:t>
            </w:r>
          </w:p>
        </w:tc>
        <w:tc>
          <w:tcPr>
            <w:tcW w:w="349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多为人工挖掘而成，多见于村庄与沙颍河之间的低洼地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1"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2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5. 人工渠</w:t>
            </w:r>
          </w:p>
        </w:tc>
        <w:tc>
          <w:tcPr>
            <w:tcW w:w="349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多用于灌溉或居民区排水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681" w:type="pct"/>
            <w:vMerge w:val="continue"/>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p>
        </w:tc>
        <w:tc>
          <w:tcPr>
            <w:tcW w:w="829"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6. 鱼塘</w:t>
            </w:r>
          </w:p>
        </w:tc>
        <w:tc>
          <w:tcPr>
            <w:tcW w:w="3490" w:type="pct"/>
            <w:noWrap w:val="0"/>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rPr>
            </w:pPr>
            <w:r>
              <w:rPr>
                <w:rFonts w:hint="eastAsia" w:ascii="Times New Roman" w:hAnsi="Times New Roman" w:cs="Times New Roman"/>
                <w:color w:val="auto"/>
                <w:sz w:val="21"/>
                <w:shd w:val="clear" w:color="auto" w:fill="auto"/>
              </w:rPr>
              <w:t>村边渔业养殖区</w:t>
            </w:r>
          </w:p>
        </w:tc>
      </w:tr>
    </w:tbl>
    <w:p>
      <w:pPr>
        <w:bidi w:val="0"/>
        <w:rPr>
          <w:rFonts w:hint="eastAsia"/>
        </w:rPr>
      </w:pPr>
    </w:p>
    <w:p>
      <w:pPr>
        <w:spacing w:line="360" w:lineRule="auto"/>
        <w:ind w:right="-175" w:rightChars="-73"/>
        <w:jc w:val="center"/>
        <w:rPr>
          <w:rFonts w:hint="eastAsia"/>
          <w:sz w:val="24"/>
        </w:rPr>
      </w:pPr>
      <w:r>
        <w:rPr>
          <w:rFonts w:hint="eastAsia"/>
          <w:sz w:val="24"/>
        </w:rPr>
        <w:drawing>
          <wp:inline distT="0" distB="0" distL="114300" distR="114300">
            <wp:extent cx="2394585" cy="1799590"/>
            <wp:effectExtent l="0" t="0" r="5715" b="10160"/>
            <wp:docPr id="87" name="图片 16" descr="2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6" descr="2QQ截图未命名"/>
                    <pic:cNvPicPr>
                      <a:picLocks noChangeAspect="1"/>
                    </pic:cNvPicPr>
                  </pic:nvPicPr>
                  <pic:blipFill>
                    <a:blip r:embed="rId36"/>
                    <a:stretch>
                      <a:fillRect/>
                    </a:stretch>
                  </pic:blipFill>
                  <pic:spPr>
                    <a:xfrm>
                      <a:off x="0" y="0"/>
                      <a:ext cx="2394585" cy="1799590"/>
                    </a:xfrm>
                    <a:prstGeom prst="rect">
                      <a:avLst/>
                    </a:prstGeom>
                    <a:noFill/>
                    <a:ln>
                      <a:noFill/>
                    </a:ln>
                  </pic:spPr>
                </pic:pic>
              </a:graphicData>
            </a:graphic>
          </wp:inline>
        </w:drawing>
      </w:r>
      <w:r>
        <w:rPr>
          <w:rFonts w:hint="eastAsia"/>
          <w:sz w:val="24"/>
        </w:rPr>
        <w:drawing>
          <wp:inline distT="0" distB="0" distL="114300" distR="114300">
            <wp:extent cx="2295525" cy="1800225"/>
            <wp:effectExtent l="0" t="0" r="9525" b="9525"/>
            <wp:docPr id="75" name="图片 17" descr="1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7" descr="1QQ截图未命名"/>
                    <pic:cNvPicPr>
                      <a:picLocks noChangeAspect="1"/>
                    </pic:cNvPicPr>
                  </pic:nvPicPr>
                  <pic:blipFill>
                    <a:blip r:embed="rId37"/>
                    <a:stretch>
                      <a:fillRect/>
                    </a:stretch>
                  </pic:blipFill>
                  <pic:spPr>
                    <a:xfrm>
                      <a:off x="0" y="0"/>
                      <a:ext cx="2295525" cy="1800225"/>
                    </a:xfrm>
                    <a:prstGeom prst="rect">
                      <a:avLst/>
                    </a:prstGeom>
                    <a:noFill/>
                    <a:ln>
                      <a:noFill/>
                    </a:ln>
                  </pic:spPr>
                </pic:pic>
              </a:graphicData>
            </a:graphic>
          </wp:inline>
        </w:drawing>
      </w:r>
    </w:p>
    <w:p>
      <w:pPr>
        <w:spacing w:line="360" w:lineRule="auto"/>
        <w:ind w:right="-175" w:rightChars="-73" w:firstLine="2400" w:firstLineChars="1000"/>
        <w:rPr>
          <w:rFonts w:hint="eastAsia"/>
          <w:szCs w:val="21"/>
        </w:rPr>
      </w:pPr>
      <w:r>
        <w:rPr>
          <w:rFonts w:hint="eastAsia"/>
          <w:szCs w:val="21"/>
        </w:rPr>
        <w:t>（草甸湿地）                         （河流）</w:t>
      </w:r>
    </w:p>
    <w:p>
      <w:pPr>
        <w:spacing w:line="360" w:lineRule="auto"/>
        <w:ind w:right="-175" w:rightChars="-73"/>
        <w:jc w:val="center"/>
        <w:rPr>
          <w:rFonts w:hint="eastAsia"/>
          <w:sz w:val="24"/>
        </w:rPr>
      </w:pPr>
      <w:r>
        <w:rPr>
          <w:rFonts w:hint="eastAsia"/>
          <w:sz w:val="24"/>
        </w:rPr>
        <w:drawing>
          <wp:inline distT="0" distB="0" distL="114300" distR="114300">
            <wp:extent cx="2333625" cy="1724025"/>
            <wp:effectExtent l="0" t="0" r="9525" b="9525"/>
            <wp:docPr id="76" name="图片 18" descr="4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8" descr="4QQ截图未命名"/>
                    <pic:cNvPicPr>
                      <a:picLocks noChangeAspect="1"/>
                    </pic:cNvPicPr>
                  </pic:nvPicPr>
                  <pic:blipFill>
                    <a:blip r:embed="rId38"/>
                    <a:stretch>
                      <a:fillRect/>
                    </a:stretch>
                  </pic:blipFill>
                  <pic:spPr>
                    <a:xfrm>
                      <a:off x="0" y="0"/>
                      <a:ext cx="2333625" cy="1724025"/>
                    </a:xfrm>
                    <a:prstGeom prst="rect">
                      <a:avLst/>
                    </a:prstGeom>
                    <a:noFill/>
                    <a:ln>
                      <a:noFill/>
                    </a:ln>
                  </pic:spPr>
                </pic:pic>
              </a:graphicData>
            </a:graphic>
          </wp:inline>
        </w:drawing>
      </w:r>
      <w:r>
        <w:rPr>
          <w:rFonts w:hint="eastAsia"/>
          <w:sz w:val="24"/>
        </w:rPr>
        <w:drawing>
          <wp:inline distT="0" distB="0" distL="114300" distR="114300">
            <wp:extent cx="2333625" cy="1733550"/>
            <wp:effectExtent l="0" t="0" r="9525" b="0"/>
            <wp:docPr id="77" name="图片 19" descr="3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9" descr="3QQ截图未命名"/>
                    <pic:cNvPicPr>
                      <a:picLocks noChangeAspect="1"/>
                    </pic:cNvPicPr>
                  </pic:nvPicPr>
                  <pic:blipFill>
                    <a:blip r:embed="rId39"/>
                    <a:stretch>
                      <a:fillRect/>
                    </a:stretch>
                  </pic:blipFill>
                  <pic:spPr>
                    <a:xfrm>
                      <a:off x="0" y="0"/>
                      <a:ext cx="2333625" cy="1733550"/>
                    </a:xfrm>
                    <a:prstGeom prst="rect">
                      <a:avLst/>
                    </a:prstGeom>
                    <a:noFill/>
                    <a:ln>
                      <a:noFill/>
                    </a:ln>
                  </pic:spPr>
                </pic:pic>
              </a:graphicData>
            </a:graphic>
          </wp:inline>
        </w:drawing>
      </w:r>
    </w:p>
    <w:p>
      <w:pPr>
        <w:spacing w:line="360" w:lineRule="auto"/>
        <w:ind w:right="-175" w:rightChars="-73" w:firstLine="2400" w:firstLineChars="1000"/>
        <w:rPr>
          <w:rFonts w:hint="eastAsia"/>
          <w:szCs w:val="21"/>
        </w:rPr>
      </w:pPr>
      <w:r>
        <w:rPr>
          <w:rFonts w:hint="eastAsia"/>
          <w:szCs w:val="21"/>
        </w:rPr>
        <w:t>（人工渠）                         （三角洲）</w:t>
      </w:r>
    </w:p>
    <w:p>
      <w:pPr>
        <w:spacing w:line="360" w:lineRule="auto"/>
        <w:ind w:right="-175" w:rightChars="-73"/>
        <w:jc w:val="center"/>
        <w:rPr>
          <w:rFonts w:hint="eastAsia"/>
          <w:sz w:val="24"/>
        </w:rPr>
      </w:pPr>
      <w:r>
        <w:rPr>
          <w:rFonts w:hint="eastAsia"/>
          <w:sz w:val="24"/>
        </w:rPr>
        <w:drawing>
          <wp:inline distT="0" distB="0" distL="114300" distR="114300">
            <wp:extent cx="2324100" cy="1733550"/>
            <wp:effectExtent l="0" t="0" r="0" b="0"/>
            <wp:docPr id="78" name="图片 20" descr="6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0" descr="6QQ截图未命名"/>
                    <pic:cNvPicPr>
                      <a:picLocks noChangeAspect="1"/>
                    </pic:cNvPicPr>
                  </pic:nvPicPr>
                  <pic:blipFill>
                    <a:blip r:embed="rId40"/>
                    <a:stretch>
                      <a:fillRect/>
                    </a:stretch>
                  </pic:blipFill>
                  <pic:spPr>
                    <a:xfrm>
                      <a:off x="0" y="0"/>
                      <a:ext cx="2324100" cy="1733550"/>
                    </a:xfrm>
                    <a:prstGeom prst="rect">
                      <a:avLst/>
                    </a:prstGeom>
                    <a:noFill/>
                    <a:ln>
                      <a:noFill/>
                    </a:ln>
                  </pic:spPr>
                </pic:pic>
              </a:graphicData>
            </a:graphic>
          </wp:inline>
        </w:drawing>
      </w:r>
      <w:r>
        <w:rPr>
          <w:rFonts w:hint="eastAsia"/>
          <w:sz w:val="24"/>
        </w:rPr>
        <w:drawing>
          <wp:inline distT="0" distB="0" distL="114300" distR="114300">
            <wp:extent cx="2352675" cy="1762125"/>
            <wp:effectExtent l="0" t="0" r="9525" b="9525"/>
            <wp:docPr id="83" name="图片 21" descr="5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1" descr="5QQ截图未命名"/>
                    <pic:cNvPicPr>
                      <a:picLocks noChangeAspect="1"/>
                    </pic:cNvPicPr>
                  </pic:nvPicPr>
                  <pic:blipFill>
                    <a:blip r:embed="rId41"/>
                    <a:stretch>
                      <a:fillRect/>
                    </a:stretch>
                  </pic:blipFill>
                  <pic:spPr>
                    <a:xfrm>
                      <a:off x="0" y="0"/>
                      <a:ext cx="2352675" cy="1762125"/>
                    </a:xfrm>
                    <a:prstGeom prst="rect">
                      <a:avLst/>
                    </a:prstGeom>
                    <a:noFill/>
                    <a:ln>
                      <a:noFill/>
                    </a:ln>
                  </pic:spPr>
                </pic:pic>
              </a:graphicData>
            </a:graphic>
          </wp:inline>
        </w:drawing>
      </w:r>
    </w:p>
    <w:p>
      <w:pPr>
        <w:spacing w:line="360" w:lineRule="auto"/>
        <w:ind w:right="-175" w:rightChars="-73" w:firstLine="2760" w:firstLineChars="1150"/>
        <w:rPr>
          <w:rFonts w:hint="eastAsia"/>
          <w:szCs w:val="21"/>
        </w:rPr>
      </w:pPr>
      <w:r>
        <w:rPr>
          <w:rFonts w:hint="eastAsia"/>
          <w:szCs w:val="21"/>
        </w:rPr>
        <w:t>（鱼塘）                          （水塘）</w:t>
      </w:r>
    </w:p>
    <w:p>
      <w:pPr>
        <w:spacing w:line="360" w:lineRule="auto"/>
        <w:ind w:right="-175" w:rightChars="-73"/>
        <w:jc w:val="center"/>
        <w:rPr>
          <w:rFonts w:hint="eastAsia"/>
          <w:b/>
          <w:szCs w:val="21"/>
        </w:rPr>
      </w:pPr>
      <w:r>
        <w:rPr>
          <w:rFonts w:hint="eastAsia" w:ascii="Times New Roman" w:hAnsi="Times New Roman" w:eastAsia="黑体" w:cs="Times New Roman"/>
          <w:color w:val="auto"/>
          <w:kern w:val="0"/>
          <w:sz w:val="24"/>
          <w:szCs w:val="24"/>
          <w:shd w:val="clear" w:color="auto" w:fill="auto"/>
          <w:lang w:val="en-US" w:eastAsia="zh-CN" w:bidi="ar-SA"/>
        </w:rPr>
        <w:t>图3.6-3 沙颍河安徽段沿岸湿地</w:t>
      </w:r>
    </w:p>
    <w:p>
      <w:pPr>
        <w:pStyle w:val="5"/>
        <w:bidi w:val="0"/>
      </w:pPr>
      <w:r>
        <w:rPr>
          <w:rFonts w:hint="eastAsia"/>
          <w:lang w:val="en-US"/>
        </w:rPr>
        <w:t>3.6.5</w:t>
      </w:r>
      <w:r>
        <w:t>安徽太和</w:t>
      </w:r>
      <w:r>
        <w:rPr>
          <w:rFonts w:hint="eastAsia"/>
        </w:rPr>
        <w:t>县沙</w:t>
      </w:r>
      <w:r>
        <w:t>颍河国家湿地公园</w:t>
      </w:r>
    </w:p>
    <w:p>
      <w:pPr>
        <w:pStyle w:val="6"/>
        <w:bidi w:val="0"/>
        <w:rPr>
          <w:rFonts w:hint="eastAsia"/>
        </w:rPr>
      </w:pPr>
      <w:r>
        <w:rPr>
          <w:rFonts w:hint="eastAsia"/>
        </w:rPr>
        <mc:AlternateContent>
          <mc:Choice Requires="wps">
            <w:drawing>
              <wp:anchor distT="0" distB="0" distL="114300" distR="114300" simplePos="0" relativeHeight="1395247104" behindDoc="1" locked="0" layoutInCell="1" allowOverlap="1">
                <wp:simplePos x="0" y="0"/>
                <wp:positionH relativeFrom="column">
                  <wp:posOffset>66675</wp:posOffset>
                </wp:positionH>
                <wp:positionV relativeFrom="paragraph">
                  <wp:posOffset>320675</wp:posOffset>
                </wp:positionV>
                <wp:extent cx="5400675" cy="3093720"/>
                <wp:effectExtent l="4445" t="4445" r="5080" b="6985"/>
                <wp:wrapTight wrapText="bothSides">
                  <wp:wrapPolygon>
                    <wp:start x="-18" y="-31"/>
                    <wp:lineTo x="-18" y="21516"/>
                    <wp:lineTo x="21544" y="21516"/>
                    <wp:lineTo x="21544" y="-31"/>
                    <wp:lineTo x="-18" y="-31"/>
                  </wp:wrapPolygon>
                </wp:wrapTight>
                <wp:docPr id="89" name="文本框 89"/>
                <wp:cNvGraphicFramePr/>
                <a:graphic xmlns:a="http://schemas.openxmlformats.org/drawingml/2006/main">
                  <a:graphicData uri="http://schemas.microsoft.com/office/word/2010/wordprocessingShape">
                    <wps:wsp>
                      <wps:cNvSpPr txBox="1"/>
                      <wps:spPr>
                        <a:xfrm>
                          <a:off x="0" y="0"/>
                          <a:ext cx="5400675" cy="3093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numPr>
                                <w:ilvl w:val="0"/>
                                <w:numId w:val="9"/>
                              </w:numPr>
                              <w:rPr>
                                <w:rFonts w:hint="eastAsia"/>
                              </w:rPr>
                            </w:pPr>
                            <w:r>
                              <w:rPr>
                                <w:rFonts w:hint="eastAsia" w:ascii="楷体_GB2312" w:eastAsia="楷体_GB2312"/>
                              </w:rPr>
                              <w:t>我国湿地公园管理体系：</w:t>
                            </w:r>
                          </w:p>
                          <w:p>
                            <w:pPr>
                              <w:ind w:firstLine="420"/>
                              <w:rPr>
                                <w:rFonts w:hint="eastAsia" w:ascii="楷体_GB2312" w:eastAsia="楷体_GB2312"/>
                              </w:rPr>
                            </w:pPr>
                            <w:r>
                              <w:rPr>
                                <w:rFonts w:ascii="楷体_GB2312" w:eastAsia="楷体_GB2312"/>
                              </w:rPr>
                              <w:t>2004年，国务院办公厅下发的《关于加强湿地保护管理的通知》(国办发[2004]50号)明确提出：</w:t>
                            </w:r>
                            <w:r>
                              <w:rPr>
                                <w:rFonts w:hint="eastAsia" w:ascii="楷体_GB2312" w:eastAsia="楷体_GB2312"/>
                              </w:rPr>
                              <w:t>“</w:t>
                            </w:r>
                            <w:r>
                              <w:rPr>
                                <w:rFonts w:ascii="楷体_GB2312" w:eastAsia="楷体_GB2312"/>
                              </w:rPr>
                              <w:t>对不具备条件划建自然保护区的，也要因地制宜，采取建立湿地保护小区、各种类型湿地公园、湿地多用途管理区域或划定野生动植物栖息地等多种形式加强保护管理。</w:t>
                            </w:r>
                            <w:r>
                              <w:rPr>
                                <w:rFonts w:hint="eastAsia" w:ascii="楷体_GB2312" w:eastAsia="楷体_GB2312"/>
                              </w:rPr>
                              <w:t>”</w:t>
                            </w:r>
                          </w:p>
                          <w:p>
                            <w:pPr>
                              <w:ind w:firstLine="420"/>
                              <w:rPr>
                                <w:rFonts w:hint="eastAsia" w:ascii="楷体_GB2312" w:eastAsia="楷体_GB2312"/>
                              </w:rPr>
                            </w:pPr>
                            <w:r>
                              <w:rPr>
                                <w:rFonts w:hint="eastAsia" w:ascii="楷体_GB2312" w:eastAsia="楷体_GB2312"/>
                              </w:rPr>
                              <w:t>根据</w:t>
                            </w:r>
                            <w:r>
                              <w:rPr>
                                <w:rFonts w:ascii="楷体_GB2312" w:eastAsia="楷体_GB2312"/>
                              </w:rPr>
                              <w:t>国家林业局2005年下发的《关于做好湿地公园发展建设工作的通知》(林护发[2005]118号)</w:t>
                            </w:r>
                            <w:r>
                              <w:rPr>
                                <w:rFonts w:hint="eastAsia" w:ascii="楷体_GB2312" w:eastAsia="楷体_GB2312"/>
                              </w:rPr>
                              <w:t>，我国湿地公园可分为国家湿地公园和省级湿地公园。“</w:t>
                            </w:r>
                            <w:r>
                              <w:rPr>
                                <w:rFonts w:ascii="楷体_GB2312" w:eastAsia="楷体_GB2312"/>
                              </w:rPr>
                              <w:t>国家湿地公园</w:t>
                            </w:r>
                            <w:r>
                              <w:rPr>
                                <w:rFonts w:hint="eastAsia" w:ascii="楷体_GB2312" w:eastAsia="楷体_GB2312"/>
                              </w:rPr>
                              <w:t>由</w:t>
                            </w:r>
                            <w:r>
                              <w:rPr>
                                <w:rFonts w:ascii="楷体_GB2312" w:eastAsia="楷体_GB2312"/>
                              </w:rPr>
                              <w:t>省级林业部门提出书面申请，附拟建国家湿地公园所在地省级人民政府同意函和湿地公园总体规划等材料，报</w:t>
                            </w:r>
                            <w:r>
                              <w:rPr>
                                <w:rFonts w:hint="eastAsia" w:ascii="楷体_GB2312" w:eastAsia="楷体_GB2312"/>
                              </w:rPr>
                              <w:t>国家林业局</w:t>
                            </w:r>
                            <w:r>
                              <w:rPr>
                                <w:rFonts w:ascii="楷体_GB2312" w:eastAsia="楷体_GB2312"/>
                              </w:rPr>
                              <w:t>；</w:t>
                            </w:r>
                            <w:r>
                              <w:rPr>
                                <w:rFonts w:hint="eastAsia" w:ascii="楷体_GB2312" w:eastAsia="楷体_GB2312"/>
                              </w:rPr>
                              <w:t>由国家林业局</w:t>
                            </w:r>
                            <w:r>
                              <w:rPr>
                                <w:rFonts w:ascii="楷体_GB2312" w:eastAsia="楷体_GB2312"/>
                              </w:rPr>
                              <w:t>组织国家湿地公园专家评审委员会进行实地考察评估，对符合国家湿地公园标准的则批准设立。</w:t>
                            </w:r>
                            <w:r>
                              <w:rPr>
                                <w:rFonts w:hint="eastAsia" w:ascii="楷体_GB2312" w:eastAsia="楷体_GB2312"/>
                              </w:rPr>
                              <w:t>……</w:t>
                            </w:r>
                            <w:r>
                              <w:rPr>
                                <w:rFonts w:ascii="楷体_GB2312" w:eastAsia="楷体_GB2312"/>
                              </w:rPr>
                              <w:t>省级湿地公园由各省级林业主管部门依法批准设立。</w:t>
                            </w:r>
                            <w:r>
                              <w:rPr>
                                <w:rFonts w:hint="eastAsia" w:ascii="楷体_GB2312" w:eastAsia="楷体_GB2312"/>
                              </w:rPr>
                              <w:t>”</w:t>
                            </w:r>
                          </w:p>
                          <w:p>
                            <w:pPr>
                              <w:ind w:firstLine="420"/>
                              <w:rPr>
                                <w:rFonts w:hint="eastAsia" w:ascii="楷体_GB2312" w:eastAsia="楷体_GB2312"/>
                              </w:rPr>
                            </w:pPr>
                            <w:r>
                              <w:rPr>
                                <w:rFonts w:hint="eastAsia" w:ascii="楷体_GB2312" w:eastAsia="楷体_GB2312"/>
                              </w:rPr>
                              <w:t>目前我国湿地公园的建立尚处于起步阶段，目前建立的基本为</w:t>
                            </w:r>
                            <w:r>
                              <w:rPr>
                                <w:rFonts w:ascii="楷体_GB2312" w:eastAsia="楷体_GB2312"/>
                              </w:rPr>
                              <w:t>国家湿地公园</w:t>
                            </w:r>
                            <w:r>
                              <w:rPr>
                                <w:rFonts w:hint="eastAsia" w:ascii="楷体_GB2312" w:eastAsia="楷体_GB2312"/>
                              </w:rPr>
                              <w:t>，省级湿地公园的规划建设尚处于筹备阶段。</w:t>
                            </w:r>
                          </w:p>
                          <w:p>
                            <w:pPr>
                              <w:ind w:firstLine="420"/>
                              <w:rPr>
                                <w:rFonts w:ascii="楷体_GB2312" w:eastAsia="楷体_GB2312"/>
                              </w:rPr>
                            </w:pPr>
                            <w:r>
                              <w:rPr>
                                <w:rFonts w:hint="eastAsia" w:ascii="楷体_GB2312" w:eastAsia="楷体_GB2312"/>
                              </w:rPr>
                              <w:t>湿地公园的管理规定——《</w:t>
                            </w:r>
                            <w:r>
                              <w:rPr>
                                <w:rFonts w:ascii="楷体_GB2312" w:eastAsia="楷体_GB2312"/>
                              </w:rPr>
                              <w:t>国家湿地公园管理办法（试行）</w:t>
                            </w:r>
                            <w:r>
                              <w:rPr>
                                <w:rFonts w:hint="eastAsia" w:ascii="楷体_GB2312" w:eastAsia="楷体_GB2312"/>
                              </w:rPr>
                              <w:t>》于2010年2月28日由国家林业局发布，根据该办法，“</w:t>
                            </w:r>
                            <w:r>
                              <w:rPr>
                                <w:rFonts w:ascii="楷体_GB2312" w:eastAsia="楷体_GB2312"/>
                              </w:rPr>
                              <w:t>国务院林业主管部门负责国家湿地公园的审批，省级以上林业主管部门负责国家湿地公园建设管理的指导和监督工作。国家湿地公园管理机构负责国家湿地公园的日常管理工作。</w:t>
                            </w:r>
                            <w:r>
                              <w:rPr>
                                <w:rFonts w:hint="eastAsia" w:ascii="楷体_GB2312" w:eastAsia="楷体_GB2312"/>
                              </w:rPr>
                              <w:t>”目前</w:t>
                            </w:r>
                            <w:r>
                              <w:rPr>
                                <w:rFonts w:ascii="楷体_GB2312" w:eastAsia="楷体_GB2312"/>
                              </w:rPr>
                              <w:t>地方湿地公园</w:t>
                            </w:r>
                            <w:r>
                              <w:rPr>
                                <w:rFonts w:hint="eastAsia" w:ascii="楷体_GB2312" w:eastAsia="楷体_GB2312"/>
                              </w:rPr>
                              <w:t>的</w:t>
                            </w:r>
                            <w:r>
                              <w:rPr>
                                <w:rFonts w:ascii="楷体_GB2312" w:eastAsia="楷体_GB2312"/>
                              </w:rPr>
                              <w:t>设立、建设和管理</w:t>
                            </w:r>
                            <w:r>
                              <w:rPr>
                                <w:rFonts w:hint="eastAsia" w:ascii="楷体_GB2312" w:eastAsia="楷体_GB2312"/>
                              </w:rPr>
                              <w:t>也</w:t>
                            </w:r>
                            <w:r>
                              <w:rPr>
                                <w:rFonts w:ascii="楷体_GB2312" w:eastAsia="楷体_GB2312"/>
                              </w:rPr>
                              <w:t>参照本办法</w:t>
                            </w:r>
                            <w:r>
                              <w:rPr>
                                <w:rFonts w:hint="eastAsia" w:ascii="楷体_GB2312" w:eastAsia="楷体_GB2312"/>
                              </w:rPr>
                              <w:t>。</w:t>
                            </w:r>
                          </w:p>
                        </w:txbxContent>
                      </wps:txbx>
                      <wps:bodyPr upright="1"/>
                    </wps:wsp>
                  </a:graphicData>
                </a:graphic>
              </wp:anchor>
            </w:drawing>
          </mc:Choice>
          <mc:Fallback>
            <w:pict>
              <v:shape id="_x0000_s1026" o:spid="_x0000_s1026" o:spt="202" type="#_x0000_t202" style="position:absolute;left:0pt;margin-left:5.25pt;margin-top:25.25pt;height:243.6pt;width:425.25pt;mso-wrap-distance-left:9pt;mso-wrap-distance-right:9pt;z-index:891930624;mso-width-relative:page;mso-height-relative:page;" fillcolor="#FFFFFF" filled="t" stroked="t" coordsize="21600,21600" wrapcoords="-18 -31 -18 21516 21544 21516 21544 -31 -18 -31" o:gfxdata="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IdvpnWAAAACQEAAA8AAAAAAAAAAQAgAAAAIgAAAGRycy9kb3ducmV2LnhtbFBLAQIU&#10;ABQAAAAIAIdO4kBQ5sp99QEAAOsDAAAOAAAAAAAAAAEAIAAAACUBAABkcnMvZTJvRG9jLnhtbFBL&#10;BQYAAAAABgAGAFkBAACMBQAAAAA=&#10;">
                <v:fill on="t" focussize="0,0"/>
                <v:stroke color="#000000" joinstyle="miter"/>
                <v:imagedata o:title=""/>
                <o:lock v:ext="edit" aspectratio="f"/>
                <v:textbox>
                  <w:txbxContent>
                    <w:p>
                      <w:pPr>
                        <w:numPr>
                          <w:ilvl w:val="0"/>
                          <w:numId w:val="9"/>
                        </w:numPr>
                        <w:rPr>
                          <w:rFonts w:hint="eastAsia"/>
                        </w:rPr>
                      </w:pPr>
                      <w:r>
                        <w:rPr>
                          <w:rFonts w:hint="eastAsia" w:ascii="楷体_GB2312" w:eastAsia="楷体_GB2312"/>
                        </w:rPr>
                        <w:t>我国湿地公园管理体系：</w:t>
                      </w:r>
                    </w:p>
                    <w:p>
                      <w:pPr>
                        <w:ind w:firstLine="420"/>
                        <w:rPr>
                          <w:rFonts w:hint="eastAsia" w:ascii="楷体_GB2312" w:eastAsia="楷体_GB2312"/>
                        </w:rPr>
                      </w:pPr>
                      <w:r>
                        <w:rPr>
                          <w:rFonts w:ascii="楷体_GB2312" w:eastAsia="楷体_GB2312"/>
                        </w:rPr>
                        <w:t>2004年，国务院办公厅下发的《关于加强湿地保护管理的通知》(国办发[2004]50号)明确提出：</w:t>
                      </w:r>
                      <w:r>
                        <w:rPr>
                          <w:rFonts w:hint="eastAsia" w:ascii="楷体_GB2312" w:eastAsia="楷体_GB2312"/>
                        </w:rPr>
                        <w:t>“</w:t>
                      </w:r>
                      <w:r>
                        <w:rPr>
                          <w:rFonts w:ascii="楷体_GB2312" w:eastAsia="楷体_GB2312"/>
                        </w:rPr>
                        <w:t>对不具备条件划建自然保护区的，也要因地制宜，采取建立湿地保护小区、各种类型湿地公园、湿地多用途管理区域或划定野生动植物栖息地等多种形式加强保护管理。</w:t>
                      </w:r>
                      <w:r>
                        <w:rPr>
                          <w:rFonts w:hint="eastAsia" w:ascii="楷体_GB2312" w:eastAsia="楷体_GB2312"/>
                        </w:rPr>
                        <w:t>”</w:t>
                      </w:r>
                    </w:p>
                    <w:p>
                      <w:pPr>
                        <w:ind w:firstLine="420"/>
                        <w:rPr>
                          <w:rFonts w:hint="eastAsia" w:ascii="楷体_GB2312" w:eastAsia="楷体_GB2312"/>
                        </w:rPr>
                      </w:pPr>
                      <w:r>
                        <w:rPr>
                          <w:rFonts w:hint="eastAsia" w:ascii="楷体_GB2312" w:eastAsia="楷体_GB2312"/>
                        </w:rPr>
                        <w:t>根据</w:t>
                      </w:r>
                      <w:r>
                        <w:rPr>
                          <w:rFonts w:ascii="楷体_GB2312" w:eastAsia="楷体_GB2312"/>
                        </w:rPr>
                        <w:t>国家林业局2005年下发的《关于做好湿地公园发展建设工作的通知》(林护发[2005]118号)</w:t>
                      </w:r>
                      <w:r>
                        <w:rPr>
                          <w:rFonts w:hint="eastAsia" w:ascii="楷体_GB2312" w:eastAsia="楷体_GB2312"/>
                        </w:rPr>
                        <w:t>，我国湿地公园可分为国家湿地公园和省级湿地公园。“</w:t>
                      </w:r>
                      <w:r>
                        <w:rPr>
                          <w:rFonts w:ascii="楷体_GB2312" w:eastAsia="楷体_GB2312"/>
                        </w:rPr>
                        <w:t>国家湿地公园</w:t>
                      </w:r>
                      <w:r>
                        <w:rPr>
                          <w:rFonts w:hint="eastAsia" w:ascii="楷体_GB2312" w:eastAsia="楷体_GB2312"/>
                        </w:rPr>
                        <w:t>由</w:t>
                      </w:r>
                      <w:r>
                        <w:rPr>
                          <w:rFonts w:ascii="楷体_GB2312" w:eastAsia="楷体_GB2312"/>
                        </w:rPr>
                        <w:t>省级林业部门提出书面申请，附拟建国家湿地公园所在地省级人民政府同意函和湿地公园总体规划等材料，报</w:t>
                      </w:r>
                      <w:r>
                        <w:rPr>
                          <w:rFonts w:hint="eastAsia" w:ascii="楷体_GB2312" w:eastAsia="楷体_GB2312"/>
                        </w:rPr>
                        <w:t>国家林业局</w:t>
                      </w:r>
                      <w:r>
                        <w:rPr>
                          <w:rFonts w:ascii="楷体_GB2312" w:eastAsia="楷体_GB2312"/>
                        </w:rPr>
                        <w:t>；</w:t>
                      </w:r>
                      <w:r>
                        <w:rPr>
                          <w:rFonts w:hint="eastAsia" w:ascii="楷体_GB2312" w:eastAsia="楷体_GB2312"/>
                        </w:rPr>
                        <w:t>由国家林业局</w:t>
                      </w:r>
                      <w:r>
                        <w:rPr>
                          <w:rFonts w:ascii="楷体_GB2312" w:eastAsia="楷体_GB2312"/>
                        </w:rPr>
                        <w:t>组织国家湿地公园专家评审委员会进行实地考察评估，对符合国家湿地公园标准的则批准设立。</w:t>
                      </w:r>
                      <w:r>
                        <w:rPr>
                          <w:rFonts w:hint="eastAsia" w:ascii="楷体_GB2312" w:eastAsia="楷体_GB2312"/>
                        </w:rPr>
                        <w:t>……</w:t>
                      </w:r>
                      <w:r>
                        <w:rPr>
                          <w:rFonts w:ascii="楷体_GB2312" w:eastAsia="楷体_GB2312"/>
                        </w:rPr>
                        <w:t>省级湿地公园由各省级林业主管部门依法批准设立。</w:t>
                      </w:r>
                      <w:r>
                        <w:rPr>
                          <w:rFonts w:hint="eastAsia" w:ascii="楷体_GB2312" w:eastAsia="楷体_GB2312"/>
                        </w:rPr>
                        <w:t>”</w:t>
                      </w:r>
                    </w:p>
                    <w:p>
                      <w:pPr>
                        <w:ind w:firstLine="420"/>
                        <w:rPr>
                          <w:rFonts w:hint="eastAsia" w:ascii="楷体_GB2312" w:eastAsia="楷体_GB2312"/>
                        </w:rPr>
                      </w:pPr>
                      <w:r>
                        <w:rPr>
                          <w:rFonts w:hint="eastAsia" w:ascii="楷体_GB2312" w:eastAsia="楷体_GB2312"/>
                        </w:rPr>
                        <w:t>目前我国湿地公园的建立尚处于起步阶段，目前建立的基本为</w:t>
                      </w:r>
                      <w:r>
                        <w:rPr>
                          <w:rFonts w:ascii="楷体_GB2312" w:eastAsia="楷体_GB2312"/>
                        </w:rPr>
                        <w:t>国家湿地公园</w:t>
                      </w:r>
                      <w:r>
                        <w:rPr>
                          <w:rFonts w:hint="eastAsia" w:ascii="楷体_GB2312" w:eastAsia="楷体_GB2312"/>
                        </w:rPr>
                        <w:t>，省级湿地公园的规划建设尚处于筹备阶段。</w:t>
                      </w:r>
                    </w:p>
                    <w:p>
                      <w:pPr>
                        <w:ind w:firstLine="420"/>
                        <w:rPr>
                          <w:rFonts w:ascii="楷体_GB2312" w:eastAsia="楷体_GB2312"/>
                        </w:rPr>
                      </w:pPr>
                      <w:r>
                        <w:rPr>
                          <w:rFonts w:hint="eastAsia" w:ascii="楷体_GB2312" w:eastAsia="楷体_GB2312"/>
                        </w:rPr>
                        <w:t>湿地公园的管理规定——《</w:t>
                      </w:r>
                      <w:r>
                        <w:rPr>
                          <w:rFonts w:ascii="楷体_GB2312" w:eastAsia="楷体_GB2312"/>
                        </w:rPr>
                        <w:t>国家湿地公园管理办法（试行）</w:t>
                      </w:r>
                      <w:r>
                        <w:rPr>
                          <w:rFonts w:hint="eastAsia" w:ascii="楷体_GB2312" w:eastAsia="楷体_GB2312"/>
                        </w:rPr>
                        <w:t>》于2010年2月28日由国家林业局发布，根据该办法，“</w:t>
                      </w:r>
                      <w:r>
                        <w:rPr>
                          <w:rFonts w:ascii="楷体_GB2312" w:eastAsia="楷体_GB2312"/>
                        </w:rPr>
                        <w:t>国务院林业主管部门负责国家湿地公园的审批，省级以上林业主管部门负责国家湿地公园建设管理的指导和监督工作。国家湿地公园管理机构负责国家湿地公园的日常管理工作。</w:t>
                      </w:r>
                      <w:r>
                        <w:rPr>
                          <w:rFonts w:hint="eastAsia" w:ascii="楷体_GB2312" w:eastAsia="楷体_GB2312"/>
                        </w:rPr>
                        <w:t>”目前</w:t>
                      </w:r>
                      <w:r>
                        <w:rPr>
                          <w:rFonts w:ascii="楷体_GB2312" w:eastAsia="楷体_GB2312"/>
                        </w:rPr>
                        <w:t>地方湿地公园</w:t>
                      </w:r>
                      <w:r>
                        <w:rPr>
                          <w:rFonts w:hint="eastAsia" w:ascii="楷体_GB2312" w:eastAsia="楷体_GB2312"/>
                        </w:rPr>
                        <w:t>的</w:t>
                      </w:r>
                      <w:r>
                        <w:rPr>
                          <w:rFonts w:ascii="楷体_GB2312" w:eastAsia="楷体_GB2312"/>
                        </w:rPr>
                        <w:t>设立、建设和管理</w:t>
                      </w:r>
                      <w:r>
                        <w:rPr>
                          <w:rFonts w:hint="eastAsia" w:ascii="楷体_GB2312" w:eastAsia="楷体_GB2312"/>
                        </w:rPr>
                        <w:t>也</w:t>
                      </w:r>
                      <w:r>
                        <w:rPr>
                          <w:rFonts w:ascii="楷体_GB2312" w:eastAsia="楷体_GB2312"/>
                        </w:rPr>
                        <w:t>参照本办法</w:t>
                      </w:r>
                      <w:r>
                        <w:rPr>
                          <w:rFonts w:hint="eastAsia" w:ascii="楷体_GB2312" w:eastAsia="楷体_GB2312"/>
                        </w:rPr>
                        <w:t>。</w:t>
                      </w:r>
                    </w:p>
                  </w:txbxContent>
                </v:textbox>
                <w10:wrap type="tight"/>
              </v:shape>
            </w:pict>
          </mc:Fallback>
        </mc:AlternateContent>
      </w:r>
      <w:r>
        <w:rPr>
          <w:rFonts w:hint="eastAsia"/>
          <w:lang w:val="en-US"/>
        </w:rPr>
        <w:t>3.6.5.1</w:t>
      </w:r>
      <w:r>
        <w:t>安徽太和</w:t>
      </w:r>
      <w:r>
        <w:rPr>
          <w:rFonts w:hint="eastAsia"/>
        </w:rPr>
        <w:t>县沙</w:t>
      </w:r>
      <w:r>
        <w:t>颍河国家湿地公园</w:t>
      </w:r>
      <w:r>
        <w:rPr>
          <w:rFonts w:hint="eastAsia"/>
        </w:rPr>
        <w:t>概况</w:t>
      </w:r>
    </w:p>
    <w:p>
      <w:pPr>
        <w:bidi w:val="0"/>
        <w:rPr>
          <w:rFonts w:hint="eastAsia"/>
        </w:rPr>
      </w:pPr>
      <w:r>
        <w:rPr>
          <w:rFonts w:hint="eastAsia"/>
        </w:rPr>
        <w:t>根据国家林业局</w:t>
      </w:r>
      <w:r>
        <w:t>林湿发[2009]297号</w:t>
      </w:r>
      <w:r>
        <w:rPr>
          <w:rFonts w:hint="eastAsia"/>
        </w:rPr>
        <w:t>文，</w:t>
      </w:r>
      <w:r>
        <w:t>安徽太和</w:t>
      </w:r>
      <w:r>
        <w:rPr>
          <w:rFonts w:hint="eastAsia"/>
        </w:rPr>
        <w:t>县沙</w:t>
      </w:r>
      <w:r>
        <w:t>颍河国家湿地公园</w:t>
      </w:r>
      <w:r>
        <w:rPr>
          <w:rFonts w:hint="eastAsia"/>
        </w:rPr>
        <w:t>于</w:t>
      </w:r>
      <w:r>
        <w:t>200</w:t>
      </w:r>
      <w:r>
        <w:rPr>
          <w:rFonts w:hint="eastAsia"/>
        </w:rPr>
        <w:t>9</w:t>
      </w:r>
      <w:r>
        <w:t>年</w:t>
      </w:r>
      <w:r>
        <w:rPr>
          <w:rFonts w:hint="eastAsia"/>
        </w:rPr>
        <w:t>12</w:t>
      </w:r>
      <w:r>
        <w:t>月</w:t>
      </w:r>
      <w:r>
        <w:rPr>
          <w:rFonts w:hint="eastAsia"/>
        </w:rPr>
        <w:t>23日成立。</w:t>
      </w:r>
    </w:p>
    <w:p>
      <w:pPr>
        <w:bidi w:val="0"/>
        <w:rPr>
          <w:rFonts w:hint="eastAsia"/>
        </w:rPr>
      </w:pPr>
      <w:r>
        <w:t>太和县沙颍河国家湿地公园</w:t>
      </w:r>
      <w:r>
        <w:rPr>
          <w:rFonts w:hint="eastAsia"/>
        </w:rPr>
        <w:t>以生态建设为主要目的：①</w:t>
      </w:r>
      <w:r>
        <w:t>通过湿地公园建设，加大县域内沙颍河护岸林带建设，进一步稳固沙颍河河道，</w:t>
      </w:r>
      <w:r>
        <w:rPr>
          <w:rFonts w:hint="eastAsia"/>
        </w:rPr>
        <w:t>结合</w:t>
      </w:r>
      <w:r>
        <w:t>耿楼水利枢纽工程，有效提高沙颍河通航和蓄洪调节能力，维护了沿河村镇的财产生命安全</w:t>
      </w:r>
      <w:r>
        <w:rPr>
          <w:rFonts w:hint="eastAsia"/>
        </w:rPr>
        <w:t>；②</w:t>
      </w:r>
      <w:r>
        <w:t>通过湿地公园建设，采取生物措施与工程措施相结合的方式，对耿楼附近的水域进行有效治理，提高水质，改善沙颍河水环境质量</w:t>
      </w:r>
      <w:r>
        <w:rPr>
          <w:rFonts w:hint="eastAsia"/>
        </w:rPr>
        <w:t>；③</w:t>
      </w:r>
      <w:r>
        <w:t>通过湿地公园的建设，丰富沙颍河流域两岸的植被种类，增加生物多样性</w:t>
      </w:r>
      <w:r>
        <w:rPr>
          <w:rFonts w:hint="eastAsia"/>
        </w:rPr>
        <w:t>，</w:t>
      </w:r>
      <w:r>
        <w:t>将沙颍河文化、湿地文化、与湿地教育展示相结合，加强整个规划区的水源涵养能力</w:t>
      </w:r>
      <w:r>
        <w:rPr>
          <w:rFonts w:hint="eastAsia"/>
        </w:rPr>
        <w:t>；</w:t>
      </w: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通过湿地公园景观植物的引入和植被的良好抚育与保护，推进太和县宜居新城的建设</w:t>
      </w:r>
      <w:r>
        <w:rPr>
          <w:rFonts w:hint="eastAsia"/>
        </w:rPr>
        <w:t>，</w:t>
      </w:r>
      <w:r>
        <w:t>同时可与周边旅游资源相整合，带动第三产业的发展。</w:t>
      </w:r>
    </w:p>
    <w:p>
      <w:pPr>
        <w:bidi w:val="0"/>
        <w:rPr>
          <w:rFonts w:hint="eastAsia"/>
        </w:rPr>
      </w:pPr>
      <w:r>
        <w:rPr>
          <w:rFonts w:hint="eastAsia"/>
        </w:rPr>
        <w:t>太和县沙颍河国家湿地公园建设区内主要湿地类型为河流湿地，以沙颍河为主要河流，湿地公园内长约13.5</w:t>
      </w:r>
      <w:r>
        <w:rPr>
          <w:rFonts w:hint="eastAsia"/>
          <w:lang w:eastAsia="zh-CN"/>
        </w:rPr>
        <w:t>km</w:t>
      </w:r>
      <w:r>
        <w:rPr>
          <w:rFonts w:hint="eastAsia"/>
        </w:rPr>
        <w:t>，面积约为1.3</w:t>
      </w:r>
      <w:r>
        <w:rPr>
          <w:rFonts w:hint="eastAsia"/>
          <w:vertAlign w:val="baseline"/>
          <w:lang w:eastAsia="zh-CN"/>
        </w:rPr>
        <w:t>km</w:t>
      </w:r>
      <w:r>
        <w:rPr>
          <w:rFonts w:hint="eastAsia"/>
          <w:vertAlign w:val="superscript"/>
          <w:lang w:eastAsia="zh-CN"/>
        </w:rPr>
        <w:t>2</w:t>
      </w:r>
      <w:r>
        <w:rPr>
          <w:rFonts w:hint="eastAsia"/>
        </w:rPr>
        <w:t>。在项目区北部，新建的耿楼水利枢纽工程使沙颍河原有河道取直，旧河道由于沙颍河河水侧渗，将会形成约300亩的湖泊和约800亩的滩地；在湿地公园内还分布有万福沟和白杨沟两条主要河沟。</w:t>
      </w:r>
    </w:p>
    <w:p>
      <w:pPr>
        <w:bidi w:val="0"/>
        <w:rPr>
          <w:rFonts w:hint="eastAsia"/>
        </w:rPr>
      </w:pPr>
      <w:r>
        <w:rPr>
          <w:rFonts w:hint="eastAsia"/>
        </w:rPr>
        <w:t>根据《安徽太和颍河国家湿地公园总体规划》，</w:t>
      </w:r>
      <w:r>
        <w:t>太和沙颍河国家湿地公园划分为湿地生态保育区、沙颍河休闲体验区、湿地生态功能展示区和服务管理区4大区域</w:t>
      </w:r>
      <w:r>
        <w:rPr>
          <w:rFonts w:hint="eastAsia"/>
        </w:rPr>
        <w:t>，其中：</w:t>
      </w:r>
    </w:p>
    <w:p>
      <w:pPr>
        <w:bidi w:val="0"/>
        <w:rPr>
          <w:rFonts w:hint="eastAsia"/>
        </w:rPr>
      </w:pPr>
      <w:r>
        <w:rPr>
          <w:rFonts w:hint="eastAsia"/>
        </w:rPr>
        <w:t>（1）</w:t>
      </w:r>
      <w:r>
        <w:t>湿地生态保育区</w:t>
      </w:r>
      <w:r>
        <w:rPr>
          <w:rFonts w:hint="eastAsia"/>
        </w:rPr>
        <w:t>：</w:t>
      </w:r>
      <w:r>
        <w:t>位于</w:t>
      </w:r>
      <w:r>
        <w:rPr>
          <w:rFonts w:hint="eastAsia"/>
        </w:rPr>
        <w:t>湿地公园</w:t>
      </w:r>
      <w:r>
        <w:t>北部，沙颍河以北，沿万福沟至308省道，面积约为101.3公顷。</w:t>
      </w:r>
    </w:p>
    <w:p>
      <w:pPr>
        <w:bidi w:val="0"/>
        <w:rPr>
          <w:rFonts w:hint="eastAsia"/>
        </w:rPr>
      </w:pPr>
      <w:r>
        <w:rPr>
          <w:rFonts w:hint="eastAsia"/>
        </w:rPr>
        <w:t>根据实地调查，目前该区域以农业生态环境为主；</w:t>
      </w:r>
      <w:r>
        <w:t>万福沟是沙颍河流域的一条主要支</w:t>
      </w:r>
      <w:r>
        <w:rPr>
          <w:rFonts w:hint="eastAsia"/>
        </w:rPr>
        <w:t>流</w:t>
      </w:r>
      <w:r>
        <w:t>，由于以往耕种、</w:t>
      </w:r>
      <w:r>
        <w:rPr>
          <w:rFonts w:hint="eastAsia"/>
        </w:rPr>
        <w:t>人类活动</w:t>
      </w:r>
      <w:r>
        <w:t>等</w:t>
      </w:r>
      <w:r>
        <w:rPr>
          <w:rFonts w:hint="eastAsia"/>
        </w:rPr>
        <w:t>扰动</w:t>
      </w:r>
      <w:r>
        <w:t>影响较大，万福沟</w:t>
      </w:r>
      <w:r>
        <w:rPr>
          <w:rFonts w:hint="eastAsia"/>
        </w:rPr>
        <w:t>区域</w:t>
      </w:r>
      <w:r>
        <w:t>目前</w:t>
      </w:r>
      <w:r>
        <w:rPr>
          <w:rFonts w:hint="eastAsia"/>
        </w:rPr>
        <w:t>自然湿地</w:t>
      </w:r>
      <w:r>
        <w:t>生态</w:t>
      </w:r>
      <w:r>
        <w:rPr>
          <w:rFonts w:hint="eastAsia"/>
        </w:rPr>
        <w:t>资源</w:t>
      </w:r>
      <w:r>
        <w:t>退化现象比较严重</w:t>
      </w:r>
      <w:r>
        <w:rPr>
          <w:rFonts w:hint="eastAsia"/>
        </w:rPr>
        <w:t>，已逐步转变为半人工的农业生态环境（见图4-5）。</w:t>
      </w:r>
    </w:p>
    <w:p>
      <w:pPr>
        <w:bidi w:val="0"/>
        <w:rPr>
          <w:rFonts w:ascii="宋体" w:hAnsi="宋体"/>
          <w:kern w:val="0"/>
        </w:rPr>
      </w:pPr>
      <w:r>
        <w:rPr>
          <w:rFonts w:hint="eastAsia"/>
        </w:rPr>
        <w:t>根据《安徽太和颍河国家湿地公园总体规划》，</w:t>
      </w:r>
      <w:r>
        <w:t>对该区域内湿地及其生态系统进行严格保护，内部可根据湿地保护区建设标准，适度实施水系连通、营造生境岛、水土保持防护林建设等工程。湿地保育区内只允许开展各项湿地科学研究、保护与观察工作</w:t>
      </w:r>
      <w:r>
        <w:rPr>
          <w:rFonts w:hint="eastAsia"/>
        </w:rPr>
        <w:t>，</w:t>
      </w:r>
      <w:r>
        <w:t>不得进行任何与湿地生态系统保护和管理无关的其他建设活动</w:t>
      </w:r>
      <w:r>
        <w:rPr>
          <w:rFonts w:hint="eastAsia"/>
        </w:rPr>
        <w:t>；</w:t>
      </w:r>
      <w:r>
        <w:t>本区内所有人工设施应以确保原有生态系统的完整性和最小干扰为前提</w:t>
      </w:r>
      <w:r>
        <w:rPr>
          <w:rFonts w:ascii="宋体" w:hAnsi="宋体"/>
          <w:kern w:val="0"/>
        </w:rPr>
        <w:t>。</w:t>
      </w:r>
    </w:p>
    <w:p>
      <w:pPr>
        <w:pStyle w:val="2"/>
        <w:rPr>
          <w:rFonts w:hint="eastAsia" w:eastAsia="宋体"/>
          <w:lang w:eastAsia="zh-CN"/>
        </w:rPr>
      </w:pPr>
      <w:r>
        <w:rPr>
          <w:rFonts w:hint="eastAsia" w:eastAsia="宋体"/>
          <w:lang w:eastAsia="zh-CN"/>
        </w:rPr>
        <w:drawing>
          <wp:inline distT="0" distB="0" distL="114300" distR="114300">
            <wp:extent cx="5271135" cy="1965960"/>
            <wp:effectExtent l="0" t="0" r="5715" b="15240"/>
            <wp:docPr id="111" name="图片 111" descr="c2f18c7cd3fe241dae7a37f4f1ef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c2f18c7cd3fe241dae7a37f4f1ef209"/>
                    <pic:cNvPicPr>
                      <a:picLocks noChangeAspect="1"/>
                    </pic:cNvPicPr>
                  </pic:nvPicPr>
                  <pic:blipFill>
                    <a:blip r:embed="rId42"/>
                    <a:stretch>
                      <a:fillRect/>
                    </a:stretch>
                  </pic:blipFill>
                  <pic:spPr>
                    <a:xfrm>
                      <a:off x="0" y="0"/>
                      <a:ext cx="5271135" cy="1965960"/>
                    </a:xfrm>
                    <a:prstGeom prst="rect">
                      <a:avLst/>
                    </a:prstGeom>
                  </pic:spPr>
                </pic:pic>
              </a:graphicData>
            </a:graphic>
          </wp:inline>
        </w:drawing>
      </w:r>
    </w:p>
    <w:p>
      <w:pPr>
        <w:pStyle w:val="2"/>
        <w:spacing w:line="400" w:lineRule="exact"/>
        <w:ind w:firstLineChars="0"/>
        <w:jc w:val="center"/>
        <w:rPr>
          <w:rFonts w:hint="eastAsia" w:ascii="Times New Roman" w:hAnsi="Times New Roman" w:eastAsia="黑体" w:cs="Times New Roman"/>
          <w:color w:val="auto"/>
          <w:kern w:val="0"/>
          <w:sz w:val="24"/>
          <w:szCs w:val="24"/>
          <w:shd w:val="clear" w:color="auto" w:fill="auto"/>
          <w:lang w:val="en-US" w:eastAsia="zh-CN" w:bidi="ar-SA"/>
        </w:rPr>
      </w:pPr>
      <w:r>
        <w:rPr>
          <w:rFonts w:hint="eastAsia" w:ascii="Times New Roman" w:hAnsi="Times New Roman" w:eastAsia="黑体" w:cs="Times New Roman"/>
          <w:color w:val="auto"/>
          <w:kern w:val="0"/>
          <w:sz w:val="24"/>
          <w:szCs w:val="24"/>
          <w:shd w:val="clear" w:color="auto" w:fill="auto"/>
          <w:lang w:val="en-US" w:eastAsia="zh-CN" w:bidi="ar-SA"/>
        </w:rPr>
        <w:t>图 3.6-4 安徽太和颍河国家湿地公园湿地生态保育区现状</w:t>
      </w:r>
    </w:p>
    <w:p>
      <w:pPr>
        <w:bidi w:val="0"/>
        <w:rPr>
          <w:rFonts w:hint="eastAsia"/>
        </w:rPr>
      </w:pPr>
      <w:r>
        <w:rPr>
          <w:rFonts w:hint="eastAsia"/>
        </w:rPr>
        <w:t>（2）</w:t>
      </w:r>
      <w:r>
        <w:t>湿地生态功能展示区</w:t>
      </w:r>
      <w:r>
        <w:rPr>
          <w:rFonts w:hint="eastAsia"/>
        </w:rPr>
        <w:t>：</w:t>
      </w:r>
      <w:r>
        <w:t>湿地生态功能展示区位于耿楼水利枢纽工程南部的旧河道，面积约为122.3公顷。</w:t>
      </w:r>
      <w:r>
        <w:rPr>
          <w:rFonts w:hint="eastAsia"/>
        </w:rPr>
        <w:t>该区域主要利用新建的耿楼水利枢纽工程对沙颍河原有河道取直后所形成的旧河道，由于沙颍河河水侧渗，将在该区域内形成约300亩的湖泊和约800亩的滩地</w:t>
      </w:r>
      <w:r>
        <w:t>。</w:t>
      </w:r>
    </w:p>
    <w:p>
      <w:pPr>
        <w:bidi w:val="0"/>
        <w:rPr>
          <w:rFonts w:hint="eastAsia"/>
        </w:rPr>
      </w:pPr>
      <w:r>
        <w:rPr>
          <w:rFonts w:hint="eastAsia"/>
        </w:rPr>
        <w:t>根据实地调查，耿楼船闸于2009年6月1日建成开闸通航，新建的耿楼水利枢纽工程所截断的旧河道由于形成时间尚短，目前仍以河流形态为主，滩地面积较小，周边仍以农业生态环境为主（见图</w:t>
      </w:r>
      <w:r>
        <w:rPr>
          <w:rFonts w:hint="eastAsia"/>
          <w:lang w:val="en-US" w:eastAsia="zh-CN"/>
        </w:rPr>
        <w:t>3.6</w:t>
      </w:r>
      <w:r>
        <w:rPr>
          <w:rFonts w:hint="eastAsia"/>
        </w:rPr>
        <w:t>-</w:t>
      </w:r>
      <w:r>
        <w:rPr>
          <w:rFonts w:hint="eastAsia"/>
          <w:lang w:val="en-US" w:eastAsia="zh-CN"/>
        </w:rPr>
        <w:t>5</w:t>
      </w:r>
      <w:r>
        <w:rPr>
          <w:rFonts w:hint="eastAsia"/>
        </w:rPr>
        <w:t>）。</w:t>
      </w:r>
    </w:p>
    <w:p>
      <w:pPr>
        <w:bidi w:val="0"/>
        <w:rPr>
          <w:rFonts w:hint="eastAsia" w:eastAsia="宋体"/>
          <w:lang w:eastAsia="zh-CN"/>
        </w:rPr>
      </w:pPr>
      <w:r>
        <w:rPr>
          <w:rFonts w:hint="eastAsia" w:eastAsia="宋体"/>
          <w:lang w:eastAsia="zh-CN"/>
        </w:rPr>
        <w:drawing>
          <wp:inline distT="0" distB="0" distL="114300" distR="114300">
            <wp:extent cx="5271135" cy="1951990"/>
            <wp:effectExtent l="0" t="0" r="5715" b="10160"/>
            <wp:docPr id="92" name="图片 92" descr="8b8f9734f96c16fe7ed1922727ab1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8b8f9734f96c16fe7ed1922727ab14b"/>
                    <pic:cNvPicPr>
                      <a:picLocks noChangeAspect="1"/>
                    </pic:cNvPicPr>
                  </pic:nvPicPr>
                  <pic:blipFill>
                    <a:blip r:embed="rId43"/>
                    <a:stretch>
                      <a:fillRect/>
                    </a:stretch>
                  </pic:blipFill>
                  <pic:spPr>
                    <a:xfrm>
                      <a:off x="0" y="0"/>
                      <a:ext cx="5271135" cy="1951990"/>
                    </a:xfrm>
                    <a:prstGeom prst="rect">
                      <a:avLst/>
                    </a:prstGeom>
                  </pic:spPr>
                </pic:pic>
              </a:graphicData>
            </a:graphic>
          </wp:inline>
        </w:drawing>
      </w:r>
    </w:p>
    <w:p>
      <w:pPr>
        <w:pStyle w:val="2"/>
        <w:spacing w:line="400" w:lineRule="exact"/>
        <w:ind w:firstLineChars="0"/>
        <w:jc w:val="center"/>
        <w:rPr>
          <w:rFonts w:hint="eastAsia"/>
          <w:b/>
          <w:szCs w:val="21"/>
        </w:rPr>
      </w:pPr>
      <w:r>
        <w:rPr>
          <w:rFonts w:hint="eastAsia" w:ascii="Times New Roman" w:hAnsi="Times New Roman" w:eastAsia="黑体" w:cs="Times New Roman"/>
          <w:color w:val="auto"/>
          <w:kern w:val="0"/>
          <w:sz w:val="24"/>
          <w:szCs w:val="24"/>
          <w:shd w:val="clear" w:color="auto" w:fill="auto"/>
          <w:lang w:val="en-US" w:eastAsia="zh-CN" w:bidi="ar-SA"/>
        </w:rPr>
        <w:t>图 3.6-5 安徽太和颍河国家湿地公园湿地生态功能展示区现状</w:t>
      </w:r>
    </w:p>
    <w:p>
      <w:pPr>
        <w:bidi w:val="0"/>
        <w:rPr>
          <w:rFonts w:hint="eastAsia"/>
        </w:rPr>
      </w:pPr>
      <w:r>
        <w:rPr>
          <w:rFonts w:hint="eastAsia"/>
        </w:rPr>
        <w:t>根据《安徽太和颍河国家湿地公园总体规划》，</w:t>
      </w:r>
      <w:r>
        <w:t>湿地生态功能展示区作为保育区和游览休闲区之间的缓冲地带，主要发挥两种功效</w:t>
      </w:r>
      <w:r>
        <w:rPr>
          <w:rFonts w:hint="eastAsia"/>
        </w:rPr>
        <w:t>：</w:t>
      </w:r>
      <w:r>
        <w:t>一是生态旅游展示功能，可以开展水上游艇、划船以及一些水上娱乐项目</w:t>
      </w:r>
      <w:r>
        <w:rPr>
          <w:rFonts w:hint="eastAsia"/>
        </w:rPr>
        <w:t>，使游客</w:t>
      </w:r>
      <w:r>
        <w:t>通过游览观赏—探索—感悟，认识</w:t>
      </w:r>
      <w:r>
        <w:rPr>
          <w:rFonts w:hint="eastAsia"/>
        </w:rPr>
        <w:t>并</w:t>
      </w:r>
      <w:r>
        <w:t>了解湿地，提高人们对湿地及生态环境的保护意识</w:t>
      </w:r>
      <w:r>
        <w:rPr>
          <w:rFonts w:hint="eastAsia"/>
        </w:rPr>
        <w:t>；</w:t>
      </w:r>
      <w:r>
        <w:t>二是生态效益展示功能，将耿楼水利枢纽工程作为生态效益展示的核心，向游客展示太和县对沙颍河进行生态治理的成效，</w:t>
      </w:r>
      <w:r>
        <w:rPr>
          <w:rFonts w:hint="eastAsia"/>
        </w:rPr>
        <w:t>并</w:t>
      </w:r>
      <w:r>
        <w:t>开展湿地科普宣传和教育活动。湿地生态功能展示区</w:t>
      </w:r>
      <w:r>
        <w:rPr>
          <w:rFonts w:hint="eastAsia"/>
        </w:rPr>
        <w:t>以</w:t>
      </w:r>
      <w:r>
        <w:t>湿地生态系统的保育和恢复工作</w:t>
      </w:r>
      <w:r>
        <w:rPr>
          <w:rFonts w:hint="eastAsia"/>
        </w:rPr>
        <w:t>为主</w:t>
      </w:r>
      <w:r>
        <w:t>，适当允许游客进入</w:t>
      </w:r>
      <w:r>
        <w:rPr>
          <w:rFonts w:hint="eastAsia"/>
        </w:rPr>
        <w:t>。</w:t>
      </w:r>
    </w:p>
    <w:p>
      <w:pPr>
        <w:bidi w:val="0"/>
        <w:rPr>
          <w:rFonts w:hint="eastAsia"/>
        </w:rPr>
      </w:pPr>
      <w:r>
        <w:rPr>
          <w:rFonts w:hint="eastAsia"/>
        </w:rPr>
        <w:t>（3）</w:t>
      </w:r>
      <w:r>
        <w:t>沙颍河休闲体验区</w:t>
      </w:r>
      <w:r>
        <w:rPr>
          <w:rFonts w:hint="eastAsia"/>
        </w:rPr>
        <w:t>：</w:t>
      </w:r>
      <w:r>
        <w:t>沙颍河休闲体验区起于耿楼水利枢纽工程，至太和县城一桥，沿沙颍河流域两侧，东西以圩堤为界，规划面积为441.7公顷。</w:t>
      </w:r>
    </w:p>
    <w:p>
      <w:pPr>
        <w:bidi w:val="0"/>
        <w:rPr>
          <w:rFonts w:hint="eastAsia"/>
        </w:rPr>
      </w:pPr>
      <w:r>
        <w:rPr>
          <w:rFonts w:hint="eastAsia"/>
        </w:rPr>
        <w:t>根据实地调查，该区域以农业生态环境为主，在沙颍河两侧大堤内以人工防护林为主，堤外基本为农田为主的农业生态环境（见图</w:t>
      </w:r>
      <w:r>
        <w:rPr>
          <w:rFonts w:hint="eastAsia"/>
          <w:lang w:val="en-US" w:eastAsia="zh-CN"/>
        </w:rPr>
        <w:t>3.6</w:t>
      </w:r>
      <w:r>
        <w:rPr>
          <w:rFonts w:hint="eastAsia"/>
        </w:rPr>
        <w:t>-</w:t>
      </w:r>
      <w:r>
        <w:rPr>
          <w:rFonts w:hint="eastAsia"/>
          <w:lang w:val="en-US" w:eastAsia="zh-CN"/>
        </w:rPr>
        <w:t>6</w:t>
      </w:r>
      <w:r>
        <w:rPr>
          <w:rFonts w:hint="eastAsia"/>
        </w:rPr>
        <w:t>）。</w:t>
      </w:r>
    </w:p>
    <w:p>
      <w:pPr>
        <w:pStyle w:val="2"/>
        <w:spacing w:line="400" w:lineRule="exact"/>
        <w:ind w:firstLineChars="0"/>
        <w:rPr>
          <w:rFonts w:hint="eastAsia" w:ascii="宋体" w:hAnsi="宋体"/>
          <w:kern w:val="0"/>
          <w:sz w:val="24"/>
        </w:rPr>
      </w:pPr>
      <w:r>
        <mc:AlternateContent>
          <mc:Choice Requires="wpg">
            <w:drawing>
              <wp:anchor distT="0" distB="0" distL="114300" distR="114300" simplePos="0" relativeHeight="1395246080" behindDoc="0" locked="0" layoutInCell="1" allowOverlap="1">
                <wp:simplePos x="0" y="0"/>
                <wp:positionH relativeFrom="column">
                  <wp:posOffset>152400</wp:posOffset>
                </wp:positionH>
                <wp:positionV relativeFrom="paragraph">
                  <wp:posOffset>86360</wp:posOffset>
                </wp:positionV>
                <wp:extent cx="5381625" cy="1981200"/>
                <wp:effectExtent l="9525" t="9525" r="19050" b="9525"/>
                <wp:wrapNone/>
                <wp:docPr id="59" name="组合 59"/>
                <wp:cNvGraphicFramePr/>
                <a:graphic xmlns:a="http://schemas.openxmlformats.org/drawingml/2006/main">
                  <a:graphicData uri="http://schemas.microsoft.com/office/word/2010/wordprocessingGroup">
                    <wpg:wgp>
                      <wpg:cNvGrpSpPr/>
                      <wpg:grpSpPr>
                        <a:xfrm>
                          <a:off x="0" y="0"/>
                          <a:ext cx="5381625" cy="1981200"/>
                          <a:chOff x="1828" y="2376"/>
                          <a:chExt cx="8475" cy="3120"/>
                        </a:xfrm>
                      </wpg:grpSpPr>
                      <pic:pic xmlns:pic="http://schemas.openxmlformats.org/drawingml/2006/picture">
                        <pic:nvPicPr>
                          <pic:cNvPr id="54" name="图片 16" descr="SDC12054"/>
                          <pic:cNvPicPr>
                            <a:picLocks noChangeAspect="1"/>
                          </pic:cNvPicPr>
                        </pic:nvPicPr>
                        <pic:blipFill>
                          <a:blip r:embed="rId44"/>
                          <a:stretch>
                            <a:fillRect/>
                          </a:stretch>
                        </pic:blipFill>
                        <pic:spPr>
                          <a:xfrm>
                            <a:off x="1828" y="2376"/>
                            <a:ext cx="4170" cy="3120"/>
                          </a:xfrm>
                          <a:prstGeom prst="rect">
                            <a:avLst/>
                          </a:prstGeom>
                          <a:noFill/>
                          <a:ln w="9525" cap="flat" cmpd="sng">
                            <a:solidFill>
                              <a:srgbClr val="000000"/>
                            </a:solidFill>
                            <a:prstDash val="solid"/>
                            <a:miter/>
                            <a:headEnd type="none" w="med" len="med"/>
                            <a:tailEnd type="none" w="med" len="med"/>
                          </a:ln>
                        </pic:spPr>
                      </pic:pic>
                      <pic:pic xmlns:pic="http://schemas.openxmlformats.org/drawingml/2006/picture">
                        <pic:nvPicPr>
                          <pic:cNvPr id="56" name="图片 17" descr="SDC12047"/>
                          <pic:cNvPicPr>
                            <a:picLocks noChangeAspect="1"/>
                          </pic:cNvPicPr>
                        </pic:nvPicPr>
                        <pic:blipFill>
                          <a:blip r:embed="rId45"/>
                          <a:stretch>
                            <a:fillRect/>
                          </a:stretch>
                        </pic:blipFill>
                        <pic:spPr>
                          <a:xfrm>
                            <a:off x="6142" y="2376"/>
                            <a:ext cx="4161" cy="3117"/>
                          </a:xfrm>
                          <a:prstGeom prst="rect">
                            <a:avLst/>
                          </a:prstGeom>
                          <a:noFill/>
                          <a:ln w="9525" cap="flat" cmpd="sng">
                            <a:solidFill>
                              <a:srgbClr val="000000"/>
                            </a:solidFill>
                            <a:prstDash val="solid"/>
                            <a:miter/>
                            <a:headEnd type="none" w="med" len="med"/>
                            <a:tailEnd type="none" w="med" len="med"/>
                          </a:ln>
                        </pic:spPr>
                      </pic:pic>
                    </wpg:wgp>
                  </a:graphicData>
                </a:graphic>
              </wp:anchor>
            </w:drawing>
          </mc:Choice>
          <mc:Fallback>
            <w:pict>
              <v:group id="_x0000_s1026" o:spid="_x0000_s1026" o:spt="203" style="position:absolute;left:0pt;margin-left:12pt;margin-top:6.8pt;height:156pt;width:423.75pt;z-index:1395246080;mso-width-relative:page;mso-height-relative:page;" coordorigin="1828,2376" coordsize="8475,3120" o:gfxdata="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">
                <o:lock v:ext="edit" aspectratio="f"/>
                <v:shape id="图片 16" o:spid="_x0000_s1026" o:spt="75" alt="SDC12054" type="#_x0000_t75" style="position:absolute;left:1828;top:2376;height:3120;width:4170;" filled="f" o:preferrelative="t" stroked="t" coordsize="21600,21600" o:gfxdata="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GXp+O/&#10;AAAA2wAAAA8AAAAAAAAAAQAgAAAAIgAAAGRycy9kb3ducmV2LnhtbFBLAQIUABQAAAAIAIdO4kAz&#10;LwWeOwAAADkAAAAQAAAAAAAAAAEAIAAAAA4BAABkcnMvc2hhcGV4bWwueG1sUEsFBgAAAAAGAAYA&#10;WwEAALgDAAAAAA==&#10;">
                  <v:fill on="f" focussize="0,0"/>
                  <v:stroke color="#000000" joinstyle="miter"/>
                  <v:imagedata r:id="rId44" o:title="SDC12054"/>
                  <o:lock v:ext="edit" aspectratio="t"/>
                </v:shape>
                <v:shape id="图片 17" o:spid="_x0000_s1026" o:spt="75" alt="SDC12047" type="#_x0000_t75" style="position:absolute;left:6142;top:2376;height:3117;width:4161;" filled="f" o:preferrelative="t" stroked="t" coordsize="21600,21600" o:gfxdata="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Ar128AAAA&#10;2wAAAA8AAAAAAAAAAQAgAAAAIgAAAGRycy9kb3ducmV2LnhtbFBLAQIUABQAAAAIAIdO4kAzLwWe&#10;OwAAADkAAAAQAAAAAAAAAAEAIAAAAAsBAABkcnMvc2hhcGV4bWwueG1sUEsFBgAAAAAGAAYAWwEA&#10;ALUDAAAAAA==&#10;">
                  <v:fill on="f" focussize="0,0"/>
                  <v:stroke color="#000000" joinstyle="miter"/>
                  <v:imagedata r:id="rId45" o:title="SDC12047"/>
                  <o:lock v:ext="edit" aspectratio="t"/>
                </v:shape>
              </v:group>
            </w:pict>
          </mc:Fallback>
        </mc:AlternateContent>
      </w:r>
    </w:p>
    <w:p>
      <w:pPr>
        <w:pStyle w:val="2"/>
        <w:spacing w:line="400" w:lineRule="exact"/>
        <w:ind w:firstLineChars="0"/>
        <w:rPr>
          <w:rFonts w:hint="eastAsia" w:ascii="宋体" w:hAnsi="宋体"/>
          <w:kern w:val="0"/>
          <w:sz w:val="24"/>
        </w:rPr>
      </w:pPr>
    </w:p>
    <w:p>
      <w:pPr>
        <w:pStyle w:val="2"/>
        <w:spacing w:line="400" w:lineRule="exact"/>
        <w:ind w:firstLineChars="0"/>
        <w:rPr>
          <w:rFonts w:hint="eastAsia" w:ascii="宋体" w:hAnsi="宋体"/>
          <w:kern w:val="0"/>
          <w:sz w:val="24"/>
        </w:rPr>
      </w:pPr>
    </w:p>
    <w:p>
      <w:pPr>
        <w:pStyle w:val="2"/>
        <w:spacing w:line="400" w:lineRule="exact"/>
        <w:ind w:firstLineChars="0"/>
        <w:rPr>
          <w:rFonts w:hint="eastAsia" w:ascii="宋体" w:hAnsi="宋体"/>
          <w:kern w:val="0"/>
          <w:sz w:val="24"/>
        </w:rPr>
      </w:pPr>
    </w:p>
    <w:p>
      <w:pPr>
        <w:pStyle w:val="2"/>
        <w:spacing w:line="400" w:lineRule="exact"/>
        <w:ind w:firstLineChars="0"/>
        <w:rPr>
          <w:rFonts w:hint="eastAsia" w:ascii="宋体" w:hAnsi="宋体"/>
          <w:kern w:val="0"/>
          <w:sz w:val="24"/>
        </w:rPr>
      </w:pPr>
    </w:p>
    <w:p>
      <w:pPr>
        <w:pStyle w:val="2"/>
        <w:spacing w:line="400" w:lineRule="exact"/>
        <w:ind w:firstLineChars="0"/>
        <w:rPr>
          <w:rFonts w:hint="eastAsia" w:ascii="宋体" w:hAnsi="宋体"/>
          <w:kern w:val="0"/>
          <w:sz w:val="24"/>
        </w:rPr>
      </w:pPr>
    </w:p>
    <w:p>
      <w:pPr>
        <w:pStyle w:val="2"/>
        <w:spacing w:line="400" w:lineRule="exact"/>
        <w:ind w:firstLineChars="0"/>
        <w:rPr>
          <w:rFonts w:hint="eastAsia" w:ascii="宋体" w:hAnsi="宋体"/>
          <w:kern w:val="0"/>
          <w:sz w:val="24"/>
        </w:rPr>
      </w:pPr>
    </w:p>
    <w:p>
      <w:pPr>
        <w:pStyle w:val="2"/>
        <w:spacing w:line="400" w:lineRule="exact"/>
        <w:ind w:firstLineChars="0"/>
        <w:rPr>
          <w:rFonts w:hint="eastAsia" w:ascii="宋体" w:hAnsi="宋体"/>
          <w:kern w:val="0"/>
          <w:sz w:val="24"/>
        </w:rPr>
      </w:pPr>
    </w:p>
    <w:p>
      <w:pPr>
        <w:pStyle w:val="2"/>
        <w:spacing w:line="400" w:lineRule="exact"/>
        <w:ind w:firstLine="422"/>
        <w:jc w:val="center"/>
        <w:rPr>
          <w:rFonts w:hint="eastAsia" w:ascii="Times New Roman" w:hAnsi="Times New Roman" w:eastAsia="黑体" w:cs="Times New Roman"/>
          <w:color w:val="auto"/>
          <w:kern w:val="0"/>
          <w:sz w:val="24"/>
          <w:szCs w:val="24"/>
          <w:shd w:val="clear" w:color="auto" w:fill="auto"/>
          <w:lang w:val="en-US" w:eastAsia="zh-CN" w:bidi="ar-SA"/>
        </w:rPr>
      </w:pPr>
      <w:r>
        <w:rPr>
          <w:rFonts w:hint="eastAsia" w:ascii="Times New Roman" w:hAnsi="Times New Roman" w:eastAsia="黑体" w:cs="Times New Roman"/>
          <w:color w:val="auto"/>
          <w:kern w:val="0"/>
          <w:sz w:val="24"/>
          <w:szCs w:val="24"/>
          <w:shd w:val="clear" w:color="auto" w:fill="auto"/>
          <w:lang w:val="en-US" w:eastAsia="zh-CN" w:bidi="ar-SA"/>
        </w:rPr>
        <w:t>图 3.6-6 安徽太和颍河国家湿地公园休闲体验区现状</w:t>
      </w:r>
    </w:p>
    <w:p>
      <w:pPr>
        <w:bidi w:val="0"/>
        <w:rPr>
          <w:rFonts w:hint="eastAsia"/>
        </w:rPr>
      </w:pPr>
      <w:r>
        <w:rPr>
          <w:rFonts w:hint="eastAsia"/>
        </w:rPr>
        <w:t>根据《安徽太和颍河国家湿地公园总体规划》，该</w:t>
      </w:r>
      <w:r>
        <w:t>区域</w:t>
      </w:r>
      <w:r>
        <w:rPr>
          <w:rFonts w:hint="eastAsia"/>
        </w:rPr>
        <w:t>以</w:t>
      </w:r>
      <w:r>
        <w:t>休闲娱乐</w:t>
      </w:r>
      <w:r>
        <w:rPr>
          <w:rFonts w:hint="eastAsia"/>
        </w:rPr>
        <w:t>为主</w:t>
      </w:r>
      <w:r>
        <w:t>，开展以“水文化”、“河流文化”等为特色的休闲娱乐项目，配合林业、农业及相关第三产业建设，开展各类生态观光园、采摘园、文化园等特色景园，为城市居民提供一处独具风貌的融景观、科教、游憩于一体的活动空间。</w:t>
      </w:r>
    </w:p>
    <w:p>
      <w:pPr>
        <w:bidi w:val="0"/>
        <w:rPr>
          <w:rFonts w:hint="eastAsia"/>
        </w:rPr>
      </w:pPr>
      <w:r>
        <w:rPr>
          <w:rFonts w:hint="eastAsia"/>
        </w:rPr>
        <w:t>（4）</w:t>
      </w:r>
      <w:r>
        <w:t>服务管理区</w:t>
      </w:r>
      <w:r>
        <w:rPr>
          <w:rFonts w:hint="eastAsia"/>
        </w:rPr>
        <w:t>：</w:t>
      </w:r>
      <w:r>
        <w:t>太和县二桥作为湿地公园主入口，依靠二桥西侧滨水处的近6公顷景观绿地，将此区域建设成为湿地公园管理区，将管理区旧房改造成为湿地管理室，并配备简单的医疗卫生室。区域占地面积约为48.7公顷。</w:t>
      </w:r>
    </w:p>
    <w:p>
      <w:pPr>
        <w:bidi w:val="0"/>
        <w:rPr>
          <w:rFonts w:hint="eastAsia" w:eastAsia="宋体"/>
          <w:lang w:eastAsia="zh-CN"/>
        </w:rPr>
      </w:pPr>
      <w:r>
        <w:rPr>
          <w:rFonts w:hint="eastAsia" w:eastAsia="宋体"/>
          <w:lang w:eastAsia="zh-CN"/>
        </w:rPr>
        <w:drawing>
          <wp:inline distT="0" distB="0" distL="114300" distR="114300">
            <wp:extent cx="5271135" cy="1951990"/>
            <wp:effectExtent l="0" t="0" r="5715" b="10160"/>
            <wp:docPr id="96" name="图片 96" descr="646b96e4cf987ae921ea797680464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646b96e4cf987ae921ea797680464f6"/>
                    <pic:cNvPicPr>
                      <a:picLocks noChangeAspect="1"/>
                    </pic:cNvPicPr>
                  </pic:nvPicPr>
                  <pic:blipFill>
                    <a:blip r:embed="rId46"/>
                    <a:stretch>
                      <a:fillRect/>
                    </a:stretch>
                  </pic:blipFill>
                  <pic:spPr>
                    <a:xfrm>
                      <a:off x="0" y="0"/>
                      <a:ext cx="5271135" cy="1951990"/>
                    </a:xfrm>
                    <a:prstGeom prst="rect">
                      <a:avLst/>
                    </a:prstGeom>
                  </pic:spPr>
                </pic:pic>
              </a:graphicData>
            </a:graphic>
          </wp:inline>
        </w:drawing>
      </w:r>
    </w:p>
    <w:p>
      <w:pPr>
        <w:pStyle w:val="2"/>
        <w:spacing w:line="400" w:lineRule="exact"/>
        <w:ind w:firstLine="422"/>
        <w:jc w:val="center"/>
        <w:rPr>
          <w:rFonts w:hint="eastAsia" w:ascii="Times New Roman" w:hAnsi="Times New Roman" w:eastAsia="黑体" w:cs="Times New Roman"/>
          <w:color w:val="auto"/>
          <w:kern w:val="0"/>
          <w:sz w:val="24"/>
          <w:szCs w:val="24"/>
          <w:shd w:val="clear" w:color="auto" w:fill="auto"/>
          <w:lang w:val="en-US" w:eastAsia="zh-CN" w:bidi="ar-SA"/>
        </w:rPr>
      </w:pPr>
      <w:r>
        <w:rPr>
          <w:rFonts w:hint="eastAsia" w:ascii="Times New Roman" w:hAnsi="Times New Roman" w:eastAsia="黑体" w:cs="Times New Roman"/>
          <w:color w:val="auto"/>
          <w:kern w:val="0"/>
          <w:sz w:val="24"/>
          <w:szCs w:val="24"/>
          <w:shd w:val="clear" w:color="auto" w:fill="auto"/>
          <w:lang w:val="en-US" w:eastAsia="zh-CN" w:bidi="ar-SA"/>
        </w:rPr>
        <w:t>图 3.6-7 安徽太和颍河国家湿地公园</w:t>
      </w:r>
      <w:r>
        <w:rPr>
          <w:rFonts w:ascii="Times New Roman" w:hAnsi="Times New Roman" w:eastAsia="黑体" w:cs="Times New Roman"/>
          <w:color w:val="auto"/>
          <w:kern w:val="0"/>
          <w:sz w:val="24"/>
          <w:szCs w:val="24"/>
          <w:shd w:val="clear" w:color="auto" w:fill="auto"/>
          <w:lang w:val="en-US" w:eastAsia="zh-CN" w:bidi="ar-SA"/>
        </w:rPr>
        <w:t>服务管理区</w:t>
      </w:r>
      <w:r>
        <w:rPr>
          <w:rFonts w:hint="eastAsia" w:ascii="Times New Roman" w:hAnsi="Times New Roman" w:eastAsia="黑体" w:cs="Times New Roman"/>
          <w:color w:val="auto"/>
          <w:kern w:val="0"/>
          <w:sz w:val="24"/>
          <w:szCs w:val="24"/>
          <w:shd w:val="clear" w:color="auto" w:fill="auto"/>
          <w:lang w:val="en-US" w:eastAsia="zh-CN" w:bidi="ar-SA"/>
        </w:rPr>
        <w:t>（</w:t>
      </w:r>
      <w:r>
        <w:rPr>
          <w:rFonts w:ascii="Times New Roman" w:hAnsi="Times New Roman" w:eastAsia="黑体" w:cs="Times New Roman"/>
          <w:color w:val="auto"/>
          <w:kern w:val="0"/>
          <w:sz w:val="24"/>
          <w:szCs w:val="24"/>
          <w:shd w:val="clear" w:color="auto" w:fill="auto"/>
          <w:lang w:val="en-US" w:eastAsia="zh-CN" w:bidi="ar-SA"/>
        </w:rPr>
        <w:t>太和县二桥</w:t>
      </w:r>
      <w:r>
        <w:rPr>
          <w:rFonts w:hint="eastAsia" w:ascii="Times New Roman" w:hAnsi="Times New Roman" w:eastAsia="黑体" w:cs="Times New Roman"/>
          <w:color w:val="auto"/>
          <w:kern w:val="0"/>
          <w:sz w:val="24"/>
          <w:szCs w:val="24"/>
          <w:shd w:val="clear" w:color="auto" w:fill="auto"/>
          <w:lang w:val="en-US" w:eastAsia="zh-CN" w:bidi="ar-SA"/>
        </w:rPr>
        <w:t>）现状</w:t>
      </w:r>
    </w:p>
    <w:p>
      <w:pPr>
        <w:pStyle w:val="2"/>
        <w:spacing w:line="400" w:lineRule="exact"/>
        <w:ind w:firstLine="422"/>
        <w:jc w:val="center"/>
        <w:rPr>
          <w:rFonts w:hint="eastAsia" w:ascii="宋体" w:hAnsi="宋体"/>
          <w:b/>
          <w:kern w:val="0"/>
          <w:szCs w:val="21"/>
        </w:rPr>
      </w:pPr>
    </w:p>
    <w:p>
      <w:pPr>
        <w:pStyle w:val="5"/>
        <w:bidi w:val="0"/>
        <w:rPr>
          <w:color w:val="auto"/>
          <w:highlight w:val="none"/>
          <w:shd w:val="clear" w:color="auto" w:fill="auto"/>
        </w:rPr>
      </w:pPr>
      <w:r>
        <w:rPr>
          <w:rFonts w:hint="eastAsia"/>
          <w:color w:val="auto"/>
          <w:highlight w:val="none"/>
          <w:shd w:val="clear" w:color="auto" w:fill="auto"/>
          <w:lang w:val="en-US" w:eastAsia="zh-CN"/>
        </w:rPr>
        <w:t>3.6</w:t>
      </w:r>
      <w:r>
        <w:rPr>
          <w:color w:val="auto"/>
          <w:highlight w:val="none"/>
          <w:shd w:val="clear" w:color="auto" w:fill="auto"/>
        </w:rPr>
        <w:t>.</w:t>
      </w:r>
      <w:r>
        <w:rPr>
          <w:rFonts w:hint="eastAsia"/>
          <w:color w:val="auto"/>
          <w:highlight w:val="none"/>
          <w:shd w:val="clear" w:color="auto" w:fill="auto"/>
          <w:lang w:val="en-US" w:eastAsia="zh-CN"/>
        </w:rPr>
        <w:t>6</w:t>
      </w:r>
      <w:r>
        <w:rPr>
          <w:color w:val="auto"/>
          <w:highlight w:val="none"/>
          <w:shd w:val="clear" w:color="auto" w:fill="auto"/>
        </w:rPr>
        <w:t xml:space="preserve"> 土地利用现状</w:t>
      </w:r>
    </w:p>
    <w:p>
      <w:pPr>
        <w:bidi w:val="0"/>
        <w:rPr>
          <w:color w:val="auto"/>
          <w:highlight w:val="none"/>
          <w:shd w:val="clear" w:color="auto" w:fill="auto"/>
        </w:rPr>
      </w:pPr>
      <w:r>
        <w:rPr>
          <w:color w:val="auto"/>
          <w:highlight w:val="none"/>
          <w:shd w:val="clear" w:color="auto" w:fill="auto"/>
        </w:rPr>
        <w:t>根据遥感解译结果，评价区</w:t>
      </w:r>
      <w:r>
        <w:rPr>
          <w:rFonts w:ascii="Times New Roman" w:hAnsi="Times New Roman"/>
          <w:color w:val="auto"/>
          <w:kern w:val="0"/>
          <w:sz w:val="24"/>
          <w:szCs w:val="24"/>
          <w:highlight w:val="none"/>
          <w:shd w:val="clear" w:color="auto" w:fill="auto"/>
        </w:rPr>
        <w:t>区域土地利用现状</w:t>
      </w:r>
      <w:r>
        <w:rPr>
          <w:rFonts w:hint="eastAsia"/>
          <w:color w:val="auto"/>
          <w:kern w:val="0"/>
          <w:sz w:val="24"/>
          <w:szCs w:val="24"/>
          <w:highlight w:val="none"/>
          <w:shd w:val="clear" w:color="auto" w:fill="auto"/>
          <w:lang w:val="en-US" w:eastAsia="zh-CN"/>
        </w:rPr>
        <w:t>如</w:t>
      </w:r>
      <w:r>
        <w:rPr>
          <w:rFonts w:ascii="Times New Roman" w:hAnsi="Times New Roman"/>
          <w:color w:val="auto"/>
          <w:kern w:val="0"/>
          <w:sz w:val="24"/>
          <w:szCs w:val="24"/>
          <w:highlight w:val="none"/>
          <w:shd w:val="clear" w:color="auto" w:fill="auto"/>
        </w:rPr>
        <w:t>图</w:t>
      </w:r>
      <w:r>
        <w:rPr>
          <w:rFonts w:hint="eastAsia"/>
          <w:color w:val="auto"/>
          <w:kern w:val="0"/>
          <w:sz w:val="24"/>
          <w:szCs w:val="24"/>
          <w:highlight w:val="none"/>
          <w:shd w:val="clear" w:color="auto" w:fill="auto"/>
          <w:lang w:val="en-US" w:eastAsia="zh-CN"/>
        </w:rPr>
        <w:t>3.6</w:t>
      </w:r>
      <w:r>
        <w:rPr>
          <w:rFonts w:ascii="Times New Roman" w:hAnsi="Times New Roman"/>
          <w:color w:val="auto"/>
          <w:kern w:val="0"/>
          <w:sz w:val="24"/>
          <w:szCs w:val="24"/>
          <w:highlight w:val="none"/>
          <w:shd w:val="clear" w:color="auto" w:fill="auto"/>
        </w:rPr>
        <w:t>-</w:t>
      </w:r>
      <w:r>
        <w:rPr>
          <w:rFonts w:hint="eastAsia"/>
          <w:color w:val="auto"/>
          <w:kern w:val="0"/>
          <w:sz w:val="24"/>
          <w:szCs w:val="24"/>
          <w:highlight w:val="none"/>
          <w:shd w:val="clear" w:color="auto" w:fill="auto"/>
          <w:lang w:val="en-US" w:eastAsia="zh-CN"/>
        </w:rPr>
        <w:t>8</w:t>
      </w:r>
      <w:r>
        <w:rPr>
          <w:color w:val="auto"/>
          <w:highlight w:val="none"/>
          <w:shd w:val="clear" w:color="auto" w:fill="auto"/>
        </w:rPr>
        <w:t>所示。</w:t>
      </w:r>
    </w:p>
    <w:p>
      <w:pPr>
        <w:spacing w:line="360" w:lineRule="auto"/>
        <w:ind w:firstLine="480"/>
        <w:rPr>
          <w:color w:val="auto"/>
          <w:highlight w:val="none"/>
          <w:shd w:val="clear" w:color="auto" w:fill="auto"/>
        </w:rPr>
      </w:pPr>
      <w:r>
        <w:rPr>
          <w:rFonts w:ascii="Times New Roman" w:hAnsi="Times New Roman"/>
          <w:color w:val="auto"/>
          <w:kern w:val="0"/>
          <w:sz w:val="24"/>
          <w:szCs w:val="24"/>
          <w:highlight w:val="none"/>
          <w:shd w:val="clear" w:color="auto" w:fill="auto"/>
        </w:rPr>
        <w:t>评价区农业用地为主要土地利用类型，区域以耕作为主，其次为林地，主要为杨树林，兼有柳树林和刺槐林，分布在</w:t>
      </w:r>
      <w:r>
        <w:rPr>
          <w:rFonts w:hint="eastAsia"/>
          <w:color w:val="auto"/>
          <w:kern w:val="0"/>
          <w:sz w:val="24"/>
          <w:szCs w:val="24"/>
          <w:highlight w:val="none"/>
          <w:shd w:val="clear" w:color="auto" w:fill="auto"/>
          <w:lang w:eastAsia="zh-CN"/>
        </w:rPr>
        <w:t>颍河</w:t>
      </w:r>
      <w:r>
        <w:rPr>
          <w:rFonts w:ascii="Times New Roman" w:hAnsi="Times New Roman"/>
          <w:color w:val="auto"/>
          <w:kern w:val="0"/>
          <w:sz w:val="24"/>
          <w:szCs w:val="24"/>
          <w:highlight w:val="none"/>
          <w:shd w:val="clear" w:color="auto" w:fill="auto"/>
        </w:rPr>
        <w:t>堤防两侧和农田中，构成农田防护林网。评价区是城镇和村庄密集建设区，农业比较发达的地区，平原地区河流纵横交错，水域类型面积也有一定占比。同时，评价区也是人口比较集中的地区，城镇用地、农村居民点和建设用地面积比较大。草地形成多是由于人为干扰，草丛群落多分布在沿着</w:t>
      </w:r>
      <w:r>
        <w:rPr>
          <w:rFonts w:hint="eastAsia"/>
          <w:color w:val="auto"/>
          <w:kern w:val="0"/>
          <w:sz w:val="24"/>
          <w:szCs w:val="24"/>
          <w:highlight w:val="none"/>
          <w:shd w:val="clear" w:color="auto" w:fill="auto"/>
          <w:lang w:eastAsia="zh-CN"/>
        </w:rPr>
        <w:t>颍河</w:t>
      </w:r>
      <w:r>
        <w:rPr>
          <w:rFonts w:ascii="Times New Roman" w:hAnsi="Times New Roman"/>
          <w:color w:val="auto"/>
          <w:kern w:val="0"/>
          <w:sz w:val="24"/>
          <w:szCs w:val="24"/>
          <w:highlight w:val="none"/>
          <w:shd w:val="clear" w:color="auto" w:fill="auto"/>
        </w:rPr>
        <w:t>堤防两侧以及公路两侧、林下、农田中，分布较为零散，面积不大。</w:t>
      </w:r>
    </w:p>
    <w:p>
      <w:pPr>
        <w:bidi w:val="0"/>
        <w:rPr>
          <w:color w:val="auto"/>
          <w:highlight w:val="none"/>
          <w:shd w:val="clear" w:color="auto" w:fill="auto"/>
        </w:rPr>
      </w:pPr>
    </w:p>
    <w:p>
      <w:pPr>
        <w:autoSpaceDE w:val="0"/>
        <w:autoSpaceDN w:val="0"/>
        <w:adjustRightInd w:val="0"/>
        <w:spacing w:line="360" w:lineRule="auto"/>
        <w:jc w:val="center"/>
        <w:rPr>
          <w:rFonts w:ascii="Times New Roman" w:hAnsi="Times New Roman"/>
          <w:color w:val="auto"/>
          <w:kern w:val="0"/>
          <w:sz w:val="24"/>
          <w:szCs w:val="24"/>
          <w:shd w:val="clear" w:color="auto" w:fill="auto"/>
        </w:rPr>
        <w:sectPr>
          <w:footerReference r:id="rId10"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autoSpaceDE w:val="0"/>
        <w:autoSpaceDN w:val="0"/>
        <w:adjustRightInd w:val="0"/>
        <w:spacing w:line="360" w:lineRule="auto"/>
        <w:ind w:left="0" w:leftChars="0" w:firstLine="0" w:firstLineChars="0"/>
        <w:jc w:val="center"/>
        <w:rPr>
          <w:rFonts w:ascii="Times New Roman" w:hAnsi="Times New Roman"/>
          <w:color w:val="auto"/>
          <w:kern w:val="0"/>
          <w:sz w:val="24"/>
          <w:szCs w:val="24"/>
          <w:shd w:val="clear" w:color="auto" w:fill="auto"/>
        </w:rPr>
      </w:pPr>
      <w:r>
        <w:rPr>
          <w:sz w:val="24"/>
        </w:rPr>
        <mc:AlternateContent>
          <mc:Choice Requires="wps">
            <w:drawing>
              <wp:anchor distT="0" distB="0" distL="114300" distR="114300" simplePos="0" relativeHeight="1395243008" behindDoc="0" locked="0" layoutInCell="1" allowOverlap="1">
                <wp:simplePos x="0" y="0"/>
                <wp:positionH relativeFrom="column">
                  <wp:posOffset>5746115</wp:posOffset>
                </wp:positionH>
                <wp:positionV relativeFrom="paragraph">
                  <wp:posOffset>3041015</wp:posOffset>
                </wp:positionV>
                <wp:extent cx="2607310" cy="1878965"/>
                <wp:effectExtent l="0" t="0" r="2540" b="6985"/>
                <wp:wrapNone/>
                <wp:docPr id="17" name="文本框 17"/>
                <wp:cNvGraphicFramePr/>
                <a:graphic xmlns:a="http://schemas.openxmlformats.org/drawingml/2006/main">
                  <a:graphicData uri="http://schemas.microsoft.com/office/word/2010/wordprocessingShape">
                    <wps:wsp>
                      <wps:cNvSpPr txBox="1"/>
                      <wps:spPr>
                        <a:xfrm>
                          <a:off x="7733665" y="5201285"/>
                          <a:ext cx="2607310" cy="1878965"/>
                        </a:xfrm>
                        <a:prstGeom prst="rect">
                          <a:avLst/>
                        </a:prstGeom>
                        <a:solidFill>
                          <a:srgbClr val="FFFFFF"/>
                        </a:solidFill>
                        <a:ln w="9525">
                          <a:noFill/>
                        </a:ln>
                      </wps:spPr>
                      <wps:txbx>
                        <w:txbxContent>
                          <w:p>
                            <w:pPr>
                              <w:ind w:left="0" w:leftChars="0" w:firstLine="0" w:firstLineChars="0"/>
                            </w:pPr>
                            <w:r>
                              <w:drawing>
                                <wp:inline distT="0" distB="0" distL="114300" distR="114300">
                                  <wp:extent cx="2394585" cy="1856105"/>
                                  <wp:effectExtent l="0" t="0" r="5715" b="1079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47"/>
                                          <a:stretch>
                                            <a:fillRect/>
                                          </a:stretch>
                                        </pic:blipFill>
                                        <pic:spPr>
                                          <a:xfrm>
                                            <a:off x="0" y="0"/>
                                            <a:ext cx="2394585" cy="18561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452.45pt;margin-top:239.45pt;height:147.95pt;width:205.3pt;z-index:1395243008;mso-width-relative:page;mso-height-relative:page;" fillcolor="#FFFFFF" filled="t" stroked="f" coordsize="21600,21600" o:gfxdata="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iXPsNdkAAAAMAQAADwAAAAAA&#10;AAABACAAAAAiAAAAZHJzL2Rvd25yZXYueG1sUEsBAhQAFAAAAAgAh07iQAyIx1xLAgAAXAQAAA4A&#10;AAAAAAAAAQAgAAAAKAEAAGRycy9lMm9Eb2MueG1sUEsFBgAAAAAGAAYAWQEAAOUFAAAAAA==&#10;">
                <v:fill on="t" focussize="0,0"/>
                <v:stroke on="f"/>
                <v:imagedata o:title=""/>
                <o:lock v:ext="edit" aspectratio="f"/>
                <v:textbox>
                  <w:txbxContent>
                    <w:p>
                      <w:pPr>
                        <w:ind w:left="0" w:leftChars="0" w:firstLine="0" w:firstLineChars="0"/>
                      </w:pPr>
                      <w:r>
                        <w:drawing>
                          <wp:inline distT="0" distB="0" distL="114300" distR="114300">
                            <wp:extent cx="2394585" cy="1856105"/>
                            <wp:effectExtent l="0" t="0" r="5715" b="1079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47"/>
                                    <a:stretch>
                                      <a:fillRect/>
                                    </a:stretch>
                                  </pic:blipFill>
                                  <pic:spPr>
                                    <a:xfrm>
                                      <a:off x="0" y="0"/>
                                      <a:ext cx="2394585" cy="1856105"/>
                                    </a:xfrm>
                                    <a:prstGeom prst="rect">
                                      <a:avLst/>
                                    </a:prstGeom>
                                    <a:noFill/>
                                    <a:ln>
                                      <a:noFill/>
                                    </a:ln>
                                  </pic:spPr>
                                </pic:pic>
                              </a:graphicData>
                            </a:graphic>
                          </wp:inline>
                        </w:drawing>
                      </w:r>
                    </w:p>
                  </w:txbxContent>
                </v:textbox>
              </v:shape>
            </w:pict>
          </mc:Fallback>
        </mc:AlternateContent>
      </w:r>
      <w:r>
        <w:drawing>
          <wp:inline distT="0" distB="0" distL="114300" distR="114300">
            <wp:extent cx="7866380" cy="4856480"/>
            <wp:effectExtent l="0" t="0" r="1270" b="1270"/>
            <wp:docPr id="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pic:cNvPicPr>
                      <a:picLocks noChangeAspect="1"/>
                    </pic:cNvPicPr>
                  </pic:nvPicPr>
                  <pic:blipFill>
                    <a:blip r:embed="rId48"/>
                    <a:stretch>
                      <a:fillRect/>
                    </a:stretch>
                  </pic:blipFill>
                  <pic:spPr>
                    <a:xfrm>
                      <a:off x="0" y="0"/>
                      <a:ext cx="7866380" cy="4856480"/>
                    </a:xfrm>
                    <a:prstGeom prst="rect">
                      <a:avLst/>
                    </a:prstGeom>
                    <a:noFill/>
                    <a:ln>
                      <a:noFill/>
                    </a:ln>
                  </pic:spPr>
                </pic:pic>
              </a:graphicData>
            </a:graphic>
          </wp:inline>
        </w:drawing>
      </w:r>
    </w:p>
    <w:p>
      <w:pPr>
        <w:pStyle w:val="43"/>
        <w:keepNext w:val="0"/>
        <w:keepLines w:val="0"/>
        <w:pageBreakBefore w:val="0"/>
        <w:widowControl w:val="0"/>
        <w:kinsoku/>
        <w:wordWrap/>
        <w:overflowPunct/>
        <w:topLinePunct w:val="0"/>
        <w:autoSpaceDE/>
        <w:autoSpaceDN/>
        <w:bidi w:val="0"/>
        <w:adjustRightInd/>
        <w:snapToGrid/>
        <w:spacing w:before="157" w:beforeLines="50"/>
        <w:textAlignment w:val="auto"/>
        <w:rPr>
          <w:rFonts w:ascii="Times New Roman" w:hAnsi="Times New Roman" w:eastAsia="黑体"/>
          <w:color w:val="auto"/>
          <w:kern w:val="0"/>
          <w:sz w:val="24"/>
          <w:szCs w:val="24"/>
          <w:shd w:val="clear" w:color="auto" w:fill="auto"/>
        </w:rPr>
        <w:sectPr>
          <w:type w:val="continuous"/>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eastAsia="黑体"/>
          <w:color w:val="auto"/>
          <w:kern w:val="0"/>
          <w:sz w:val="24"/>
          <w:szCs w:val="24"/>
          <w:shd w:val="clear" w:color="auto" w:fill="auto"/>
        </w:rPr>
        <w:t>图</w:t>
      </w:r>
      <w:r>
        <w:rPr>
          <w:rFonts w:hint="eastAsia" w:eastAsia="黑体"/>
          <w:color w:val="auto"/>
          <w:kern w:val="0"/>
          <w:sz w:val="24"/>
          <w:szCs w:val="24"/>
          <w:shd w:val="clear" w:color="auto" w:fill="auto"/>
          <w:lang w:val="en-US" w:eastAsia="zh-CN"/>
        </w:rPr>
        <w:t>3.6</w:t>
      </w:r>
      <w:r>
        <w:rPr>
          <w:rFonts w:ascii="Times New Roman" w:hAnsi="Times New Roman" w:eastAsia="黑体"/>
          <w:color w:val="auto"/>
          <w:kern w:val="0"/>
          <w:sz w:val="24"/>
          <w:szCs w:val="24"/>
          <w:shd w:val="clear" w:color="auto" w:fill="auto"/>
        </w:rPr>
        <w:t>-</w:t>
      </w:r>
      <w:r>
        <w:rPr>
          <w:rFonts w:hint="eastAsia"/>
          <w:color w:val="auto"/>
          <w:sz w:val="24"/>
          <w:szCs w:val="24"/>
          <w:shd w:val="clear" w:color="auto" w:fill="auto"/>
          <w:lang w:val="en-US" w:eastAsia="zh-CN"/>
        </w:rPr>
        <w:t>8</w:t>
      </w:r>
      <w:r>
        <w:rPr>
          <w:rFonts w:hint="default"/>
          <w:color w:val="auto"/>
          <w:sz w:val="24"/>
          <w:szCs w:val="24"/>
          <w:shd w:val="clear" w:color="auto" w:fill="auto"/>
          <w:lang w:val="en-US" w:eastAsia="zh-CN"/>
        </w:rPr>
        <w:t xml:space="preserve">  </w:t>
      </w:r>
      <w:r>
        <w:rPr>
          <w:rFonts w:ascii="Times New Roman" w:hAnsi="Times New Roman" w:eastAsia="黑体"/>
          <w:color w:val="auto"/>
          <w:kern w:val="0"/>
          <w:sz w:val="24"/>
          <w:szCs w:val="24"/>
          <w:shd w:val="clear" w:color="auto" w:fill="auto"/>
        </w:rPr>
        <w:t>工程所在区域土地利用现状图</w:t>
      </w:r>
    </w:p>
    <w:p>
      <w:pPr>
        <w:pStyle w:val="5"/>
        <w:bidi w:val="0"/>
        <w:rPr>
          <w:rFonts w:hint="eastAsia"/>
        </w:rPr>
      </w:pPr>
      <w:r>
        <w:rPr>
          <w:rFonts w:hint="eastAsia"/>
          <w:lang w:val="en-US" w:eastAsia="zh-CN"/>
        </w:rPr>
        <w:t>3.6.7</w:t>
      </w:r>
      <w:r>
        <w:rPr>
          <w:rFonts w:hint="eastAsia"/>
        </w:rPr>
        <w:t>小结</w:t>
      </w:r>
    </w:p>
    <w:p>
      <w:pPr>
        <w:bidi w:val="0"/>
        <w:rPr>
          <w:rFonts w:hint="eastAsia"/>
        </w:rPr>
      </w:pPr>
      <w:r>
        <w:rPr>
          <w:rFonts w:hint="eastAsia"/>
        </w:rPr>
        <w:t>（1）本项目所涉沙颍河（安徽段）沿岸区域总体上属于平原地貌，</w:t>
      </w:r>
      <w:r>
        <w:t>人口稠密，农耕历史久远，</w:t>
      </w:r>
      <w:r>
        <w:rPr>
          <w:rFonts w:hint="eastAsia"/>
        </w:rPr>
        <w:t>为</w:t>
      </w:r>
      <w:r>
        <w:t>典型的农业生态</w:t>
      </w:r>
      <w:r>
        <w:rPr>
          <w:rFonts w:hint="eastAsia"/>
        </w:rPr>
        <w:t>系统</w:t>
      </w:r>
      <w:r>
        <w:t>类型</w:t>
      </w:r>
      <w:r>
        <w:rPr>
          <w:rFonts w:hint="eastAsia"/>
        </w:rPr>
        <w:t>。</w:t>
      </w:r>
    </w:p>
    <w:p>
      <w:pPr>
        <w:bidi w:val="0"/>
        <w:rPr>
          <w:rFonts w:hint="eastAsia"/>
        </w:rPr>
      </w:pPr>
      <w:r>
        <w:rPr>
          <w:rFonts w:hint="eastAsia"/>
        </w:rPr>
        <w:t>（2）</w:t>
      </w:r>
      <w:r>
        <w:t>据实地调查，</w:t>
      </w:r>
      <w:r>
        <w:rPr>
          <w:rFonts w:hint="eastAsia"/>
        </w:rPr>
        <w:t>沙颍河历史上已经过</w:t>
      </w:r>
      <w:r>
        <w:t>多次人工改造、整治及建设，</w:t>
      </w:r>
      <w:r>
        <w:rPr>
          <w:rFonts w:hint="eastAsia"/>
        </w:rPr>
        <w:t>已引入了大量的人类活动，沿线生态环境</w:t>
      </w:r>
      <w:r>
        <w:t>基本为人工生态，植被生境类型主要有农田、人工林、草地撂荒地</w:t>
      </w:r>
      <w:r>
        <w:rPr>
          <w:rFonts w:hint="eastAsia"/>
        </w:rPr>
        <w:t>以及</w:t>
      </w:r>
      <w:r>
        <w:t>灌木植被</w:t>
      </w:r>
      <w:r>
        <w:rPr>
          <w:rFonts w:hint="eastAsia"/>
        </w:rPr>
        <w:t>。</w:t>
      </w:r>
    </w:p>
    <w:p>
      <w:pPr>
        <w:bidi w:val="0"/>
        <w:rPr>
          <w:rFonts w:hint="eastAsia"/>
        </w:rPr>
      </w:pPr>
      <w:r>
        <w:rPr>
          <w:rFonts w:hint="eastAsia"/>
        </w:rPr>
        <w:t>（3）根据</w:t>
      </w:r>
      <w:r>
        <w:t>历史资料</w:t>
      </w:r>
      <w:r>
        <w:rPr>
          <w:rFonts w:hint="eastAsia"/>
        </w:rPr>
        <w:t>，沙颍河（安徽段）沿线区域有</w:t>
      </w:r>
      <w:r>
        <w:t>国家</w:t>
      </w:r>
      <w:r>
        <w:rPr>
          <w:rFonts w:hint="eastAsia"/>
        </w:rPr>
        <w:t>Ⅱ</w:t>
      </w:r>
      <w:r>
        <w:t>级重点保护野生动物</w:t>
      </w:r>
      <w:r>
        <w:rPr>
          <w:rFonts w:hint="eastAsia"/>
        </w:rPr>
        <w:t>2</w:t>
      </w:r>
      <w:r>
        <w:t>种</w:t>
      </w:r>
      <w:r>
        <w:rPr>
          <w:rFonts w:hint="eastAsia"/>
        </w:rPr>
        <w:t>（黑鸢、白尾鹞），</w:t>
      </w:r>
      <w:r>
        <w:t>省</w:t>
      </w:r>
      <w:r>
        <w:fldChar w:fldCharType="begin"/>
      </w:r>
      <w:r>
        <w:instrText xml:space="preserve"> </w:instrText>
      </w:r>
      <w:r>
        <w:rPr>
          <w:rFonts w:hint="eastAsia"/>
        </w:rPr>
        <w:instrText xml:space="preserve">= 1 \* ROMAN</w:instrText>
      </w:r>
      <w:r>
        <w:instrText xml:space="preserve"> </w:instrText>
      </w:r>
      <w:r>
        <w:fldChar w:fldCharType="separate"/>
      </w:r>
      <w:r>
        <w:t>I</w:t>
      </w:r>
      <w:r>
        <w:fldChar w:fldCharType="end"/>
      </w:r>
      <w:r>
        <w:t>级重点保护野生动物</w:t>
      </w:r>
      <w:r>
        <w:rPr>
          <w:rFonts w:hint="eastAsia"/>
        </w:rPr>
        <w:t>4种（大斑啄木鸟、赤狐、貉、豹猫），</w:t>
      </w:r>
      <w:r>
        <w:t>省Ⅱ级重点保护野生动物</w:t>
      </w:r>
      <w:r>
        <w:rPr>
          <w:rFonts w:hint="eastAsia"/>
        </w:rPr>
        <w:t>10种（</w:t>
      </w:r>
      <w:r>
        <w:t>花背蟾蜍</w:t>
      </w:r>
      <w:r>
        <w:rPr>
          <w:rFonts w:hint="eastAsia"/>
        </w:rPr>
        <w:t>，</w:t>
      </w:r>
      <w:r>
        <w:t>中华蟾蜍，乌龟</w:t>
      </w:r>
      <w:r>
        <w:rPr>
          <w:rFonts w:hint="eastAsia"/>
        </w:rPr>
        <w:t>、</w:t>
      </w:r>
      <w:r>
        <w:t>黑眉锦蛇</w:t>
      </w:r>
      <w:r>
        <w:rPr>
          <w:rFonts w:hint="eastAsia"/>
        </w:rPr>
        <w:t>，</w:t>
      </w:r>
      <w:r>
        <w:t>乌梢蛇</w:t>
      </w:r>
      <w:r>
        <w:rPr>
          <w:rFonts w:hint="eastAsia"/>
        </w:rPr>
        <w:t>，</w:t>
      </w:r>
      <w:r>
        <w:t>金线蛙</w:t>
      </w:r>
      <w:r>
        <w:rPr>
          <w:rFonts w:hint="eastAsia"/>
        </w:rPr>
        <w:t>、环颈雉、棕背伯劳、黄鼬、狗獾）</w:t>
      </w:r>
      <w:r>
        <w:t>。</w:t>
      </w:r>
      <w:r>
        <w:rPr>
          <w:rFonts w:hint="eastAsia"/>
        </w:rPr>
        <w:t>但由于该地区人类活动较频繁，对自然资源开发利用较多，根据实地调查及部门走访，沙颍河沿线区域的陆生动物以常见种、普通种为主，珍惜野生动物数量极少，尤其是需要较大生存空间的食肉目动物（如赤狐、貉、豹猫、黄鼬、狗獾等）在实地调查中均未见。</w:t>
      </w:r>
    </w:p>
    <w:p>
      <w:pPr>
        <w:bidi w:val="0"/>
        <w:rPr>
          <w:rFonts w:hint="eastAsia"/>
        </w:rPr>
      </w:pPr>
      <w:r>
        <w:rPr>
          <w:rFonts w:hint="eastAsia"/>
        </w:rPr>
        <w:t>（4）根据调查，沙颍河（安徽段）水域</w:t>
      </w:r>
      <w:r>
        <w:t>的浮游植物以</w:t>
      </w:r>
      <w:r>
        <w:rPr>
          <w:rFonts w:hint="eastAsia"/>
        </w:rPr>
        <w:t>蓝藻、</w:t>
      </w:r>
      <w:r>
        <w:t>硅藻为优势类群</w:t>
      </w:r>
      <w:r>
        <w:rPr>
          <w:rFonts w:hint="eastAsia"/>
        </w:rPr>
        <w:t>；</w:t>
      </w:r>
      <w:r>
        <w:t>浮游动物以轮虫数量最大，且分布广泛</w:t>
      </w:r>
      <w:r>
        <w:rPr>
          <w:rFonts w:hint="eastAsia"/>
        </w:rPr>
        <w:t>；</w:t>
      </w:r>
      <w:r>
        <w:t>底栖动物以软体动物、环节动物为优势类群</w:t>
      </w:r>
      <w:r>
        <w:rPr>
          <w:rFonts w:hint="eastAsia"/>
        </w:rPr>
        <w:t>；</w:t>
      </w:r>
      <w:r>
        <w:t>鱼类资源</w:t>
      </w:r>
      <w:r>
        <w:rPr>
          <w:rFonts w:hint="eastAsia"/>
        </w:rPr>
        <w:t>以</w:t>
      </w:r>
      <w:r>
        <w:t>鲤形目</w:t>
      </w:r>
      <w:r>
        <w:rPr>
          <w:rFonts w:hint="eastAsia"/>
        </w:rPr>
        <w:t>的经济鱼类为主。</w:t>
      </w:r>
    </w:p>
    <w:p>
      <w:pPr>
        <w:bidi w:val="0"/>
        <w:rPr>
          <w:rFonts w:hint="eastAsia"/>
        </w:rPr>
      </w:pPr>
      <w:r>
        <w:rPr>
          <w:rFonts w:hint="eastAsia"/>
        </w:rPr>
        <w:t>（5）本次调查未见国家重保护野生鱼类，未发现渔业部门划定的鱼类集中产卵场、索饵场和越冬场。</w:t>
      </w:r>
    </w:p>
    <w:p>
      <w:pPr>
        <w:bidi w:val="0"/>
        <w:rPr>
          <w:rFonts w:hint="eastAsia"/>
        </w:rPr>
      </w:pPr>
      <w:r>
        <w:rPr>
          <w:rFonts w:hint="eastAsia"/>
        </w:rPr>
        <w:t>（6）本项目k25~k38+500段位于</w:t>
      </w:r>
      <w:r>
        <w:t>安徽太和</w:t>
      </w:r>
      <w:r>
        <w:rPr>
          <w:rFonts w:hint="eastAsia"/>
        </w:rPr>
        <w:t>县沙</w:t>
      </w:r>
      <w:r>
        <w:t>颍河国家湿地公园</w:t>
      </w:r>
      <w:r>
        <w:rPr>
          <w:rFonts w:hint="eastAsia"/>
        </w:rPr>
        <w:t>内，在涉及该</w:t>
      </w:r>
      <w:r>
        <w:t>湿地公园</w:t>
      </w:r>
      <w:r>
        <w:rPr>
          <w:rFonts w:hint="eastAsia"/>
        </w:rPr>
        <w:t>的区域内本项目工程主要包括：3#抛泥区、航道疏浚、G105太和沙河二桥改建（k38）；不涉及服务区、锚地、抛泥区和削滩工程；所涉工程段主要集中于k30~k33段、k36~k38+500段，位于</w:t>
      </w:r>
      <w:r>
        <w:t>安徽太和</w:t>
      </w:r>
      <w:r>
        <w:rPr>
          <w:rFonts w:hint="eastAsia"/>
        </w:rPr>
        <w:t>县沙</w:t>
      </w:r>
      <w:r>
        <w:t>颍河国家湿地公园</w:t>
      </w:r>
      <w:r>
        <w:rPr>
          <w:rFonts w:hint="eastAsia"/>
        </w:rPr>
        <w:t>的</w:t>
      </w:r>
      <w:r>
        <w:t>沙颍河休闲体验区</w:t>
      </w:r>
      <w:r>
        <w:rPr>
          <w:rFonts w:hint="eastAsia"/>
        </w:rPr>
        <w:t>和</w:t>
      </w:r>
      <w:r>
        <w:t>服务管理区</w:t>
      </w:r>
      <w:r>
        <w:rPr>
          <w:rFonts w:hint="eastAsia"/>
        </w:rPr>
        <w:t>内。</w:t>
      </w:r>
    </w:p>
    <w:p>
      <w:pPr>
        <w:bidi w:val="0"/>
        <w:rPr>
          <w:color w:val="auto"/>
          <w:shd w:val="clear" w:color="auto" w:fill="auto"/>
        </w:rPr>
      </w:pPr>
      <w:r>
        <w:t>依据《环境影响评价技术导则 生态影响》（HJ19-2011）和《内河航运建设项目评价技术规范》（JTJ227-2011），本项目影响区域生态敏感性为一般区域，生态评价等级为三级，生态影响现状评价可充分借鉴已有资料进行说明。本次评价主要在充分收集文献资料并参考《</w:t>
      </w:r>
      <w:r>
        <w:rPr>
          <w:rFonts w:hint="eastAsia"/>
          <w:lang w:eastAsia="zh-CN"/>
        </w:rPr>
        <w:t>颍河</w:t>
      </w:r>
      <w:r>
        <w:t>航道（大寺闸至入淮口段）整治工程环境影响报告书》中的调查成果，进行生态环境现状调查与评价。由于</w:t>
      </w:r>
      <w:r>
        <w:rPr>
          <w:rFonts w:hint="eastAsia"/>
          <w:lang w:eastAsia="zh-CN"/>
        </w:rPr>
        <w:t>颍河</w:t>
      </w:r>
      <w:r>
        <w:t>航道（大寺闸至入淮口段）整治工程与本项目同处</w:t>
      </w:r>
      <w:r>
        <w:rPr>
          <w:rFonts w:hint="eastAsia"/>
          <w:lang w:eastAsia="zh-CN"/>
        </w:rPr>
        <w:t>颍河</w:t>
      </w:r>
      <w:r>
        <w:t>流域，生态环境相似，因此，其调查成果基本可反映本项目所在区域的生态环境现状。</w:t>
      </w:r>
    </w:p>
    <w:p>
      <w:pPr>
        <w:rPr>
          <w:rFonts w:hint="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numPr>
          <w:ilvl w:val="0"/>
          <w:numId w:val="10"/>
        </w:numPr>
        <w:bidi w:val="0"/>
        <w:rPr>
          <w:rFonts w:hint="eastAsia"/>
        </w:rPr>
      </w:pPr>
      <w:bookmarkStart w:id="292" w:name="_Toc19116"/>
      <w:bookmarkStart w:id="293" w:name="_Toc20663_WPSOffice_Level1"/>
      <w:bookmarkStart w:id="294" w:name="_Toc23271_WPSOffice_Level1"/>
      <w:r>
        <w:rPr>
          <w:rFonts w:hint="eastAsia"/>
        </w:rPr>
        <w:t>环境影响预测与评价</w:t>
      </w:r>
      <w:bookmarkEnd w:id="292"/>
      <w:bookmarkEnd w:id="293"/>
      <w:bookmarkEnd w:id="294"/>
    </w:p>
    <w:p>
      <w:pPr>
        <w:pStyle w:val="4"/>
        <w:bidi w:val="0"/>
      </w:pPr>
      <w:bookmarkStart w:id="295" w:name="_Toc16084"/>
      <w:r>
        <w:rPr>
          <w:rFonts w:hint="eastAsia"/>
          <w:lang w:val="en-US" w:eastAsia="zh-CN"/>
        </w:rPr>
        <w:t>4.1</w:t>
      </w:r>
      <w:r>
        <w:rPr>
          <w:rFonts w:hint="eastAsia"/>
        </w:rPr>
        <w:t>水文动力、冲淤、水质、沉积物环境影响分析</w:t>
      </w:r>
      <w:bookmarkEnd w:id="295"/>
    </w:p>
    <w:p>
      <w:pPr>
        <w:bidi w:val="0"/>
      </w:pPr>
      <w:r>
        <w:t>根据《港口建设项目环境影响评价规范》（JTS105-1-2011）</w:t>
      </w:r>
      <w:r>
        <w:rPr>
          <w:rFonts w:hint="eastAsia"/>
        </w:rPr>
        <w:t>中表3.2.3-2河港工程评价等级划分表要求，本项目不涉及环境敏感区（环境敏感区指需要特殊保护的区域、生态敏感与脆弱期、社会关注区），属于环境一般区域，故水文动力、冲淤、水质和沉积物环境</w:t>
      </w:r>
      <w:r>
        <w:t>评价等级</w:t>
      </w:r>
      <w:r>
        <w:rPr>
          <w:rFonts w:hint="eastAsia"/>
        </w:rPr>
        <w:t>为</w:t>
      </w:r>
      <w:r>
        <w:t>三级</w:t>
      </w:r>
      <w:r>
        <w:rPr>
          <w:rFonts w:hint="eastAsia"/>
        </w:rPr>
        <w:t>，宜分析水文动力、冲淤、水质和沉积物环境变化及其影响，故本次对水文动力、冲淤、水质和沉积物环境进行简要分析评价，具体如下</w:t>
      </w:r>
      <w:r>
        <w:t>。</w:t>
      </w:r>
    </w:p>
    <w:p>
      <w:pPr>
        <w:spacing w:line="360" w:lineRule="auto"/>
        <w:ind w:firstLine="482" w:firstLineChars="200"/>
        <w:rPr>
          <w:b/>
          <w:sz w:val="24"/>
        </w:rPr>
      </w:pPr>
      <w:r>
        <w:rPr>
          <w:rFonts w:hint="eastAsia"/>
          <w:b/>
          <w:sz w:val="24"/>
        </w:rPr>
        <w:t>（1）水文动力环境影响分析</w:t>
      </w:r>
    </w:p>
    <w:p>
      <w:pPr>
        <w:pStyle w:val="91"/>
        <w:spacing w:before="0" w:line="360" w:lineRule="auto"/>
        <w:ind w:firstLine="480"/>
        <w:rPr>
          <w:rFonts w:hAnsi="宋体"/>
        </w:rPr>
      </w:pPr>
      <w:r>
        <w:rPr>
          <w:rFonts w:hAnsi="宋体"/>
        </w:rPr>
        <w:t>项目码头</w:t>
      </w:r>
      <w:r>
        <w:rPr>
          <w:rFonts w:hAnsi="宋体"/>
          <w:highlight w:val="none"/>
        </w:rPr>
        <w:t>采用高桩梁板结构</w:t>
      </w:r>
      <w:r>
        <w:rPr>
          <w:rFonts w:hAnsi="宋体"/>
        </w:rPr>
        <w:t>，会占用少量的过水断面，受桩基阻水扰流作用的影响，在项目建成后桩基周围的流速会发生一定的变化，类比同类型企业，项目建成后流速向有较明显变化的区域（仅限码头周边水域），距离码头上下游一般约</w:t>
      </w:r>
      <w:r>
        <w:t>120</w:t>
      </w:r>
      <w:r>
        <w:rPr>
          <w:rFonts w:hint="eastAsia"/>
          <w:lang w:eastAsia="zh-CN"/>
        </w:rPr>
        <w:t>m</w:t>
      </w:r>
      <w:r>
        <w:rPr>
          <w:rFonts w:hAnsi="宋体"/>
        </w:rPr>
        <w:t>的水域</w:t>
      </w:r>
      <w:r>
        <w:rPr>
          <w:rFonts w:hint="eastAsia" w:hAnsi="宋体"/>
        </w:rPr>
        <w:t>；但</w:t>
      </w:r>
      <w:r>
        <w:rPr>
          <w:rFonts w:hint="eastAsia" w:ascii="宋体" w:hAnsi="宋体"/>
        </w:rPr>
        <w:t>本</w:t>
      </w:r>
      <w:r>
        <w:rPr>
          <w:rFonts w:hint="eastAsia" w:hAnsi="宋体"/>
        </w:rPr>
        <w:t>项目码头所在区域占用</w:t>
      </w:r>
      <w:r>
        <w:rPr>
          <w:rFonts w:hint="eastAsia" w:hAnsi="宋体"/>
          <w:lang w:eastAsia="zh-CN"/>
        </w:rPr>
        <w:t>河</w:t>
      </w:r>
      <w:r>
        <w:rPr>
          <w:rFonts w:hint="eastAsia" w:hAnsi="宋体"/>
        </w:rPr>
        <w:t>段</w:t>
      </w:r>
      <w:r>
        <w:rPr>
          <w:rFonts w:hint="eastAsia" w:hAnsi="宋体"/>
          <w:lang w:eastAsia="zh-CN"/>
        </w:rPr>
        <w:t>河</w:t>
      </w:r>
      <w:r>
        <w:rPr>
          <w:rFonts w:hAnsi="宋体"/>
        </w:rPr>
        <w:t>面宽度</w:t>
      </w:r>
      <w:r>
        <w:rPr>
          <w:rFonts w:hint="eastAsia" w:hAnsi="宋体"/>
          <w:lang w:eastAsia="zh-CN"/>
        </w:rPr>
        <w:t>较小</w:t>
      </w:r>
      <w:r>
        <w:rPr>
          <w:rFonts w:hint="eastAsia" w:hAnsi="宋体"/>
        </w:rPr>
        <w:t>，故项目建设对</w:t>
      </w:r>
      <w:r>
        <w:rPr>
          <w:rFonts w:hint="eastAsia" w:hAnsi="宋体"/>
          <w:lang w:eastAsia="zh-CN"/>
        </w:rPr>
        <w:t>颍河</w:t>
      </w:r>
      <w:r>
        <w:rPr>
          <w:rFonts w:hint="eastAsia" w:hAnsi="宋体"/>
        </w:rPr>
        <w:t>水文动力的影响</w:t>
      </w:r>
      <w:r>
        <w:rPr>
          <w:rFonts w:hint="eastAsia" w:ascii="宋体" w:hAnsi="宋体"/>
        </w:rPr>
        <w:t>较小，项目区域</w:t>
      </w:r>
      <w:r>
        <w:rPr>
          <w:rFonts w:hint="eastAsia" w:hAnsi="宋体"/>
        </w:rPr>
        <w:t>水文动力情况基本保持现状，不会发生明显变化。</w:t>
      </w:r>
    </w:p>
    <w:p>
      <w:pPr>
        <w:spacing w:line="360" w:lineRule="auto"/>
        <w:ind w:firstLine="482" w:firstLineChars="200"/>
        <w:rPr>
          <w:b/>
          <w:sz w:val="24"/>
        </w:rPr>
      </w:pPr>
      <w:r>
        <w:rPr>
          <w:rFonts w:hint="eastAsia"/>
          <w:b/>
          <w:sz w:val="24"/>
        </w:rPr>
        <w:t>（2）冲淤环境影响分析</w:t>
      </w:r>
    </w:p>
    <w:p>
      <w:pPr>
        <w:pStyle w:val="91"/>
        <w:spacing w:before="0" w:line="360" w:lineRule="auto"/>
        <w:ind w:firstLine="480"/>
        <w:rPr>
          <w:rFonts w:hint="eastAsia" w:hAnsi="宋体"/>
        </w:rPr>
      </w:pPr>
      <w:r>
        <w:rPr>
          <w:rFonts w:hint="eastAsia" w:hAnsi="宋体"/>
          <w:lang w:eastAsia="zh-CN"/>
        </w:rPr>
        <w:t>颍河</w:t>
      </w:r>
      <w:r>
        <w:rPr>
          <w:rFonts w:hint="eastAsia" w:hAnsi="宋体"/>
        </w:rPr>
        <w:t>河道近期的河床演变整体上处于一个相对稳定的状态，局部河段受到非法采沙、违章弃土、沿线居民的生产生活等因素的影响，河床底高程变化幅度较大。拟建码头处河道基本冲淤基本平衡，河势较为稳定。拟建码头采用高桩透空式结构，阻水面积较小，工程建设后对河道水位及流场的影响均不大，且范围有限，对河道断面流速分布影响也很小，对主流位置影响小。因此，本码头工程的建设对河势影响较小，港池及航道冲淤变化较小。</w:t>
      </w:r>
    </w:p>
    <w:p>
      <w:pPr>
        <w:spacing w:line="360" w:lineRule="auto"/>
        <w:ind w:firstLine="482" w:firstLineChars="200"/>
        <w:rPr>
          <w:b/>
          <w:sz w:val="24"/>
        </w:rPr>
      </w:pPr>
      <w:r>
        <w:rPr>
          <w:rFonts w:hint="eastAsia"/>
          <w:b/>
          <w:sz w:val="24"/>
        </w:rPr>
        <w:t>（3）水质环境影响分析</w:t>
      </w:r>
    </w:p>
    <w:p>
      <w:pPr>
        <w:pStyle w:val="91"/>
        <w:spacing w:before="0" w:line="360" w:lineRule="auto"/>
        <w:ind w:firstLine="480"/>
        <w:rPr>
          <w:rFonts w:hAnsi="宋体"/>
        </w:rPr>
      </w:pPr>
      <w:r>
        <w:rPr>
          <w:rFonts w:hint="eastAsia" w:hAnsi="宋体"/>
        </w:rPr>
        <w:t>本工程施工主要包括桩基及管桩施工，在施工过程中，较粗泥沙很快沉降，较细泥沙颗粒长时间悬浮于水体中并随着江流输移扩散，形成悬浮</w:t>
      </w:r>
      <w:r>
        <w:rPr>
          <w:rFonts w:hint="eastAsia" w:hAnsi="宋体"/>
          <w:lang w:eastAsia="zh-CN"/>
        </w:rPr>
        <w:t>泥</w:t>
      </w:r>
      <w:r>
        <w:rPr>
          <w:rFonts w:hint="eastAsia" w:hAnsi="宋体"/>
        </w:rPr>
        <w:t>沙场。本次预测评价只考虑施工工程增加的悬浮物的运输，不考虑其背景浓度。</w:t>
      </w:r>
    </w:p>
    <w:p>
      <w:pPr>
        <w:pStyle w:val="91"/>
        <w:spacing w:before="0" w:line="360" w:lineRule="auto"/>
        <w:ind w:firstLine="480"/>
        <w:rPr>
          <w:rFonts w:hAnsi="宋体"/>
        </w:rPr>
      </w:pPr>
      <w:r>
        <w:rPr>
          <w:rFonts w:hint="eastAsia" w:hAnsi="宋体"/>
        </w:rPr>
        <w:t>悬浮泥沙的输移扩散模式采用悬浮物沉降的二维输移扩散方程，具体如下：</w:t>
      </w:r>
    </w:p>
    <w:p>
      <w:pPr>
        <w:pStyle w:val="91"/>
        <w:spacing w:before="0" w:line="360" w:lineRule="auto"/>
        <w:ind w:firstLine="480"/>
        <w:rPr>
          <w:rFonts w:hAnsi="宋体"/>
        </w:rPr>
      </w:pPr>
      <w:r>
        <w:rPr>
          <w:rFonts w:hint="eastAsia" w:hAnsi="宋体"/>
        </w:rPr>
        <w:drawing>
          <wp:inline distT="0" distB="0" distL="0" distR="0">
            <wp:extent cx="4333875" cy="581025"/>
            <wp:effectExtent l="0" t="0" r="9525"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49" cstate="print"/>
                    <a:srcRect/>
                    <a:stretch>
                      <a:fillRect/>
                    </a:stretch>
                  </pic:blipFill>
                  <pic:spPr>
                    <a:xfrm>
                      <a:off x="0" y="0"/>
                      <a:ext cx="4333875" cy="581025"/>
                    </a:xfrm>
                    <a:prstGeom prst="rect">
                      <a:avLst/>
                    </a:prstGeom>
                    <a:noFill/>
                    <a:ln w="9525">
                      <a:noFill/>
                      <a:miter lim="800000"/>
                      <a:headEnd/>
                      <a:tailEnd/>
                    </a:ln>
                  </pic:spPr>
                </pic:pic>
              </a:graphicData>
            </a:graphic>
          </wp:inline>
        </w:drawing>
      </w:r>
    </w:p>
    <w:p>
      <w:pPr>
        <w:pStyle w:val="91"/>
        <w:spacing w:before="0" w:line="360" w:lineRule="auto"/>
        <w:ind w:firstLine="480"/>
        <w:rPr>
          <w:rFonts w:hAnsi="宋体"/>
          <w:color w:val="auto"/>
          <w:highlight w:val="none"/>
        </w:rPr>
      </w:pPr>
      <w:r>
        <w:rPr>
          <w:rFonts w:hint="eastAsia" w:hAnsi="宋体"/>
        </w:rPr>
        <w:t>Dx、Dy分别是x和y方向上的水平涡动扩散系数，采用经验公式Di=K△X</w:t>
      </w:r>
      <w:r>
        <w:rPr>
          <w:rFonts w:hint="eastAsia" w:hAnsi="宋体"/>
          <w:vertAlign w:val="subscript"/>
        </w:rPr>
        <w:t>i</w:t>
      </w:r>
      <w:r>
        <w:rPr>
          <w:rFonts w:hint="eastAsia" w:hAnsi="宋体"/>
        </w:rPr>
        <w:t>U</w:t>
      </w:r>
      <w:r>
        <w:rPr>
          <w:rFonts w:hint="eastAsia" w:hAnsi="宋体"/>
          <w:vertAlign w:val="subscript"/>
        </w:rPr>
        <w:t>i</w:t>
      </w:r>
      <w:r>
        <w:rPr>
          <w:rFonts w:hint="eastAsia" w:hAnsi="宋体"/>
        </w:rPr>
        <w:t>。这里K为经验系数，取0.05；△X</w:t>
      </w:r>
      <w:r>
        <w:rPr>
          <w:rFonts w:hint="eastAsia" w:hAnsi="宋体"/>
          <w:vertAlign w:val="subscript"/>
        </w:rPr>
        <w:t>i</w:t>
      </w:r>
      <w:r>
        <w:rPr>
          <w:rFonts w:hint="eastAsia" w:hAnsi="宋体"/>
        </w:rPr>
        <w:t>、△Y</w:t>
      </w:r>
      <w:r>
        <w:rPr>
          <w:rFonts w:hint="eastAsia" w:hAnsi="宋体"/>
          <w:vertAlign w:val="subscript"/>
        </w:rPr>
        <w:t>i</w:t>
      </w:r>
      <w:r>
        <w:rPr>
          <w:rFonts w:hint="eastAsia" w:hAnsi="宋体"/>
        </w:rPr>
        <w:t>分别为x、y方向的网格尺度；U</w:t>
      </w:r>
      <w:r>
        <w:rPr>
          <w:rFonts w:hint="eastAsia" w:hAnsi="宋体"/>
          <w:vertAlign w:val="subscript"/>
        </w:rPr>
        <w:t>i</w:t>
      </w:r>
      <w:r>
        <w:rPr>
          <w:rFonts w:hint="eastAsia" w:hAnsi="宋体"/>
        </w:rPr>
        <w:t>、V</w:t>
      </w:r>
      <w:r>
        <w:rPr>
          <w:rFonts w:hint="eastAsia" w:hAnsi="宋体"/>
          <w:vertAlign w:val="subscript"/>
        </w:rPr>
        <w:t>i</w:t>
      </w:r>
      <w:r>
        <w:rPr>
          <w:rFonts w:hint="eastAsia" w:hAnsi="宋体"/>
        </w:rPr>
        <w:t>分</w:t>
      </w:r>
      <w:r>
        <w:rPr>
          <w:rFonts w:hint="eastAsia" w:hAnsi="宋体"/>
          <w:color w:val="auto"/>
          <w:highlight w:val="none"/>
        </w:rPr>
        <w:t>别为x和y方向的速度。S</w:t>
      </w:r>
      <w:r>
        <w:rPr>
          <w:rFonts w:hint="eastAsia" w:hAnsi="宋体"/>
          <w:color w:val="auto"/>
          <w:highlight w:val="none"/>
          <w:vertAlign w:val="subscript"/>
        </w:rPr>
        <w:t>d</w:t>
      </w:r>
      <w:r>
        <w:rPr>
          <w:rFonts w:hint="eastAsia" w:hAnsi="宋体"/>
          <w:color w:val="auto"/>
          <w:highlight w:val="none"/>
        </w:rPr>
        <w:t>是沉降项，Ss是源强项。</w:t>
      </w:r>
    </w:p>
    <w:p>
      <w:pPr>
        <w:pStyle w:val="91"/>
        <w:spacing w:before="0" w:line="360" w:lineRule="auto"/>
        <w:ind w:firstLine="480"/>
        <w:rPr>
          <w:rFonts w:hAnsi="宋体"/>
          <w:color w:val="auto"/>
          <w:highlight w:val="none"/>
        </w:rPr>
      </w:pPr>
      <w:r>
        <w:rPr>
          <w:rFonts w:hint="eastAsia" w:hAnsi="宋体"/>
          <w:color w:val="auto"/>
          <w:highlight w:val="none"/>
        </w:rPr>
        <w:t>求解扩散方程的边界条件为：</w:t>
      </w:r>
    </w:p>
    <w:p>
      <w:pPr>
        <w:pStyle w:val="91"/>
        <w:spacing w:before="0" w:line="360" w:lineRule="auto"/>
        <w:ind w:firstLine="480"/>
        <w:rPr>
          <w:rFonts w:hAnsi="宋体"/>
          <w:color w:val="auto"/>
          <w:highlight w:val="none"/>
        </w:rPr>
      </w:pPr>
      <w:r>
        <w:rPr>
          <w:rFonts w:hint="eastAsia" w:hAnsi="宋体"/>
          <w:color w:val="auto"/>
          <w:highlight w:val="none"/>
        </w:rPr>
        <w:t>流出时段满足：</w:t>
      </w:r>
    </w:p>
    <w:p>
      <w:pPr>
        <w:pStyle w:val="91"/>
        <w:spacing w:before="0" w:line="360" w:lineRule="auto"/>
        <w:ind w:firstLine="480"/>
        <w:rPr>
          <w:rFonts w:hAnsi="宋体"/>
          <w:color w:val="auto"/>
          <w:highlight w:val="none"/>
        </w:rPr>
      </w:pPr>
      <w:r>
        <w:rPr>
          <w:rFonts w:hint="eastAsia" w:hAnsi="宋体"/>
          <w:color w:val="auto"/>
          <w:highlight w:val="none"/>
        </w:rPr>
        <w:drawing>
          <wp:inline distT="0" distB="0" distL="0" distR="0">
            <wp:extent cx="1447800" cy="542925"/>
            <wp:effectExtent l="0" t="0" r="0" b="9525"/>
            <wp:docPr id="5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0"/>
                    <pic:cNvPicPr>
                      <a:picLocks noChangeAspect="1" noChangeArrowheads="1"/>
                    </pic:cNvPicPr>
                  </pic:nvPicPr>
                  <pic:blipFill>
                    <a:blip r:embed="rId50" cstate="print"/>
                    <a:srcRect/>
                    <a:stretch>
                      <a:fillRect/>
                    </a:stretch>
                  </pic:blipFill>
                  <pic:spPr>
                    <a:xfrm>
                      <a:off x="0" y="0"/>
                      <a:ext cx="1447800" cy="542925"/>
                    </a:xfrm>
                    <a:prstGeom prst="rect">
                      <a:avLst/>
                    </a:prstGeom>
                    <a:noFill/>
                    <a:ln w="9525">
                      <a:noFill/>
                      <a:miter lim="800000"/>
                      <a:headEnd/>
                      <a:tailEnd/>
                    </a:ln>
                  </pic:spPr>
                </pic:pic>
              </a:graphicData>
            </a:graphic>
          </wp:inline>
        </w:drawing>
      </w:r>
    </w:p>
    <w:p>
      <w:pPr>
        <w:pStyle w:val="91"/>
        <w:spacing w:before="0" w:line="360" w:lineRule="auto"/>
        <w:ind w:firstLine="480"/>
        <w:rPr>
          <w:rFonts w:hAnsi="宋体"/>
          <w:color w:val="auto"/>
          <w:highlight w:val="none"/>
        </w:rPr>
      </w:pPr>
      <w:r>
        <w:rPr>
          <w:rFonts w:hint="eastAsia" w:hAnsi="宋体"/>
          <w:color w:val="auto"/>
          <w:highlight w:val="none"/>
        </w:rPr>
        <w:t>流入时段满足：</w:t>
      </w:r>
    </w:p>
    <w:p>
      <w:pPr>
        <w:pStyle w:val="91"/>
        <w:spacing w:before="0" w:line="360" w:lineRule="auto"/>
        <w:ind w:firstLine="480"/>
        <w:rPr>
          <w:rFonts w:hAnsi="宋体"/>
          <w:color w:val="auto"/>
          <w:highlight w:val="none"/>
        </w:rPr>
      </w:pPr>
      <w:r>
        <w:rPr>
          <w:rFonts w:hint="eastAsia" w:hAnsi="宋体"/>
          <w:color w:val="auto"/>
          <w:highlight w:val="none"/>
        </w:rPr>
        <w:t>P=P*</w:t>
      </w:r>
    </w:p>
    <w:p>
      <w:pPr>
        <w:pStyle w:val="91"/>
        <w:spacing w:before="0" w:line="360" w:lineRule="auto"/>
        <w:ind w:firstLine="480"/>
        <w:rPr>
          <w:rFonts w:hAnsi="宋体"/>
          <w:color w:val="auto"/>
          <w:highlight w:val="none"/>
        </w:rPr>
      </w:pPr>
      <w:r>
        <w:rPr>
          <w:rFonts w:hAnsi="宋体"/>
          <w:color w:val="auto"/>
          <w:highlight w:val="none"/>
        </w:rPr>
        <w:t>P</w:t>
      </w:r>
      <w:r>
        <w:rPr>
          <w:rFonts w:hint="eastAsia" w:hAnsi="宋体"/>
          <w:color w:val="auto"/>
          <w:highlight w:val="none"/>
        </w:rPr>
        <w:t>*---开边界处海水SS的背景浓度值，这里设为0。</w:t>
      </w:r>
    </w:p>
    <w:p>
      <w:pPr>
        <w:pStyle w:val="91"/>
        <w:spacing w:before="0" w:line="360" w:lineRule="auto"/>
        <w:ind w:firstLine="480"/>
        <w:rPr>
          <w:rFonts w:hAnsi="宋体"/>
          <w:color w:val="auto"/>
          <w:highlight w:val="none"/>
        </w:rPr>
      </w:pPr>
      <w:r>
        <w:rPr>
          <w:rFonts w:hint="eastAsia" w:hAnsi="宋体"/>
          <w:color w:val="auto"/>
          <w:highlight w:val="none"/>
        </w:rPr>
        <w:t>数值差分采用QUICKEST格式。时间步长同朝流场。</w:t>
      </w:r>
    </w:p>
    <w:p>
      <w:pPr>
        <w:pStyle w:val="91"/>
        <w:spacing w:before="0" w:line="360" w:lineRule="auto"/>
        <w:ind w:firstLine="480"/>
        <w:rPr>
          <w:rFonts w:hAnsi="宋体"/>
          <w:color w:val="auto"/>
          <w:highlight w:val="none"/>
        </w:rPr>
      </w:pPr>
      <w:r>
        <w:rPr>
          <w:rFonts w:hint="eastAsia" w:hAnsi="宋体"/>
          <w:color w:val="auto"/>
          <w:highlight w:val="none"/>
        </w:rPr>
        <w:t>为较全面展示施工对水域各处的影响，将源点主要布置于拟建工程周边拐点及港池内，并尽量均布。为使计算简化且不失合理性，将每个源点视为定点连续源。项目悬浮物产生量约为0.5kg/s。通过预测结果如下：</w:t>
      </w:r>
    </w:p>
    <w:p>
      <w:pPr>
        <w:pStyle w:val="91"/>
        <w:spacing w:before="0" w:line="360" w:lineRule="auto"/>
        <w:ind w:firstLine="0" w:firstLineChars="0"/>
        <w:rPr>
          <w:rFonts w:hint="eastAsia" w:hAnsi="宋体" w:eastAsia="宋体"/>
          <w:color w:val="auto"/>
          <w:highlight w:val="none"/>
          <w:lang w:eastAsia="zh-CN"/>
        </w:rPr>
      </w:pPr>
      <w:r>
        <w:rPr>
          <w:rFonts w:hint="eastAsia" w:hAnsi="宋体" w:eastAsia="宋体"/>
          <w:color w:val="auto"/>
          <w:highlight w:val="none"/>
          <w:lang w:eastAsia="zh-CN"/>
        </w:rPr>
        <w:drawing>
          <wp:inline distT="0" distB="0" distL="114300" distR="114300">
            <wp:extent cx="5269865" cy="3271520"/>
            <wp:effectExtent l="0" t="0" r="6985" b="5080"/>
            <wp:docPr id="55" name="图片 5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图片1"/>
                    <pic:cNvPicPr>
                      <a:picLocks noChangeAspect="1"/>
                    </pic:cNvPicPr>
                  </pic:nvPicPr>
                  <pic:blipFill>
                    <a:blip r:embed="rId51"/>
                    <a:stretch>
                      <a:fillRect/>
                    </a:stretch>
                  </pic:blipFill>
                  <pic:spPr>
                    <a:xfrm>
                      <a:off x="0" y="0"/>
                      <a:ext cx="5269865" cy="3271520"/>
                    </a:xfrm>
                    <a:prstGeom prst="rect">
                      <a:avLst/>
                    </a:prstGeom>
                  </pic:spPr>
                </pic:pic>
              </a:graphicData>
            </a:graphic>
          </wp:inline>
        </w:drawing>
      </w:r>
    </w:p>
    <w:p>
      <w:pPr>
        <w:pStyle w:val="91"/>
        <w:spacing w:before="0" w:line="360" w:lineRule="auto"/>
        <w:ind w:firstLineChars="83"/>
        <w:jc w:val="center"/>
        <w:rPr>
          <w:rFonts w:hint="default" w:ascii="Times New Roman" w:hAnsi="Times New Roman" w:eastAsia="微软雅黑" w:cs="Times New Roman"/>
          <w:b w:val="0"/>
          <w:bCs/>
          <w:color w:val="auto"/>
          <w:highlight w:val="none"/>
        </w:rPr>
      </w:pPr>
      <w:r>
        <w:rPr>
          <w:rFonts w:hint="default" w:ascii="Times New Roman" w:hAnsi="Times New Roman" w:eastAsia="微软雅黑" w:cs="Times New Roman"/>
          <w:b w:val="0"/>
          <w:bCs/>
          <w:color w:val="auto"/>
          <w:highlight w:val="none"/>
        </w:rPr>
        <w:t>图</w:t>
      </w:r>
      <w:r>
        <w:rPr>
          <w:rFonts w:hint="default" w:ascii="Times New Roman" w:hAnsi="Times New Roman" w:eastAsia="微软雅黑" w:cs="Times New Roman"/>
          <w:b w:val="0"/>
          <w:bCs/>
          <w:color w:val="auto"/>
          <w:highlight w:val="none"/>
          <w:lang w:val="en-US" w:eastAsia="zh-CN"/>
        </w:rPr>
        <w:t>4.1-1</w:t>
      </w:r>
      <w:r>
        <w:rPr>
          <w:rFonts w:hint="default" w:ascii="Times New Roman" w:hAnsi="Times New Roman" w:eastAsia="微软雅黑" w:cs="Times New Roman"/>
          <w:b w:val="0"/>
          <w:bCs/>
          <w:color w:val="auto"/>
          <w:highlight w:val="none"/>
        </w:rPr>
        <w:t xml:space="preserve">  悬浮物浓度增量包络图</w:t>
      </w:r>
    </w:p>
    <w:p>
      <w:pPr>
        <w:pStyle w:val="91"/>
        <w:spacing w:before="0" w:line="360" w:lineRule="auto"/>
        <w:ind w:firstLineChars="83"/>
        <w:jc w:val="center"/>
        <w:rPr>
          <w:rFonts w:hint="eastAsia" w:hAnsi="宋体" w:eastAsia="宋体"/>
          <w:b/>
          <w:color w:val="auto"/>
          <w:highlight w:val="none"/>
          <w:lang w:val="en-US" w:eastAsia="zh-CN"/>
        </w:rPr>
      </w:pPr>
      <w:r>
        <w:rPr>
          <w:rFonts w:hint="eastAsia" w:hAnsi="宋体"/>
          <w:b/>
          <w:color w:val="auto"/>
          <w:highlight w:val="none"/>
          <w:lang w:val="en-US" w:eastAsia="zh-CN"/>
        </w:rPr>
        <w:t xml:space="preserve"> </w:t>
      </w:r>
    </w:p>
    <w:p>
      <w:pPr>
        <w:keepNext w:val="0"/>
        <w:keepLines w:val="0"/>
        <w:pageBreakBefore w:val="0"/>
        <w:widowControl w:val="0"/>
        <w:kinsoku/>
        <w:wordWrap/>
        <w:overflowPunct/>
        <w:topLinePunct w:val="0"/>
        <w:autoSpaceDE w:val="0"/>
        <w:autoSpaceDN w:val="0"/>
        <w:bidi w:val="0"/>
        <w:adjustRightInd w:val="0"/>
        <w:snapToGrid/>
        <w:spacing w:before="157" w:beforeLines="50" w:line="240" w:lineRule="auto"/>
        <w:jc w:val="center"/>
        <w:textAlignment w:val="auto"/>
        <w:rPr>
          <w:rFonts w:hint="default" w:ascii="Times New Roman" w:hAnsi="Times New Roman" w:eastAsia="黑体"/>
          <w:color w:val="auto"/>
          <w:kern w:val="0"/>
          <w:sz w:val="21"/>
          <w:szCs w:val="21"/>
          <w:shd w:val="clear" w:color="auto" w:fill="auto"/>
        </w:rPr>
      </w:pPr>
      <w:r>
        <w:rPr>
          <w:rFonts w:hint="default" w:ascii="Times New Roman" w:hAnsi="Times New Roman" w:eastAsia="黑体"/>
          <w:color w:val="auto"/>
          <w:kern w:val="0"/>
          <w:sz w:val="21"/>
          <w:szCs w:val="21"/>
          <w:shd w:val="clear" w:color="auto" w:fill="auto"/>
        </w:rPr>
        <w:t>表</w:t>
      </w:r>
      <w:r>
        <w:rPr>
          <w:rFonts w:hint="default" w:ascii="Times New Roman" w:hAnsi="Times New Roman" w:eastAsia="黑体"/>
          <w:color w:val="auto"/>
          <w:kern w:val="0"/>
          <w:sz w:val="21"/>
          <w:szCs w:val="21"/>
          <w:shd w:val="clear" w:color="auto" w:fill="auto"/>
          <w:lang w:val="en-US" w:eastAsia="zh-CN"/>
        </w:rPr>
        <w:t>4.1</w:t>
      </w:r>
      <w:r>
        <w:rPr>
          <w:rFonts w:hint="default" w:ascii="Times New Roman" w:hAnsi="Times New Roman" w:eastAsia="黑体"/>
          <w:color w:val="auto"/>
          <w:kern w:val="0"/>
          <w:sz w:val="21"/>
          <w:szCs w:val="21"/>
          <w:shd w:val="clear" w:color="auto" w:fill="auto"/>
        </w:rPr>
        <w:t>-1  悬浮物增量影响范围（</w:t>
      </w:r>
      <w:r>
        <w:rPr>
          <w:rFonts w:hint="eastAsia" w:eastAsia="黑体"/>
          <w:color w:val="auto"/>
          <w:kern w:val="0"/>
          <w:sz w:val="21"/>
          <w:szCs w:val="21"/>
          <w:shd w:val="clear" w:color="auto" w:fill="auto"/>
          <w:vertAlign w:val="baseline"/>
          <w:lang w:eastAsia="zh-CN"/>
        </w:rPr>
        <w:t>km</w:t>
      </w:r>
      <w:r>
        <w:rPr>
          <w:rFonts w:hint="eastAsia" w:eastAsia="黑体"/>
          <w:color w:val="auto"/>
          <w:kern w:val="0"/>
          <w:sz w:val="21"/>
          <w:szCs w:val="21"/>
          <w:shd w:val="clear" w:color="auto" w:fill="auto"/>
          <w:vertAlign w:val="superscript"/>
          <w:lang w:eastAsia="zh-CN"/>
        </w:rPr>
        <w:t>2</w:t>
      </w:r>
      <w:r>
        <w:rPr>
          <w:rFonts w:hint="default" w:ascii="Times New Roman" w:hAnsi="Times New Roman" w:eastAsia="黑体"/>
          <w:color w:val="auto"/>
          <w:kern w:val="0"/>
          <w:sz w:val="21"/>
          <w:szCs w:val="21"/>
          <w:shd w:val="clear" w:color="auto" w:fill="auto"/>
        </w:rPr>
        <w:t>）</w:t>
      </w:r>
    </w:p>
    <w:tbl>
      <w:tblPr>
        <w:tblStyle w:val="2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229"/>
        <w:gridCol w:w="1320"/>
        <w:gridCol w:w="1365"/>
        <w:gridCol w:w="1440"/>
        <w:gridCol w:w="17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1420" w:type="dxa"/>
            <w:vAlign w:val="center"/>
          </w:tcPr>
          <w:p>
            <w:pPr>
              <w:pStyle w:val="91"/>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Ansi="宋体"/>
                <w:color w:val="auto"/>
                <w:sz w:val="21"/>
                <w:szCs w:val="21"/>
                <w:highlight w:val="none"/>
              </w:rPr>
            </w:pPr>
            <w:r>
              <w:rPr>
                <w:rFonts w:hint="eastAsia" w:hAnsi="宋体"/>
                <w:color w:val="auto"/>
                <w:sz w:val="21"/>
                <w:szCs w:val="21"/>
                <w:highlight w:val="none"/>
              </w:rPr>
              <w:t>悬浮物浓度</w:t>
            </w:r>
          </w:p>
        </w:tc>
        <w:tc>
          <w:tcPr>
            <w:tcW w:w="1229" w:type="dxa"/>
            <w:vAlign w:val="center"/>
          </w:tcPr>
          <w:p>
            <w:pPr>
              <w:pStyle w:val="91"/>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Ansi="宋体"/>
                <w:color w:val="auto"/>
                <w:sz w:val="21"/>
                <w:szCs w:val="21"/>
                <w:highlight w:val="none"/>
              </w:rPr>
            </w:pPr>
            <w:r>
              <w:rPr>
                <w:rFonts w:hint="eastAsia" w:hAnsi="宋体"/>
                <w:color w:val="auto"/>
                <w:sz w:val="21"/>
                <w:szCs w:val="21"/>
                <w:highlight w:val="none"/>
              </w:rPr>
              <w:t>10-20</w:t>
            </w:r>
            <w:r>
              <w:rPr>
                <w:rFonts w:hint="eastAsia" w:hAnsi="宋体"/>
                <w:color w:val="auto"/>
                <w:sz w:val="21"/>
                <w:szCs w:val="21"/>
                <w:highlight w:val="none"/>
                <w:lang w:eastAsia="zh-CN"/>
              </w:rPr>
              <w:t>m</w:t>
            </w:r>
            <w:r>
              <w:rPr>
                <w:rFonts w:hint="eastAsia" w:hAnsi="宋体"/>
                <w:color w:val="auto"/>
                <w:sz w:val="21"/>
                <w:szCs w:val="21"/>
                <w:highlight w:val="none"/>
              </w:rPr>
              <w:t>g/L</w:t>
            </w:r>
          </w:p>
        </w:tc>
        <w:tc>
          <w:tcPr>
            <w:tcW w:w="1320" w:type="dxa"/>
            <w:vAlign w:val="center"/>
          </w:tcPr>
          <w:p>
            <w:pPr>
              <w:pStyle w:val="91"/>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Ansi="宋体"/>
                <w:color w:val="auto"/>
                <w:sz w:val="21"/>
                <w:szCs w:val="21"/>
                <w:highlight w:val="none"/>
              </w:rPr>
            </w:pPr>
            <w:r>
              <w:rPr>
                <w:rFonts w:hint="eastAsia" w:hAnsi="宋体"/>
                <w:color w:val="auto"/>
                <w:sz w:val="21"/>
                <w:szCs w:val="21"/>
                <w:highlight w:val="none"/>
              </w:rPr>
              <w:t>20-50</w:t>
            </w:r>
            <w:r>
              <w:rPr>
                <w:rFonts w:hint="eastAsia" w:hAnsi="宋体"/>
                <w:color w:val="auto"/>
                <w:sz w:val="21"/>
                <w:szCs w:val="21"/>
                <w:highlight w:val="none"/>
                <w:lang w:eastAsia="zh-CN"/>
              </w:rPr>
              <w:t>m</w:t>
            </w:r>
            <w:r>
              <w:rPr>
                <w:rFonts w:hint="eastAsia" w:hAnsi="宋体"/>
                <w:color w:val="auto"/>
                <w:sz w:val="21"/>
                <w:szCs w:val="21"/>
                <w:highlight w:val="none"/>
              </w:rPr>
              <w:t>g/L</w:t>
            </w:r>
          </w:p>
        </w:tc>
        <w:tc>
          <w:tcPr>
            <w:tcW w:w="1365" w:type="dxa"/>
            <w:vAlign w:val="center"/>
          </w:tcPr>
          <w:p>
            <w:pPr>
              <w:pStyle w:val="91"/>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Ansi="宋体"/>
                <w:color w:val="auto"/>
                <w:sz w:val="21"/>
                <w:szCs w:val="21"/>
                <w:highlight w:val="none"/>
              </w:rPr>
            </w:pPr>
            <w:r>
              <w:rPr>
                <w:rFonts w:hint="eastAsia" w:hAnsi="宋体"/>
                <w:color w:val="auto"/>
                <w:sz w:val="21"/>
                <w:szCs w:val="21"/>
                <w:highlight w:val="none"/>
              </w:rPr>
              <w:t>50-100</w:t>
            </w:r>
            <w:r>
              <w:rPr>
                <w:rFonts w:hint="eastAsia" w:hAnsi="宋体"/>
                <w:color w:val="auto"/>
                <w:sz w:val="21"/>
                <w:szCs w:val="21"/>
                <w:highlight w:val="none"/>
                <w:lang w:eastAsia="zh-CN"/>
              </w:rPr>
              <w:t>m</w:t>
            </w:r>
            <w:r>
              <w:rPr>
                <w:rFonts w:hint="eastAsia" w:hAnsi="宋体"/>
                <w:color w:val="auto"/>
                <w:sz w:val="21"/>
                <w:szCs w:val="21"/>
                <w:highlight w:val="none"/>
              </w:rPr>
              <w:t>g/L</w:t>
            </w:r>
          </w:p>
        </w:tc>
        <w:tc>
          <w:tcPr>
            <w:tcW w:w="1440" w:type="dxa"/>
            <w:vAlign w:val="center"/>
          </w:tcPr>
          <w:p>
            <w:pPr>
              <w:pStyle w:val="91"/>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Ansi="宋体"/>
                <w:color w:val="auto"/>
                <w:sz w:val="21"/>
                <w:szCs w:val="21"/>
                <w:highlight w:val="none"/>
              </w:rPr>
            </w:pPr>
            <w:r>
              <w:rPr>
                <w:rFonts w:hint="eastAsia" w:hAnsi="宋体"/>
                <w:color w:val="auto"/>
                <w:sz w:val="21"/>
                <w:szCs w:val="21"/>
                <w:highlight w:val="none"/>
              </w:rPr>
              <w:t>100</w:t>
            </w:r>
            <w:r>
              <w:rPr>
                <w:rFonts w:hint="eastAsia" w:hAnsi="宋体"/>
                <w:color w:val="auto"/>
                <w:sz w:val="21"/>
                <w:szCs w:val="21"/>
                <w:highlight w:val="none"/>
                <w:lang w:eastAsia="zh-CN"/>
              </w:rPr>
              <w:t>m</w:t>
            </w:r>
            <w:r>
              <w:rPr>
                <w:rFonts w:hint="eastAsia" w:hAnsi="宋体"/>
                <w:color w:val="auto"/>
                <w:sz w:val="21"/>
                <w:szCs w:val="21"/>
                <w:highlight w:val="none"/>
              </w:rPr>
              <w:t>g/L以上</w:t>
            </w:r>
          </w:p>
        </w:tc>
        <w:tc>
          <w:tcPr>
            <w:tcW w:w="1748" w:type="dxa"/>
            <w:vAlign w:val="center"/>
          </w:tcPr>
          <w:p>
            <w:pPr>
              <w:pStyle w:val="91"/>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Ansi="宋体"/>
                <w:color w:val="auto"/>
                <w:sz w:val="21"/>
                <w:szCs w:val="21"/>
                <w:highlight w:val="none"/>
              </w:rPr>
            </w:pPr>
            <w:r>
              <w:rPr>
                <w:rFonts w:hint="eastAsia" w:hAnsi="宋体"/>
                <w:color w:val="auto"/>
                <w:sz w:val="21"/>
                <w:szCs w:val="21"/>
                <w:highlight w:val="none"/>
              </w:rPr>
              <w:t>10</w:t>
            </w:r>
            <w:r>
              <w:rPr>
                <w:rFonts w:hint="eastAsia" w:hAnsi="宋体"/>
                <w:color w:val="auto"/>
                <w:sz w:val="21"/>
                <w:szCs w:val="21"/>
                <w:highlight w:val="none"/>
                <w:lang w:eastAsia="zh-CN"/>
              </w:rPr>
              <w:t>m</w:t>
            </w:r>
            <w:r>
              <w:rPr>
                <w:rFonts w:hint="eastAsia" w:hAnsi="宋体"/>
                <w:color w:val="auto"/>
                <w:sz w:val="21"/>
                <w:szCs w:val="21"/>
                <w:highlight w:val="none"/>
              </w:rPr>
              <w:t>g/L最远距离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1420" w:type="dxa"/>
            <w:vAlign w:val="center"/>
          </w:tcPr>
          <w:p>
            <w:pPr>
              <w:pStyle w:val="91"/>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Ansi="宋体"/>
                <w:color w:val="auto"/>
                <w:sz w:val="21"/>
                <w:szCs w:val="21"/>
                <w:highlight w:val="none"/>
              </w:rPr>
            </w:pPr>
            <w:r>
              <w:rPr>
                <w:rFonts w:hint="eastAsia" w:hAnsi="宋体"/>
                <w:color w:val="auto"/>
                <w:sz w:val="21"/>
                <w:szCs w:val="21"/>
                <w:highlight w:val="none"/>
              </w:rPr>
              <w:t>悬浮物面积</w:t>
            </w:r>
          </w:p>
        </w:tc>
        <w:tc>
          <w:tcPr>
            <w:tcW w:w="1229" w:type="dxa"/>
            <w:vAlign w:val="center"/>
          </w:tcPr>
          <w:p>
            <w:pPr>
              <w:pStyle w:val="91"/>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Ansi="宋体"/>
                <w:color w:val="auto"/>
                <w:sz w:val="21"/>
                <w:szCs w:val="21"/>
                <w:highlight w:val="none"/>
              </w:rPr>
            </w:pPr>
            <w:r>
              <w:rPr>
                <w:rFonts w:hint="eastAsia" w:hAnsi="宋体"/>
                <w:color w:val="auto"/>
                <w:sz w:val="21"/>
                <w:szCs w:val="21"/>
                <w:highlight w:val="none"/>
              </w:rPr>
              <w:t>0.24</w:t>
            </w:r>
          </w:p>
        </w:tc>
        <w:tc>
          <w:tcPr>
            <w:tcW w:w="1320" w:type="dxa"/>
            <w:vAlign w:val="center"/>
          </w:tcPr>
          <w:p>
            <w:pPr>
              <w:pStyle w:val="91"/>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Ansi="宋体"/>
                <w:color w:val="auto"/>
                <w:sz w:val="21"/>
                <w:szCs w:val="21"/>
                <w:highlight w:val="none"/>
              </w:rPr>
            </w:pPr>
            <w:r>
              <w:rPr>
                <w:rFonts w:hint="eastAsia" w:hAnsi="宋体"/>
                <w:color w:val="auto"/>
                <w:sz w:val="21"/>
                <w:szCs w:val="21"/>
                <w:highlight w:val="none"/>
              </w:rPr>
              <w:t>0.15</w:t>
            </w:r>
          </w:p>
        </w:tc>
        <w:tc>
          <w:tcPr>
            <w:tcW w:w="1365" w:type="dxa"/>
            <w:vAlign w:val="center"/>
          </w:tcPr>
          <w:p>
            <w:pPr>
              <w:pStyle w:val="91"/>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Ansi="宋体"/>
                <w:color w:val="auto"/>
                <w:sz w:val="21"/>
                <w:szCs w:val="21"/>
                <w:highlight w:val="none"/>
              </w:rPr>
            </w:pPr>
            <w:r>
              <w:rPr>
                <w:rFonts w:hint="eastAsia" w:hAnsi="宋体"/>
                <w:color w:val="auto"/>
                <w:sz w:val="21"/>
                <w:szCs w:val="21"/>
                <w:highlight w:val="none"/>
              </w:rPr>
              <w:t>0.08</w:t>
            </w:r>
          </w:p>
        </w:tc>
        <w:tc>
          <w:tcPr>
            <w:tcW w:w="1440" w:type="dxa"/>
            <w:vAlign w:val="center"/>
          </w:tcPr>
          <w:p>
            <w:pPr>
              <w:pStyle w:val="91"/>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Ansi="宋体"/>
                <w:color w:val="auto"/>
                <w:sz w:val="21"/>
                <w:szCs w:val="21"/>
                <w:highlight w:val="none"/>
              </w:rPr>
            </w:pPr>
            <w:r>
              <w:rPr>
                <w:rFonts w:hint="eastAsia" w:hAnsi="宋体"/>
                <w:color w:val="auto"/>
                <w:sz w:val="21"/>
                <w:szCs w:val="21"/>
                <w:highlight w:val="none"/>
              </w:rPr>
              <w:t>0.03</w:t>
            </w:r>
          </w:p>
        </w:tc>
        <w:tc>
          <w:tcPr>
            <w:tcW w:w="1748" w:type="dxa"/>
            <w:vAlign w:val="center"/>
          </w:tcPr>
          <w:p>
            <w:pPr>
              <w:pStyle w:val="91"/>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eastAsia" w:hAnsi="宋体" w:eastAsia="宋体"/>
                <w:color w:val="auto"/>
                <w:sz w:val="21"/>
                <w:szCs w:val="21"/>
                <w:highlight w:val="none"/>
                <w:lang w:eastAsia="zh-CN"/>
              </w:rPr>
            </w:pPr>
            <w:r>
              <w:rPr>
                <w:rFonts w:hint="eastAsia" w:hAnsi="宋体"/>
                <w:color w:val="auto"/>
                <w:sz w:val="21"/>
                <w:szCs w:val="21"/>
                <w:highlight w:val="none"/>
              </w:rPr>
              <w:t>790</w:t>
            </w:r>
            <w:r>
              <w:rPr>
                <w:rFonts w:hint="eastAsia" w:hAnsi="宋体"/>
                <w:color w:val="auto"/>
                <w:sz w:val="21"/>
                <w:szCs w:val="21"/>
                <w:highlight w:val="none"/>
                <w:lang w:eastAsia="zh-CN"/>
              </w:rPr>
              <w:t>m</w:t>
            </w:r>
          </w:p>
        </w:tc>
      </w:tr>
    </w:tbl>
    <w:p>
      <w:pPr>
        <w:spacing w:line="360" w:lineRule="auto"/>
        <w:ind w:firstLine="480" w:firstLineChars="200"/>
        <w:rPr>
          <w:color w:val="auto"/>
          <w:sz w:val="24"/>
          <w:highlight w:val="none"/>
        </w:rPr>
      </w:pPr>
      <w:r>
        <w:rPr>
          <w:rFonts w:hint="eastAsia" w:hAnsi="宋体"/>
          <w:color w:val="auto"/>
          <w:sz w:val="24"/>
          <w:highlight w:val="none"/>
        </w:rPr>
        <w:t>预测结果表明，</w:t>
      </w:r>
      <w:r>
        <w:rPr>
          <w:rFonts w:hAnsi="宋体"/>
          <w:color w:val="auto"/>
          <w:sz w:val="24"/>
          <w:highlight w:val="none"/>
        </w:rPr>
        <w:t>工程施工对水中悬浮物水质的影响主要集中在靠近</w:t>
      </w:r>
      <w:r>
        <w:rPr>
          <w:rFonts w:hint="eastAsia" w:hAnsi="宋体"/>
          <w:color w:val="auto"/>
          <w:sz w:val="24"/>
          <w:highlight w:val="none"/>
          <w:lang w:eastAsia="zh-CN"/>
        </w:rPr>
        <w:t>河</w:t>
      </w:r>
      <w:r>
        <w:rPr>
          <w:rFonts w:hint="eastAsia" w:hAnsi="宋体"/>
          <w:color w:val="auto"/>
          <w:sz w:val="24"/>
          <w:highlight w:val="none"/>
        </w:rPr>
        <w:t>岸</w:t>
      </w:r>
      <w:r>
        <w:rPr>
          <w:rFonts w:hAnsi="宋体"/>
          <w:color w:val="auto"/>
          <w:sz w:val="24"/>
          <w:highlight w:val="none"/>
        </w:rPr>
        <w:t>的狭长区域，离</w:t>
      </w:r>
      <w:r>
        <w:rPr>
          <w:rFonts w:hint="eastAsia" w:hAnsi="宋体"/>
          <w:color w:val="auto"/>
          <w:sz w:val="24"/>
          <w:highlight w:val="none"/>
          <w:lang w:eastAsia="zh-CN"/>
        </w:rPr>
        <w:t>河</w:t>
      </w:r>
      <w:r>
        <w:rPr>
          <w:rFonts w:hint="eastAsia" w:hAnsi="宋体"/>
          <w:color w:val="auto"/>
          <w:sz w:val="24"/>
          <w:highlight w:val="none"/>
        </w:rPr>
        <w:t>岸</w:t>
      </w:r>
      <w:r>
        <w:rPr>
          <w:rFonts w:hAnsi="宋体"/>
          <w:color w:val="auto"/>
          <w:sz w:val="24"/>
          <w:highlight w:val="none"/>
        </w:rPr>
        <w:t>越远则水中悬浮物浓度增量因泥沙沉降而迅速减小。工程产生的悬浮物浓度增量</w:t>
      </w:r>
      <w:r>
        <w:rPr>
          <w:color w:val="auto"/>
          <w:sz w:val="24"/>
          <w:highlight w:val="none"/>
        </w:rPr>
        <w:t>10~50</w:t>
      </w:r>
      <w:r>
        <w:rPr>
          <w:rFonts w:hint="eastAsia"/>
          <w:bCs/>
          <w:color w:val="auto"/>
          <w:sz w:val="24"/>
          <w:highlight w:val="none"/>
          <w:lang w:eastAsia="zh-CN"/>
        </w:rPr>
        <w:t>m</w:t>
      </w:r>
      <w:r>
        <w:rPr>
          <w:bCs/>
          <w:color w:val="auto"/>
          <w:sz w:val="24"/>
          <w:highlight w:val="none"/>
        </w:rPr>
        <w:t>g</w:t>
      </w:r>
      <w:r>
        <w:rPr>
          <w:color w:val="auto"/>
          <w:sz w:val="24"/>
          <w:highlight w:val="none"/>
        </w:rPr>
        <w:t>/</w:t>
      </w:r>
      <w:r>
        <w:rPr>
          <w:bCs/>
          <w:color w:val="auto"/>
          <w:sz w:val="24"/>
          <w:highlight w:val="none"/>
        </w:rPr>
        <w:t>L</w:t>
      </w:r>
      <w:r>
        <w:rPr>
          <w:rFonts w:hAnsi="宋体"/>
          <w:bCs/>
          <w:color w:val="auto"/>
          <w:sz w:val="24"/>
          <w:highlight w:val="none"/>
        </w:rPr>
        <w:t>的最大可能影响面积为</w:t>
      </w:r>
      <w:r>
        <w:rPr>
          <w:rFonts w:hint="eastAsia"/>
          <w:bCs/>
          <w:color w:val="auto"/>
          <w:sz w:val="24"/>
          <w:highlight w:val="none"/>
        </w:rPr>
        <w:t>0.39</w:t>
      </w:r>
      <w:r>
        <w:rPr>
          <w:rFonts w:hint="eastAsia"/>
          <w:bCs/>
          <w:color w:val="auto"/>
          <w:sz w:val="24"/>
          <w:highlight w:val="none"/>
          <w:vertAlign w:val="baseline"/>
          <w:lang w:eastAsia="zh-CN"/>
        </w:rPr>
        <w:t>km</w:t>
      </w:r>
      <w:r>
        <w:rPr>
          <w:rFonts w:hint="eastAsia"/>
          <w:bCs/>
          <w:color w:val="auto"/>
          <w:sz w:val="24"/>
          <w:highlight w:val="none"/>
          <w:vertAlign w:val="superscript"/>
          <w:lang w:eastAsia="zh-CN"/>
        </w:rPr>
        <w:t>2</w:t>
      </w:r>
      <w:r>
        <w:rPr>
          <w:rFonts w:hAnsi="宋体"/>
          <w:color w:val="auto"/>
          <w:sz w:val="24"/>
          <w:highlight w:val="none"/>
        </w:rPr>
        <w:t>，增量</w:t>
      </w:r>
      <w:r>
        <w:rPr>
          <w:color w:val="auto"/>
          <w:sz w:val="24"/>
          <w:highlight w:val="none"/>
        </w:rPr>
        <w:t>50~100</w:t>
      </w:r>
      <w:r>
        <w:rPr>
          <w:rFonts w:hint="eastAsia"/>
          <w:bCs/>
          <w:color w:val="auto"/>
          <w:sz w:val="24"/>
          <w:highlight w:val="none"/>
          <w:lang w:eastAsia="zh-CN"/>
        </w:rPr>
        <w:t>m</w:t>
      </w:r>
      <w:r>
        <w:rPr>
          <w:bCs/>
          <w:color w:val="auto"/>
          <w:sz w:val="24"/>
          <w:highlight w:val="none"/>
        </w:rPr>
        <w:t>g</w:t>
      </w:r>
      <w:r>
        <w:rPr>
          <w:color w:val="auto"/>
          <w:sz w:val="24"/>
          <w:highlight w:val="none"/>
        </w:rPr>
        <w:t>/</w:t>
      </w:r>
      <w:r>
        <w:rPr>
          <w:bCs/>
          <w:color w:val="auto"/>
          <w:sz w:val="24"/>
          <w:highlight w:val="none"/>
        </w:rPr>
        <w:t>L</w:t>
      </w:r>
      <w:r>
        <w:rPr>
          <w:rFonts w:hAnsi="宋体"/>
          <w:bCs/>
          <w:color w:val="auto"/>
          <w:sz w:val="24"/>
          <w:highlight w:val="none"/>
        </w:rPr>
        <w:t>的最大可能影响面积为</w:t>
      </w:r>
      <w:r>
        <w:rPr>
          <w:rFonts w:hint="eastAsia"/>
          <w:bCs/>
          <w:color w:val="auto"/>
          <w:sz w:val="24"/>
          <w:highlight w:val="none"/>
        </w:rPr>
        <w:t>0.08</w:t>
      </w:r>
      <w:r>
        <w:rPr>
          <w:rFonts w:hint="eastAsia"/>
          <w:bCs/>
          <w:color w:val="auto"/>
          <w:sz w:val="24"/>
          <w:highlight w:val="none"/>
          <w:vertAlign w:val="baseline"/>
          <w:lang w:eastAsia="zh-CN"/>
        </w:rPr>
        <w:t>km</w:t>
      </w:r>
      <w:r>
        <w:rPr>
          <w:rFonts w:hint="eastAsia"/>
          <w:bCs/>
          <w:color w:val="auto"/>
          <w:sz w:val="24"/>
          <w:highlight w:val="none"/>
          <w:vertAlign w:val="superscript"/>
          <w:lang w:eastAsia="zh-CN"/>
        </w:rPr>
        <w:t>2</w:t>
      </w:r>
      <w:r>
        <w:rPr>
          <w:rFonts w:hint="eastAsia" w:hAnsi="宋体"/>
          <w:bCs/>
          <w:color w:val="auto"/>
          <w:sz w:val="24"/>
          <w:highlight w:val="none"/>
        </w:rPr>
        <w:t>，</w:t>
      </w:r>
      <w:r>
        <w:rPr>
          <w:rFonts w:hAnsi="宋体"/>
          <w:color w:val="auto"/>
          <w:sz w:val="24"/>
          <w:highlight w:val="none"/>
        </w:rPr>
        <w:t>增量</w:t>
      </w:r>
      <w:r>
        <w:rPr>
          <w:color w:val="auto"/>
          <w:sz w:val="24"/>
          <w:highlight w:val="none"/>
        </w:rPr>
        <w:t>100</w:t>
      </w:r>
      <w:r>
        <w:rPr>
          <w:rFonts w:hint="eastAsia"/>
          <w:bCs/>
          <w:color w:val="auto"/>
          <w:sz w:val="24"/>
          <w:highlight w:val="none"/>
          <w:lang w:eastAsia="zh-CN"/>
        </w:rPr>
        <w:t>m</w:t>
      </w:r>
      <w:r>
        <w:rPr>
          <w:bCs/>
          <w:color w:val="auto"/>
          <w:sz w:val="24"/>
          <w:highlight w:val="none"/>
        </w:rPr>
        <w:t>g</w:t>
      </w:r>
      <w:r>
        <w:rPr>
          <w:color w:val="auto"/>
          <w:sz w:val="24"/>
          <w:highlight w:val="none"/>
        </w:rPr>
        <w:t>/</w:t>
      </w:r>
      <w:r>
        <w:rPr>
          <w:bCs/>
          <w:color w:val="auto"/>
          <w:sz w:val="24"/>
          <w:highlight w:val="none"/>
        </w:rPr>
        <w:t>L</w:t>
      </w:r>
      <w:r>
        <w:rPr>
          <w:rFonts w:hint="eastAsia"/>
          <w:bCs/>
          <w:color w:val="auto"/>
          <w:sz w:val="24"/>
          <w:highlight w:val="none"/>
        </w:rPr>
        <w:t>以上</w:t>
      </w:r>
      <w:r>
        <w:rPr>
          <w:rFonts w:hAnsi="宋体"/>
          <w:bCs/>
          <w:color w:val="auto"/>
          <w:sz w:val="24"/>
          <w:highlight w:val="none"/>
        </w:rPr>
        <w:t>的最大可能影响面积为</w:t>
      </w:r>
      <w:r>
        <w:rPr>
          <w:bCs/>
          <w:color w:val="auto"/>
          <w:sz w:val="24"/>
          <w:highlight w:val="none"/>
        </w:rPr>
        <w:t>0.</w:t>
      </w:r>
      <w:r>
        <w:rPr>
          <w:rFonts w:hint="eastAsia"/>
          <w:bCs/>
          <w:color w:val="auto"/>
          <w:sz w:val="24"/>
          <w:highlight w:val="none"/>
        </w:rPr>
        <w:t>0</w:t>
      </w:r>
      <w:r>
        <w:rPr>
          <w:bCs/>
          <w:color w:val="auto"/>
          <w:sz w:val="24"/>
          <w:highlight w:val="none"/>
        </w:rPr>
        <w:t>3</w:t>
      </w:r>
      <w:r>
        <w:rPr>
          <w:rFonts w:hint="eastAsia"/>
          <w:bCs/>
          <w:color w:val="auto"/>
          <w:sz w:val="24"/>
          <w:highlight w:val="none"/>
          <w:vertAlign w:val="baseline"/>
          <w:lang w:eastAsia="zh-CN"/>
        </w:rPr>
        <w:t>km</w:t>
      </w:r>
      <w:r>
        <w:rPr>
          <w:rFonts w:hint="eastAsia"/>
          <w:bCs/>
          <w:color w:val="auto"/>
          <w:sz w:val="24"/>
          <w:highlight w:val="none"/>
          <w:vertAlign w:val="superscript"/>
          <w:lang w:eastAsia="zh-CN"/>
        </w:rPr>
        <w:t>2</w:t>
      </w:r>
      <w:r>
        <w:rPr>
          <w:rFonts w:hAnsi="宋体"/>
          <w:bCs/>
          <w:color w:val="auto"/>
          <w:sz w:val="24"/>
          <w:highlight w:val="none"/>
        </w:rPr>
        <w:t>。浓度增量大于</w:t>
      </w:r>
      <w:r>
        <w:rPr>
          <w:bCs/>
          <w:color w:val="auto"/>
          <w:sz w:val="24"/>
          <w:highlight w:val="none"/>
        </w:rPr>
        <w:t>10</w:t>
      </w:r>
      <w:r>
        <w:rPr>
          <w:rFonts w:hint="eastAsia"/>
          <w:bCs/>
          <w:color w:val="auto"/>
          <w:sz w:val="24"/>
          <w:highlight w:val="none"/>
          <w:lang w:eastAsia="zh-CN"/>
        </w:rPr>
        <w:t>m</w:t>
      </w:r>
      <w:r>
        <w:rPr>
          <w:bCs/>
          <w:color w:val="auto"/>
          <w:sz w:val="24"/>
          <w:highlight w:val="none"/>
        </w:rPr>
        <w:t>g</w:t>
      </w:r>
      <w:r>
        <w:rPr>
          <w:color w:val="auto"/>
          <w:sz w:val="24"/>
          <w:highlight w:val="none"/>
        </w:rPr>
        <w:t>/</w:t>
      </w:r>
      <w:r>
        <w:rPr>
          <w:bCs/>
          <w:color w:val="auto"/>
          <w:sz w:val="24"/>
          <w:highlight w:val="none"/>
        </w:rPr>
        <w:t>L</w:t>
      </w:r>
      <w:r>
        <w:rPr>
          <w:rFonts w:hAnsi="宋体"/>
          <w:bCs/>
          <w:color w:val="auto"/>
          <w:sz w:val="24"/>
          <w:highlight w:val="none"/>
        </w:rPr>
        <w:t>的影响范围基本在距</w:t>
      </w:r>
      <w:r>
        <w:rPr>
          <w:rFonts w:hint="eastAsia" w:hAnsi="宋体"/>
          <w:bCs/>
          <w:color w:val="auto"/>
          <w:sz w:val="24"/>
          <w:highlight w:val="none"/>
        </w:rPr>
        <w:t>项目区域</w:t>
      </w:r>
      <w:r>
        <w:rPr>
          <w:rFonts w:hint="eastAsia"/>
          <w:bCs/>
          <w:color w:val="auto"/>
          <w:sz w:val="24"/>
          <w:highlight w:val="none"/>
        </w:rPr>
        <w:t>790</w:t>
      </w:r>
      <w:r>
        <w:rPr>
          <w:rFonts w:hint="eastAsia"/>
          <w:bCs/>
          <w:color w:val="auto"/>
          <w:sz w:val="24"/>
          <w:highlight w:val="none"/>
          <w:lang w:eastAsia="zh-CN"/>
        </w:rPr>
        <w:t>m</w:t>
      </w:r>
      <w:r>
        <w:rPr>
          <w:rFonts w:hAnsi="宋体"/>
          <w:bCs/>
          <w:color w:val="auto"/>
          <w:sz w:val="24"/>
          <w:highlight w:val="none"/>
        </w:rPr>
        <w:t>以内。通过绘制工程悬浮物</w:t>
      </w:r>
      <w:r>
        <w:rPr>
          <w:rFonts w:hint="eastAsia" w:hAnsi="宋体"/>
          <w:bCs/>
          <w:color w:val="auto"/>
          <w:sz w:val="24"/>
          <w:highlight w:val="none"/>
        </w:rPr>
        <w:t>包络</w:t>
      </w:r>
      <w:r>
        <w:rPr>
          <w:rFonts w:hAnsi="宋体"/>
          <w:bCs/>
          <w:color w:val="auto"/>
          <w:sz w:val="24"/>
          <w:highlight w:val="none"/>
        </w:rPr>
        <w:t>图，可以看出工程产生的浓度增量大于</w:t>
      </w:r>
      <w:r>
        <w:rPr>
          <w:bCs/>
          <w:color w:val="auto"/>
          <w:sz w:val="24"/>
          <w:highlight w:val="none"/>
        </w:rPr>
        <w:t>10</w:t>
      </w:r>
      <w:r>
        <w:rPr>
          <w:rFonts w:hint="eastAsia"/>
          <w:bCs/>
          <w:color w:val="auto"/>
          <w:sz w:val="24"/>
          <w:highlight w:val="none"/>
          <w:lang w:eastAsia="zh-CN"/>
        </w:rPr>
        <w:t>m</w:t>
      </w:r>
      <w:r>
        <w:rPr>
          <w:bCs/>
          <w:color w:val="auto"/>
          <w:sz w:val="24"/>
          <w:highlight w:val="none"/>
        </w:rPr>
        <w:t>g/L</w:t>
      </w:r>
      <w:r>
        <w:rPr>
          <w:rFonts w:hAnsi="宋体"/>
          <w:bCs/>
          <w:color w:val="auto"/>
          <w:sz w:val="24"/>
          <w:highlight w:val="none"/>
        </w:rPr>
        <w:t>的悬浮泥沙对工程附近</w:t>
      </w:r>
      <w:r>
        <w:rPr>
          <w:rFonts w:hint="eastAsia" w:hAnsi="宋体"/>
          <w:bCs/>
          <w:color w:val="auto"/>
          <w:sz w:val="24"/>
          <w:highlight w:val="none"/>
        </w:rPr>
        <w:t>区域</w:t>
      </w:r>
      <w:r>
        <w:rPr>
          <w:rFonts w:hAnsi="宋体"/>
          <w:bCs/>
          <w:color w:val="auto"/>
          <w:sz w:val="24"/>
          <w:highlight w:val="none"/>
        </w:rPr>
        <w:t>有一定的影响，但随着施工的完成，这种影响也将随之消失</w:t>
      </w:r>
      <w:r>
        <w:rPr>
          <w:rFonts w:hint="eastAsia"/>
          <w:bCs/>
          <w:color w:val="auto"/>
          <w:sz w:val="24"/>
          <w:highlight w:val="none"/>
        </w:rPr>
        <w:t>。</w:t>
      </w:r>
    </w:p>
    <w:p>
      <w:pPr>
        <w:spacing w:line="360" w:lineRule="auto"/>
        <w:ind w:firstLine="482" w:firstLineChars="200"/>
        <w:rPr>
          <w:b/>
          <w:sz w:val="24"/>
        </w:rPr>
      </w:pPr>
      <w:r>
        <w:rPr>
          <w:rFonts w:hint="eastAsia"/>
          <w:b/>
          <w:sz w:val="24"/>
        </w:rPr>
        <w:t>（4）沉积物环境影响分析</w:t>
      </w:r>
    </w:p>
    <w:p>
      <w:pPr>
        <w:spacing w:line="360" w:lineRule="auto"/>
        <w:ind w:firstLine="480" w:firstLineChars="200"/>
        <w:rPr>
          <w:rFonts w:ascii="宋体" w:hAnsi="宋体"/>
          <w:sz w:val="24"/>
        </w:rPr>
      </w:pPr>
      <w:r>
        <w:rPr>
          <w:rFonts w:hint="eastAsia" w:ascii="宋体" w:hAnsi="宋体"/>
          <w:sz w:val="24"/>
        </w:rPr>
        <w:t>项目的</w:t>
      </w:r>
      <w:r>
        <w:rPr>
          <w:rFonts w:ascii="宋体" w:hAnsi="宋体"/>
          <w:sz w:val="24"/>
        </w:rPr>
        <w:t>实施对沉积物影响主要表现为施工期</w:t>
      </w:r>
      <w:r>
        <w:rPr>
          <w:rFonts w:hint="eastAsia" w:ascii="宋体" w:hAnsi="宋体"/>
          <w:sz w:val="24"/>
        </w:rPr>
        <w:t>石块携带泥沙入水沉降、抛石引起</w:t>
      </w:r>
      <w:r>
        <w:rPr>
          <w:rFonts w:ascii="宋体" w:hAnsi="宋体"/>
          <w:sz w:val="24"/>
        </w:rPr>
        <w:t>的悬浮物扩散和沉降的影响。</w:t>
      </w:r>
    </w:p>
    <w:p>
      <w:pPr>
        <w:spacing w:line="360" w:lineRule="auto"/>
        <w:ind w:firstLine="480" w:firstLineChars="200"/>
        <w:rPr>
          <w:rFonts w:ascii="宋体" w:hAnsi="宋体"/>
          <w:sz w:val="24"/>
        </w:rPr>
      </w:pPr>
      <w:r>
        <w:rPr>
          <w:rFonts w:hint="eastAsia" w:ascii="宋体" w:hAnsi="宋体"/>
          <w:sz w:val="24"/>
        </w:rPr>
        <w:t>根据本工程实施过程中拟采用打桩进行施工，极少量的石料入水不会对水域沉积物环境产生影响。另外，</w:t>
      </w:r>
      <w:r>
        <w:rPr>
          <w:rFonts w:ascii="宋体" w:hAnsi="宋体"/>
          <w:sz w:val="24"/>
        </w:rPr>
        <w:t>施工</w:t>
      </w:r>
      <w:r>
        <w:rPr>
          <w:rFonts w:hint="eastAsia" w:ascii="宋体" w:hAnsi="宋体"/>
          <w:sz w:val="24"/>
        </w:rPr>
        <w:t>扰动引起</w:t>
      </w:r>
      <w:r>
        <w:rPr>
          <w:rFonts w:ascii="宋体" w:hAnsi="宋体"/>
          <w:sz w:val="24"/>
        </w:rPr>
        <w:t>悬浮泥沙进入水体，其中颗粒较大的悬浮泥沙会直接沉降在</w:t>
      </w:r>
      <w:r>
        <w:rPr>
          <w:rFonts w:hint="eastAsia" w:ascii="宋体" w:hAnsi="宋体"/>
          <w:sz w:val="24"/>
        </w:rPr>
        <w:t>工程</w:t>
      </w:r>
      <w:r>
        <w:rPr>
          <w:rFonts w:ascii="宋体" w:hAnsi="宋体"/>
          <w:sz w:val="24"/>
        </w:rPr>
        <w:t>区周围</w:t>
      </w:r>
      <w:r>
        <w:rPr>
          <w:rFonts w:hint="eastAsia" w:ascii="宋体" w:hAnsi="宋体"/>
          <w:sz w:val="24"/>
        </w:rPr>
        <w:t>水</w:t>
      </w:r>
      <w:r>
        <w:rPr>
          <w:rFonts w:ascii="宋体" w:hAnsi="宋体"/>
          <w:sz w:val="24"/>
        </w:rPr>
        <w:t>域内，形成新的表层沉积物环境，颗粒较小的悬浮泥沙会随</w:t>
      </w:r>
      <w:r>
        <w:rPr>
          <w:rFonts w:hint="eastAsia" w:ascii="宋体" w:hAnsi="宋体"/>
          <w:sz w:val="24"/>
        </w:rPr>
        <w:t>水</w:t>
      </w:r>
      <w:r>
        <w:rPr>
          <w:rFonts w:ascii="宋体" w:hAnsi="宋体"/>
          <w:sz w:val="24"/>
        </w:rPr>
        <w:t>流漂移扩散，并最终沉积在</w:t>
      </w:r>
      <w:r>
        <w:rPr>
          <w:rFonts w:hint="eastAsia" w:ascii="宋体" w:hAnsi="宋体"/>
          <w:sz w:val="24"/>
        </w:rPr>
        <w:t>工程</w:t>
      </w:r>
      <w:r>
        <w:rPr>
          <w:rFonts w:ascii="宋体" w:hAnsi="宋体"/>
          <w:sz w:val="24"/>
        </w:rPr>
        <w:t>区周围的</w:t>
      </w:r>
      <w:r>
        <w:rPr>
          <w:rFonts w:hint="eastAsia" w:ascii="宋体" w:hAnsi="宋体"/>
          <w:sz w:val="24"/>
        </w:rPr>
        <w:t>水</w:t>
      </w:r>
      <w:r>
        <w:rPr>
          <w:rFonts w:ascii="宋体" w:hAnsi="宋体"/>
          <w:sz w:val="24"/>
        </w:rPr>
        <w:t>底，将原有的表层沉积物覆盖，引起局部</w:t>
      </w:r>
      <w:r>
        <w:rPr>
          <w:rFonts w:hint="eastAsia" w:ascii="宋体" w:hAnsi="宋体"/>
          <w:sz w:val="24"/>
        </w:rPr>
        <w:t>水</w:t>
      </w:r>
      <w:r>
        <w:rPr>
          <w:rFonts w:ascii="宋体" w:hAnsi="宋体"/>
          <w:sz w:val="24"/>
        </w:rPr>
        <w:t>域表层沉积物环境的变化。由于施工期间产生的悬浮泥沙来源于附近</w:t>
      </w:r>
      <w:r>
        <w:rPr>
          <w:rFonts w:hint="eastAsia" w:ascii="宋体" w:hAnsi="宋体"/>
          <w:sz w:val="24"/>
        </w:rPr>
        <w:t>水</w:t>
      </w:r>
      <w:r>
        <w:rPr>
          <w:rFonts w:ascii="宋体" w:hAnsi="宋体"/>
          <w:sz w:val="24"/>
        </w:rPr>
        <w:t>域表层沉积物，一般情况下这种对沉积物的改变大多是物理性质的改变，对沉积物的化学性质的改变不大，对</w:t>
      </w:r>
      <w:r>
        <w:rPr>
          <w:rFonts w:hint="eastAsia" w:ascii="宋体" w:hAnsi="宋体"/>
          <w:sz w:val="24"/>
        </w:rPr>
        <w:t>工程</w:t>
      </w:r>
      <w:r>
        <w:rPr>
          <w:rFonts w:ascii="宋体" w:hAnsi="宋体"/>
          <w:sz w:val="24"/>
        </w:rPr>
        <w:t>区既有的沉积物环境产生的影响甚微，不会引起</w:t>
      </w:r>
      <w:r>
        <w:rPr>
          <w:rFonts w:hint="eastAsia" w:ascii="宋体" w:hAnsi="宋体"/>
          <w:sz w:val="24"/>
        </w:rPr>
        <w:t>水</w:t>
      </w:r>
      <w:r>
        <w:rPr>
          <w:rFonts w:ascii="宋体" w:hAnsi="宋体"/>
          <w:sz w:val="24"/>
        </w:rPr>
        <w:t>域总体沉降环境质量的变化。</w:t>
      </w:r>
    </w:p>
    <w:p>
      <w:pPr>
        <w:spacing w:line="360" w:lineRule="auto"/>
        <w:ind w:firstLine="480" w:firstLineChars="200"/>
        <w:rPr>
          <w:rFonts w:hint="default" w:eastAsia="宋体"/>
          <w:lang w:val="en-US" w:eastAsia="zh-CN"/>
        </w:rPr>
      </w:pPr>
      <w:r>
        <w:rPr>
          <w:rFonts w:hint="eastAsia" w:ascii="宋体" w:hAnsi="宋体"/>
          <w:sz w:val="24"/>
        </w:rPr>
        <w:t>综合可见，本工程建设基本不会引起水域沉积物环境的变化。</w:t>
      </w:r>
    </w:p>
    <w:p>
      <w:pPr>
        <w:pStyle w:val="4"/>
        <w:spacing w:before="156" w:after="156"/>
        <w:rPr>
          <w:color w:val="auto"/>
          <w:shd w:val="clear" w:color="auto" w:fill="auto"/>
        </w:rPr>
      </w:pPr>
      <w:bookmarkStart w:id="296" w:name="_Toc19552_WPSOffice_Level2"/>
      <w:bookmarkStart w:id="297" w:name="_Toc24415_WPSOffice_Level2"/>
      <w:bookmarkStart w:id="298" w:name="_Toc1927"/>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 xml:space="preserve"> 施工期环境影响分析</w:t>
      </w:r>
      <w:bookmarkEnd w:id="296"/>
      <w:bookmarkEnd w:id="297"/>
      <w:bookmarkEnd w:id="298"/>
    </w:p>
    <w:p>
      <w:pPr>
        <w:pStyle w:val="5"/>
        <w:rPr>
          <w:color w:val="auto"/>
          <w:shd w:val="clear" w:color="auto" w:fill="auto"/>
        </w:rPr>
      </w:pP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 xml:space="preserve">.1 </w:t>
      </w:r>
      <w:r>
        <w:rPr>
          <w:color w:val="auto"/>
          <w:shd w:val="clear" w:color="auto" w:fill="auto"/>
        </w:rPr>
        <w:t>施工期</w:t>
      </w:r>
      <w:r>
        <w:rPr>
          <w:rFonts w:hint="eastAsia"/>
          <w:color w:val="auto"/>
          <w:shd w:val="clear" w:color="auto" w:fill="auto"/>
        </w:rPr>
        <w:t>大气环境</w:t>
      </w:r>
      <w:r>
        <w:rPr>
          <w:color w:val="auto"/>
          <w:shd w:val="clear" w:color="auto" w:fill="auto"/>
        </w:rPr>
        <w:t>影响分析</w:t>
      </w:r>
    </w:p>
    <w:p>
      <w:pPr>
        <w:ind w:firstLine="480"/>
        <w:rPr>
          <w:color w:val="auto"/>
          <w:shd w:val="clear" w:color="auto" w:fill="auto"/>
        </w:rPr>
      </w:pPr>
      <w:r>
        <w:rPr>
          <w:rFonts w:hint="eastAsia"/>
          <w:color w:val="auto"/>
          <w:shd w:val="clear" w:color="auto" w:fill="auto"/>
        </w:rPr>
        <w:t>（1）施工扬尘对大气环境的影响</w:t>
      </w:r>
    </w:p>
    <w:p>
      <w:pPr>
        <w:ind w:firstLine="480"/>
        <w:rPr>
          <w:color w:val="auto"/>
          <w:shd w:val="clear" w:color="auto" w:fill="auto"/>
        </w:rPr>
      </w:pPr>
      <w:r>
        <w:rPr>
          <w:color w:val="auto"/>
          <w:shd w:val="clear" w:color="auto" w:fill="auto"/>
        </w:rPr>
        <w:t>施工过程扬尘主要有地面表层破坏裸露随风刮起的尘土；汽车运输产生的道路扬尘和装卸造成的扬尘等。因此，施工期施工活动将造成局部的大气环境中粉尘浓度增加，尤其是久旱无雨季节，风力较大时施工现场表层浮土扬起。根据计算，不同气象稳定度下的汽车运行产生的扬尘地面浓度分布见表</w:t>
      </w: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-1</w:t>
      </w:r>
      <w:r>
        <w:rPr>
          <w:color w:val="auto"/>
          <w:shd w:val="clear" w:color="auto" w:fill="auto"/>
        </w:rPr>
        <w:t>。</w:t>
      </w:r>
    </w:p>
    <w:p>
      <w:pPr>
        <w:pStyle w:val="43"/>
        <w:rPr>
          <w:rFonts w:hint="default" w:ascii="Times New Roman" w:hAnsi="Times New Roman" w:eastAsia="黑体" w:cs="Times New Roman"/>
          <w:color w:val="auto"/>
          <w:kern w:val="0"/>
          <w:sz w:val="21"/>
          <w:szCs w:val="21"/>
          <w:shd w:val="clear" w:color="auto" w:fill="auto"/>
          <w:lang w:val="en-US" w:eastAsia="zh-CN" w:bidi="ar-SA"/>
        </w:rPr>
      </w:pPr>
      <w:r>
        <w:rPr>
          <w:rFonts w:hint="default" w:ascii="Times New Roman" w:hAnsi="Times New Roman" w:eastAsia="黑体" w:cs="Times New Roman"/>
          <w:color w:val="auto"/>
          <w:kern w:val="0"/>
          <w:sz w:val="21"/>
          <w:szCs w:val="21"/>
          <w:shd w:val="clear" w:color="auto" w:fill="auto"/>
          <w:lang w:val="en-US" w:eastAsia="zh-CN" w:bidi="ar-SA"/>
        </w:rPr>
        <w:t>表</w:t>
      </w:r>
      <w:r>
        <w:rPr>
          <w:rFonts w:hint="eastAsia" w:ascii="Times New Roman" w:hAnsi="Times New Roman" w:eastAsia="黑体" w:cs="Times New Roman"/>
          <w:color w:val="auto"/>
          <w:kern w:val="0"/>
          <w:sz w:val="21"/>
          <w:szCs w:val="21"/>
          <w:shd w:val="clear" w:color="auto" w:fill="auto"/>
          <w:lang w:val="en-US" w:eastAsia="zh-CN" w:bidi="ar-SA"/>
        </w:rPr>
        <w:t xml:space="preserve">4.2-1  </w:t>
      </w:r>
      <w:r>
        <w:rPr>
          <w:rFonts w:hint="default" w:ascii="Times New Roman" w:hAnsi="Times New Roman" w:eastAsia="黑体" w:cs="Times New Roman"/>
          <w:color w:val="auto"/>
          <w:kern w:val="0"/>
          <w:sz w:val="21"/>
          <w:szCs w:val="21"/>
          <w:shd w:val="clear" w:color="auto" w:fill="auto"/>
          <w:lang w:val="en-US" w:eastAsia="zh-CN" w:bidi="ar-SA"/>
        </w:rPr>
        <w:t>汽车运行时地面扬尘</w:t>
      </w:r>
      <w:r>
        <w:rPr>
          <w:rFonts w:hint="eastAsia" w:ascii="Times New Roman" w:hAnsi="Times New Roman" w:eastAsia="黑体" w:cs="Times New Roman"/>
          <w:color w:val="auto"/>
          <w:kern w:val="0"/>
          <w:sz w:val="21"/>
          <w:szCs w:val="21"/>
          <w:shd w:val="clear" w:color="auto" w:fill="auto"/>
          <w:lang w:val="en-US" w:eastAsia="zh-CN" w:bidi="ar-SA"/>
        </w:rPr>
        <w:t>（TSP）</w:t>
      </w:r>
      <w:r>
        <w:rPr>
          <w:rFonts w:hint="default" w:ascii="Times New Roman" w:hAnsi="Times New Roman" w:eastAsia="黑体" w:cs="Times New Roman"/>
          <w:color w:val="auto"/>
          <w:kern w:val="0"/>
          <w:sz w:val="21"/>
          <w:szCs w:val="21"/>
          <w:shd w:val="clear" w:color="auto" w:fill="auto"/>
          <w:lang w:val="en-US" w:eastAsia="zh-CN" w:bidi="ar-SA"/>
        </w:rPr>
        <w:t>浓度分布</w:t>
      </w:r>
    </w:p>
    <w:tbl>
      <w:tblPr>
        <w:tblStyle w:val="26"/>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8"/>
        <w:gridCol w:w="1860"/>
        <w:gridCol w:w="1860"/>
        <w:gridCol w:w="1860"/>
        <w:gridCol w:w="18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78" w:type="dxa"/>
            <w:vMerge w:val="restart"/>
            <w:tcBorders>
              <w:tl2br w:val="nil"/>
              <w:tr2bl w:val="nil"/>
            </w:tcBorders>
            <w:vAlign w:val="center"/>
          </w:tcPr>
          <w:p>
            <w:pPr>
              <w:pStyle w:val="44"/>
              <w:rPr>
                <w:color w:val="auto"/>
                <w:shd w:val="clear" w:color="auto" w:fill="auto"/>
              </w:rPr>
            </w:pPr>
            <w:r>
              <w:rPr>
                <w:color w:val="auto"/>
                <w:shd w:val="clear" w:color="auto" w:fill="auto"/>
              </w:rPr>
              <w:t>距离（</w:t>
            </w:r>
            <w:r>
              <w:rPr>
                <w:rFonts w:hint="eastAsia"/>
                <w:color w:val="auto"/>
                <w:shd w:val="clear" w:color="auto" w:fill="auto"/>
                <w:lang w:eastAsia="zh-CN"/>
              </w:rPr>
              <w:t>m</w:t>
            </w:r>
            <w:r>
              <w:rPr>
                <w:color w:val="auto"/>
                <w:shd w:val="clear" w:color="auto" w:fill="auto"/>
              </w:rPr>
              <w:t>）</w:t>
            </w:r>
          </w:p>
        </w:tc>
        <w:tc>
          <w:tcPr>
            <w:tcW w:w="7444" w:type="dxa"/>
            <w:gridSpan w:val="4"/>
            <w:tcBorders>
              <w:tl2br w:val="nil"/>
              <w:tr2bl w:val="nil"/>
            </w:tcBorders>
            <w:vAlign w:val="center"/>
          </w:tcPr>
          <w:p>
            <w:pPr>
              <w:pStyle w:val="44"/>
              <w:rPr>
                <w:color w:val="auto"/>
                <w:shd w:val="clear" w:color="auto" w:fill="auto"/>
              </w:rPr>
            </w:pPr>
            <w:r>
              <w:rPr>
                <w:color w:val="auto"/>
                <w:shd w:val="clear" w:color="auto" w:fill="auto"/>
              </w:rPr>
              <w:t>扬尘</w:t>
            </w:r>
            <w:r>
              <w:rPr>
                <w:rFonts w:hint="eastAsia"/>
                <w:color w:val="auto"/>
                <w:shd w:val="clear" w:color="auto" w:fill="auto"/>
              </w:rPr>
              <w:t>（TSP）</w:t>
            </w:r>
            <w:r>
              <w:rPr>
                <w:color w:val="auto"/>
                <w:shd w:val="clear" w:color="auto" w:fill="auto"/>
              </w:rPr>
              <w:t>地面浓度（</w:t>
            </w:r>
            <w:r>
              <w:rPr>
                <w:rFonts w:hint="eastAsia"/>
                <w:color w:val="auto"/>
                <w:shd w:val="clear" w:color="auto" w:fill="auto"/>
                <w:lang w:eastAsia="zh-CN"/>
              </w:rPr>
              <w:t>m</w:t>
            </w:r>
            <w:r>
              <w:rPr>
                <w:color w:val="auto"/>
                <w:shd w:val="clear" w:color="auto" w:fill="auto"/>
              </w:rPr>
              <w:t>g/</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78" w:type="dxa"/>
            <w:vMerge w:val="continue"/>
            <w:tcBorders>
              <w:tl2br w:val="nil"/>
              <w:tr2bl w:val="nil"/>
            </w:tcBorders>
            <w:vAlign w:val="center"/>
          </w:tcPr>
          <w:p>
            <w:pPr>
              <w:pStyle w:val="44"/>
              <w:rPr>
                <w:color w:val="auto"/>
                <w:shd w:val="clear" w:color="auto" w:fill="auto"/>
              </w:rPr>
            </w:pPr>
          </w:p>
        </w:tc>
        <w:tc>
          <w:tcPr>
            <w:tcW w:w="1860" w:type="dxa"/>
            <w:tcBorders>
              <w:tl2br w:val="nil"/>
              <w:tr2bl w:val="nil"/>
            </w:tcBorders>
            <w:vAlign w:val="center"/>
          </w:tcPr>
          <w:p>
            <w:pPr>
              <w:pStyle w:val="44"/>
              <w:rPr>
                <w:color w:val="auto"/>
                <w:shd w:val="clear" w:color="auto" w:fill="auto"/>
              </w:rPr>
            </w:pPr>
            <w:r>
              <w:rPr>
                <w:color w:val="auto"/>
                <w:shd w:val="clear" w:color="auto" w:fill="auto"/>
              </w:rPr>
              <w:t>A－B</w:t>
            </w:r>
          </w:p>
        </w:tc>
        <w:tc>
          <w:tcPr>
            <w:tcW w:w="1860" w:type="dxa"/>
            <w:tcBorders>
              <w:tl2br w:val="nil"/>
              <w:tr2bl w:val="nil"/>
            </w:tcBorders>
            <w:vAlign w:val="center"/>
          </w:tcPr>
          <w:p>
            <w:pPr>
              <w:pStyle w:val="44"/>
              <w:rPr>
                <w:color w:val="auto"/>
                <w:shd w:val="clear" w:color="auto" w:fill="auto"/>
              </w:rPr>
            </w:pPr>
            <w:r>
              <w:rPr>
                <w:color w:val="auto"/>
                <w:shd w:val="clear" w:color="auto" w:fill="auto"/>
              </w:rPr>
              <w:t>C</w:t>
            </w:r>
          </w:p>
        </w:tc>
        <w:tc>
          <w:tcPr>
            <w:tcW w:w="1860" w:type="dxa"/>
            <w:tcBorders>
              <w:tl2br w:val="nil"/>
              <w:tr2bl w:val="nil"/>
            </w:tcBorders>
            <w:vAlign w:val="center"/>
          </w:tcPr>
          <w:p>
            <w:pPr>
              <w:pStyle w:val="44"/>
              <w:rPr>
                <w:color w:val="auto"/>
                <w:shd w:val="clear" w:color="auto" w:fill="auto"/>
              </w:rPr>
            </w:pPr>
            <w:r>
              <w:rPr>
                <w:color w:val="auto"/>
                <w:shd w:val="clear" w:color="auto" w:fill="auto"/>
              </w:rPr>
              <w:t>D</w:t>
            </w:r>
          </w:p>
        </w:tc>
        <w:tc>
          <w:tcPr>
            <w:tcW w:w="1864" w:type="dxa"/>
            <w:tcBorders>
              <w:tl2br w:val="nil"/>
              <w:tr2bl w:val="nil"/>
            </w:tcBorders>
            <w:vAlign w:val="center"/>
          </w:tcPr>
          <w:p>
            <w:pPr>
              <w:pStyle w:val="44"/>
              <w:rPr>
                <w:color w:val="auto"/>
                <w:shd w:val="clear" w:color="auto" w:fill="auto"/>
              </w:rPr>
            </w:pPr>
            <w:r>
              <w:rPr>
                <w:color w:val="auto"/>
                <w:shd w:val="clear" w:color="auto" w:fill="auto"/>
              </w:rPr>
              <w:t>E－F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78" w:type="dxa"/>
            <w:tcBorders>
              <w:tl2br w:val="nil"/>
              <w:tr2bl w:val="nil"/>
            </w:tcBorders>
            <w:vAlign w:val="center"/>
          </w:tcPr>
          <w:p>
            <w:pPr>
              <w:pStyle w:val="44"/>
              <w:rPr>
                <w:color w:val="auto"/>
                <w:shd w:val="clear" w:color="auto" w:fill="auto"/>
              </w:rPr>
            </w:pPr>
            <w:r>
              <w:rPr>
                <w:color w:val="auto"/>
                <w:shd w:val="clear" w:color="auto" w:fill="auto"/>
              </w:rPr>
              <w:t>10</w:t>
            </w:r>
          </w:p>
        </w:tc>
        <w:tc>
          <w:tcPr>
            <w:tcW w:w="1860" w:type="dxa"/>
            <w:tcBorders>
              <w:tl2br w:val="nil"/>
              <w:tr2bl w:val="nil"/>
            </w:tcBorders>
            <w:vAlign w:val="center"/>
          </w:tcPr>
          <w:p>
            <w:pPr>
              <w:pStyle w:val="44"/>
              <w:rPr>
                <w:color w:val="auto"/>
                <w:shd w:val="clear" w:color="auto" w:fill="auto"/>
              </w:rPr>
            </w:pPr>
            <w:r>
              <w:rPr>
                <w:color w:val="auto"/>
                <w:shd w:val="clear" w:color="auto" w:fill="auto"/>
              </w:rPr>
              <w:t>0.403</w:t>
            </w:r>
          </w:p>
        </w:tc>
        <w:tc>
          <w:tcPr>
            <w:tcW w:w="1860" w:type="dxa"/>
            <w:tcBorders>
              <w:tl2br w:val="nil"/>
              <w:tr2bl w:val="nil"/>
            </w:tcBorders>
            <w:vAlign w:val="center"/>
          </w:tcPr>
          <w:p>
            <w:pPr>
              <w:pStyle w:val="44"/>
              <w:rPr>
                <w:color w:val="auto"/>
                <w:shd w:val="clear" w:color="auto" w:fill="auto"/>
              </w:rPr>
            </w:pPr>
            <w:r>
              <w:rPr>
                <w:color w:val="auto"/>
                <w:shd w:val="clear" w:color="auto" w:fill="auto"/>
              </w:rPr>
              <w:t>0.529</w:t>
            </w:r>
          </w:p>
        </w:tc>
        <w:tc>
          <w:tcPr>
            <w:tcW w:w="1860" w:type="dxa"/>
            <w:tcBorders>
              <w:tl2br w:val="nil"/>
              <w:tr2bl w:val="nil"/>
            </w:tcBorders>
            <w:vAlign w:val="center"/>
          </w:tcPr>
          <w:p>
            <w:pPr>
              <w:pStyle w:val="44"/>
              <w:rPr>
                <w:color w:val="auto"/>
                <w:shd w:val="clear" w:color="auto" w:fill="auto"/>
              </w:rPr>
            </w:pPr>
            <w:r>
              <w:rPr>
                <w:color w:val="auto"/>
                <w:shd w:val="clear" w:color="auto" w:fill="auto"/>
              </w:rPr>
              <w:t>0.666</w:t>
            </w:r>
          </w:p>
        </w:tc>
        <w:tc>
          <w:tcPr>
            <w:tcW w:w="1864" w:type="dxa"/>
            <w:tcBorders>
              <w:tl2br w:val="nil"/>
              <w:tr2bl w:val="nil"/>
            </w:tcBorders>
            <w:vAlign w:val="center"/>
          </w:tcPr>
          <w:p>
            <w:pPr>
              <w:pStyle w:val="44"/>
              <w:rPr>
                <w:color w:val="auto"/>
                <w:shd w:val="clear" w:color="auto" w:fill="auto"/>
              </w:rPr>
            </w:pPr>
            <w:r>
              <w:rPr>
                <w:color w:val="auto"/>
                <w:shd w:val="clear" w:color="auto" w:fill="auto"/>
              </w:rPr>
              <w:t>1.325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78" w:type="dxa"/>
            <w:tcBorders>
              <w:tl2br w:val="nil"/>
              <w:tr2bl w:val="nil"/>
            </w:tcBorders>
            <w:vAlign w:val="center"/>
          </w:tcPr>
          <w:p>
            <w:pPr>
              <w:pStyle w:val="44"/>
              <w:rPr>
                <w:color w:val="auto"/>
                <w:shd w:val="clear" w:color="auto" w:fill="auto"/>
              </w:rPr>
            </w:pPr>
            <w:r>
              <w:rPr>
                <w:color w:val="auto"/>
                <w:shd w:val="clear" w:color="auto" w:fill="auto"/>
              </w:rPr>
              <w:t>20</w:t>
            </w:r>
          </w:p>
        </w:tc>
        <w:tc>
          <w:tcPr>
            <w:tcW w:w="1860" w:type="dxa"/>
            <w:tcBorders>
              <w:tl2br w:val="nil"/>
              <w:tr2bl w:val="nil"/>
            </w:tcBorders>
            <w:vAlign w:val="center"/>
          </w:tcPr>
          <w:p>
            <w:pPr>
              <w:pStyle w:val="44"/>
              <w:rPr>
                <w:color w:val="auto"/>
                <w:shd w:val="clear" w:color="auto" w:fill="auto"/>
              </w:rPr>
            </w:pPr>
            <w:r>
              <w:rPr>
                <w:color w:val="auto"/>
                <w:shd w:val="clear" w:color="auto" w:fill="auto"/>
              </w:rPr>
              <w:t>0.216</w:t>
            </w:r>
          </w:p>
        </w:tc>
        <w:tc>
          <w:tcPr>
            <w:tcW w:w="1860" w:type="dxa"/>
            <w:tcBorders>
              <w:tl2br w:val="nil"/>
              <w:tr2bl w:val="nil"/>
            </w:tcBorders>
            <w:vAlign w:val="center"/>
          </w:tcPr>
          <w:p>
            <w:pPr>
              <w:pStyle w:val="44"/>
              <w:rPr>
                <w:color w:val="auto"/>
                <w:shd w:val="clear" w:color="auto" w:fill="auto"/>
              </w:rPr>
            </w:pPr>
            <w:r>
              <w:rPr>
                <w:color w:val="auto"/>
                <w:shd w:val="clear" w:color="auto" w:fill="auto"/>
              </w:rPr>
              <w:t>0.298</w:t>
            </w:r>
          </w:p>
        </w:tc>
        <w:tc>
          <w:tcPr>
            <w:tcW w:w="1860" w:type="dxa"/>
            <w:tcBorders>
              <w:tl2br w:val="nil"/>
              <w:tr2bl w:val="nil"/>
            </w:tcBorders>
            <w:vAlign w:val="center"/>
          </w:tcPr>
          <w:p>
            <w:pPr>
              <w:pStyle w:val="44"/>
              <w:rPr>
                <w:color w:val="auto"/>
                <w:shd w:val="clear" w:color="auto" w:fill="auto"/>
              </w:rPr>
            </w:pPr>
            <w:r>
              <w:rPr>
                <w:color w:val="auto"/>
                <w:shd w:val="clear" w:color="auto" w:fill="auto"/>
              </w:rPr>
              <w:t>0.390</w:t>
            </w:r>
          </w:p>
        </w:tc>
        <w:tc>
          <w:tcPr>
            <w:tcW w:w="1864" w:type="dxa"/>
            <w:tcBorders>
              <w:tl2br w:val="nil"/>
              <w:tr2bl w:val="nil"/>
            </w:tcBorders>
            <w:vAlign w:val="center"/>
          </w:tcPr>
          <w:p>
            <w:pPr>
              <w:pStyle w:val="44"/>
              <w:rPr>
                <w:color w:val="auto"/>
                <w:shd w:val="clear" w:color="auto" w:fill="auto"/>
              </w:rPr>
            </w:pPr>
            <w:r>
              <w:rPr>
                <w:color w:val="auto"/>
                <w:shd w:val="clear" w:color="auto" w:fill="auto"/>
              </w:rPr>
              <w:t>0.804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78" w:type="dxa"/>
            <w:tcBorders>
              <w:tl2br w:val="nil"/>
              <w:tr2bl w:val="nil"/>
            </w:tcBorders>
            <w:vAlign w:val="center"/>
          </w:tcPr>
          <w:p>
            <w:pPr>
              <w:pStyle w:val="44"/>
              <w:rPr>
                <w:color w:val="auto"/>
                <w:shd w:val="clear" w:color="auto" w:fill="auto"/>
              </w:rPr>
            </w:pPr>
            <w:r>
              <w:rPr>
                <w:color w:val="auto"/>
                <w:shd w:val="clear" w:color="auto" w:fill="auto"/>
              </w:rPr>
              <w:t>30</w:t>
            </w:r>
          </w:p>
        </w:tc>
        <w:tc>
          <w:tcPr>
            <w:tcW w:w="1860" w:type="dxa"/>
            <w:tcBorders>
              <w:tl2br w:val="nil"/>
              <w:tr2bl w:val="nil"/>
            </w:tcBorders>
            <w:vAlign w:val="center"/>
          </w:tcPr>
          <w:p>
            <w:pPr>
              <w:pStyle w:val="44"/>
              <w:rPr>
                <w:color w:val="auto"/>
                <w:shd w:val="clear" w:color="auto" w:fill="auto"/>
              </w:rPr>
            </w:pPr>
            <w:r>
              <w:rPr>
                <w:color w:val="auto"/>
                <w:shd w:val="clear" w:color="auto" w:fill="auto"/>
              </w:rPr>
              <w:t>0.116</w:t>
            </w:r>
          </w:p>
        </w:tc>
        <w:tc>
          <w:tcPr>
            <w:tcW w:w="1860" w:type="dxa"/>
            <w:tcBorders>
              <w:tl2br w:val="nil"/>
              <w:tr2bl w:val="nil"/>
            </w:tcBorders>
            <w:vAlign w:val="center"/>
          </w:tcPr>
          <w:p>
            <w:pPr>
              <w:pStyle w:val="44"/>
              <w:rPr>
                <w:color w:val="auto"/>
                <w:shd w:val="clear" w:color="auto" w:fill="auto"/>
              </w:rPr>
            </w:pPr>
            <w:r>
              <w:rPr>
                <w:color w:val="auto"/>
                <w:shd w:val="clear" w:color="auto" w:fill="auto"/>
              </w:rPr>
              <w:t>0.212</w:t>
            </w:r>
          </w:p>
        </w:tc>
        <w:tc>
          <w:tcPr>
            <w:tcW w:w="1860" w:type="dxa"/>
            <w:tcBorders>
              <w:tl2br w:val="nil"/>
              <w:tr2bl w:val="nil"/>
            </w:tcBorders>
            <w:vAlign w:val="center"/>
          </w:tcPr>
          <w:p>
            <w:pPr>
              <w:pStyle w:val="44"/>
              <w:rPr>
                <w:color w:val="auto"/>
                <w:shd w:val="clear" w:color="auto" w:fill="auto"/>
              </w:rPr>
            </w:pPr>
            <w:r>
              <w:rPr>
                <w:color w:val="auto"/>
                <w:shd w:val="clear" w:color="auto" w:fill="auto"/>
              </w:rPr>
              <w:t>0.300</w:t>
            </w:r>
          </w:p>
        </w:tc>
        <w:tc>
          <w:tcPr>
            <w:tcW w:w="1864" w:type="dxa"/>
            <w:tcBorders>
              <w:tl2br w:val="nil"/>
              <w:tr2bl w:val="nil"/>
            </w:tcBorders>
            <w:vAlign w:val="center"/>
          </w:tcPr>
          <w:p>
            <w:pPr>
              <w:pStyle w:val="44"/>
              <w:rPr>
                <w:color w:val="auto"/>
                <w:shd w:val="clear" w:color="auto" w:fill="auto"/>
              </w:rPr>
            </w:pPr>
            <w:r>
              <w:rPr>
                <w:color w:val="auto"/>
                <w:shd w:val="clear" w:color="auto" w:fill="auto"/>
              </w:rPr>
              <w:t>0.593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78" w:type="dxa"/>
            <w:tcBorders>
              <w:tl2br w:val="nil"/>
              <w:tr2bl w:val="nil"/>
            </w:tcBorders>
            <w:vAlign w:val="center"/>
          </w:tcPr>
          <w:p>
            <w:pPr>
              <w:pStyle w:val="44"/>
              <w:rPr>
                <w:color w:val="auto"/>
                <w:shd w:val="clear" w:color="auto" w:fill="auto"/>
              </w:rPr>
            </w:pPr>
            <w:r>
              <w:rPr>
                <w:color w:val="auto"/>
                <w:shd w:val="clear" w:color="auto" w:fill="auto"/>
              </w:rPr>
              <w:t>40</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0.095</w:t>
            </w:r>
          </w:p>
        </w:tc>
        <w:tc>
          <w:tcPr>
            <w:tcW w:w="1860" w:type="dxa"/>
            <w:tcBorders>
              <w:tl2br w:val="nil"/>
              <w:tr2bl w:val="nil"/>
            </w:tcBorders>
            <w:vAlign w:val="center"/>
          </w:tcPr>
          <w:p>
            <w:pPr>
              <w:pStyle w:val="44"/>
              <w:rPr>
                <w:color w:val="auto"/>
                <w:shd w:val="clear" w:color="auto" w:fill="auto"/>
              </w:rPr>
            </w:pPr>
            <w:r>
              <w:rPr>
                <w:color w:val="auto"/>
                <w:shd w:val="clear" w:color="auto" w:fill="auto"/>
              </w:rPr>
              <w:t>0.167</w:t>
            </w:r>
          </w:p>
        </w:tc>
        <w:tc>
          <w:tcPr>
            <w:tcW w:w="1860" w:type="dxa"/>
            <w:tcBorders>
              <w:tl2br w:val="nil"/>
              <w:tr2bl w:val="nil"/>
            </w:tcBorders>
            <w:vAlign w:val="center"/>
          </w:tcPr>
          <w:p>
            <w:pPr>
              <w:pStyle w:val="44"/>
              <w:rPr>
                <w:color w:val="auto"/>
                <w:shd w:val="clear" w:color="auto" w:fill="auto"/>
              </w:rPr>
            </w:pPr>
            <w:r>
              <w:rPr>
                <w:color w:val="auto"/>
                <w:shd w:val="clear" w:color="auto" w:fill="auto"/>
              </w:rPr>
              <w:t>0.229</w:t>
            </w:r>
          </w:p>
        </w:tc>
        <w:tc>
          <w:tcPr>
            <w:tcW w:w="1864" w:type="dxa"/>
            <w:tcBorders>
              <w:tl2br w:val="nil"/>
              <w:tr2bl w:val="nil"/>
            </w:tcBorders>
            <w:vAlign w:val="center"/>
          </w:tcPr>
          <w:p>
            <w:pPr>
              <w:pStyle w:val="44"/>
              <w:rPr>
                <w:color w:val="auto"/>
                <w:shd w:val="clear" w:color="auto" w:fill="auto"/>
              </w:rPr>
            </w:pPr>
            <w:r>
              <w:rPr>
                <w:color w:val="auto"/>
                <w:shd w:val="clear" w:color="auto" w:fill="auto"/>
              </w:rPr>
              <w:t>0.478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78" w:type="dxa"/>
            <w:tcBorders>
              <w:tl2br w:val="nil"/>
              <w:tr2bl w:val="nil"/>
            </w:tcBorders>
            <w:vAlign w:val="center"/>
          </w:tcPr>
          <w:p>
            <w:pPr>
              <w:pStyle w:val="44"/>
              <w:rPr>
                <w:color w:val="auto"/>
                <w:shd w:val="clear" w:color="auto" w:fill="auto"/>
              </w:rPr>
            </w:pPr>
            <w:r>
              <w:rPr>
                <w:color w:val="auto"/>
                <w:shd w:val="clear" w:color="auto" w:fill="auto"/>
              </w:rPr>
              <w:t>50</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0.081</w:t>
            </w:r>
          </w:p>
        </w:tc>
        <w:tc>
          <w:tcPr>
            <w:tcW w:w="1860" w:type="dxa"/>
            <w:tcBorders>
              <w:tl2br w:val="nil"/>
              <w:tr2bl w:val="nil"/>
            </w:tcBorders>
            <w:vAlign w:val="center"/>
          </w:tcPr>
          <w:p>
            <w:pPr>
              <w:pStyle w:val="44"/>
              <w:rPr>
                <w:color w:val="auto"/>
                <w:shd w:val="clear" w:color="auto" w:fill="auto"/>
              </w:rPr>
            </w:pPr>
            <w:r>
              <w:rPr>
                <w:color w:val="auto"/>
                <w:shd w:val="clear" w:color="auto" w:fill="auto"/>
              </w:rPr>
              <w:t>0.139</w:t>
            </w:r>
          </w:p>
        </w:tc>
        <w:tc>
          <w:tcPr>
            <w:tcW w:w="1860" w:type="dxa"/>
            <w:tcBorders>
              <w:tl2br w:val="nil"/>
              <w:tr2bl w:val="nil"/>
            </w:tcBorders>
            <w:vAlign w:val="center"/>
          </w:tcPr>
          <w:p>
            <w:pPr>
              <w:pStyle w:val="44"/>
              <w:rPr>
                <w:color w:val="auto"/>
                <w:shd w:val="clear" w:color="auto" w:fill="auto"/>
              </w:rPr>
            </w:pPr>
            <w:r>
              <w:rPr>
                <w:color w:val="auto"/>
                <w:shd w:val="clear" w:color="auto" w:fill="auto"/>
              </w:rPr>
              <w:t>0.193</w:t>
            </w:r>
          </w:p>
        </w:tc>
        <w:tc>
          <w:tcPr>
            <w:tcW w:w="1864" w:type="dxa"/>
            <w:tcBorders>
              <w:tl2br w:val="nil"/>
              <w:tr2bl w:val="nil"/>
            </w:tcBorders>
            <w:vAlign w:val="center"/>
          </w:tcPr>
          <w:p>
            <w:pPr>
              <w:pStyle w:val="44"/>
              <w:rPr>
                <w:color w:val="auto"/>
                <w:shd w:val="clear" w:color="auto" w:fill="auto"/>
              </w:rPr>
            </w:pPr>
            <w:r>
              <w:rPr>
                <w:color w:val="auto"/>
                <w:shd w:val="clear" w:color="auto" w:fill="auto"/>
              </w:rPr>
              <w:t>0.404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78" w:type="dxa"/>
            <w:tcBorders>
              <w:tl2br w:val="nil"/>
              <w:tr2bl w:val="nil"/>
            </w:tcBorders>
            <w:vAlign w:val="center"/>
          </w:tcPr>
          <w:p>
            <w:pPr>
              <w:pStyle w:val="44"/>
              <w:rPr>
                <w:color w:val="auto"/>
                <w:shd w:val="clear" w:color="auto" w:fill="auto"/>
              </w:rPr>
            </w:pPr>
            <w:r>
              <w:rPr>
                <w:color w:val="auto"/>
                <w:shd w:val="clear" w:color="auto" w:fill="auto"/>
              </w:rPr>
              <w:t>60</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0.070</w:t>
            </w:r>
          </w:p>
        </w:tc>
        <w:tc>
          <w:tcPr>
            <w:tcW w:w="1860" w:type="dxa"/>
            <w:tcBorders>
              <w:tl2br w:val="nil"/>
              <w:tr2bl w:val="nil"/>
            </w:tcBorders>
            <w:vAlign w:val="center"/>
          </w:tcPr>
          <w:p>
            <w:pPr>
              <w:pStyle w:val="44"/>
              <w:rPr>
                <w:color w:val="auto"/>
                <w:shd w:val="clear" w:color="auto" w:fill="auto"/>
              </w:rPr>
            </w:pPr>
            <w:r>
              <w:rPr>
                <w:color w:val="auto"/>
                <w:shd w:val="clear" w:color="auto" w:fill="auto"/>
              </w:rPr>
              <w:t>0.120</w:t>
            </w:r>
          </w:p>
        </w:tc>
        <w:tc>
          <w:tcPr>
            <w:tcW w:w="1860" w:type="dxa"/>
            <w:tcBorders>
              <w:tl2br w:val="nil"/>
              <w:tr2bl w:val="nil"/>
            </w:tcBorders>
            <w:vAlign w:val="center"/>
          </w:tcPr>
          <w:p>
            <w:pPr>
              <w:pStyle w:val="44"/>
              <w:rPr>
                <w:color w:val="auto"/>
                <w:shd w:val="clear" w:color="auto" w:fill="auto"/>
              </w:rPr>
            </w:pPr>
            <w:r>
              <w:rPr>
                <w:color w:val="auto"/>
                <w:shd w:val="clear" w:color="auto" w:fill="auto"/>
              </w:rPr>
              <w:t>0.168</w:t>
            </w:r>
          </w:p>
        </w:tc>
        <w:tc>
          <w:tcPr>
            <w:tcW w:w="1864" w:type="dxa"/>
            <w:tcBorders>
              <w:tl2br w:val="nil"/>
              <w:tr2bl w:val="nil"/>
            </w:tcBorders>
            <w:vAlign w:val="center"/>
          </w:tcPr>
          <w:p>
            <w:pPr>
              <w:pStyle w:val="44"/>
              <w:rPr>
                <w:color w:val="auto"/>
                <w:shd w:val="clear" w:color="auto" w:fill="auto"/>
              </w:rPr>
            </w:pPr>
            <w:r>
              <w:rPr>
                <w:color w:val="auto"/>
                <w:shd w:val="clear" w:color="auto" w:fill="auto"/>
              </w:rPr>
              <w:t>0.353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78" w:type="dxa"/>
            <w:tcBorders>
              <w:tl2br w:val="nil"/>
              <w:tr2bl w:val="nil"/>
            </w:tcBorders>
            <w:vAlign w:val="center"/>
          </w:tcPr>
          <w:p>
            <w:pPr>
              <w:pStyle w:val="44"/>
              <w:rPr>
                <w:color w:val="auto"/>
                <w:shd w:val="clear" w:color="auto" w:fill="auto"/>
              </w:rPr>
            </w:pPr>
            <w:r>
              <w:rPr>
                <w:color w:val="auto"/>
                <w:shd w:val="clear" w:color="auto" w:fill="auto"/>
              </w:rPr>
              <w:t>70</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0.062</w:t>
            </w:r>
          </w:p>
        </w:tc>
        <w:tc>
          <w:tcPr>
            <w:tcW w:w="1860" w:type="dxa"/>
            <w:tcBorders>
              <w:tl2br w:val="nil"/>
              <w:tr2bl w:val="nil"/>
            </w:tcBorders>
            <w:vAlign w:val="center"/>
          </w:tcPr>
          <w:p>
            <w:pPr>
              <w:pStyle w:val="44"/>
              <w:rPr>
                <w:color w:val="auto"/>
                <w:shd w:val="clear" w:color="auto" w:fill="auto"/>
              </w:rPr>
            </w:pPr>
            <w:r>
              <w:rPr>
                <w:color w:val="auto"/>
                <w:shd w:val="clear" w:color="auto" w:fill="auto"/>
              </w:rPr>
              <w:t>0.105</w:t>
            </w:r>
          </w:p>
        </w:tc>
        <w:tc>
          <w:tcPr>
            <w:tcW w:w="1860" w:type="dxa"/>
            <w:tcBorders>
              <w:tl2br w:val="nil"/>
              <w:tr2bl w:val="nil"/>
            </w:tcBorders>
            <w:vAlign w:val="center"/>
          </w:tcPr>
          <w:p>
            <w:pPr>
              <w:pStyle w:val="44"/>
              <w:rPr>
                <w:color w:val="auto"/>
                <w:shd w:val="clear" w:color="auto" w:fill="auto"/>
              </w:rPr>
            </w:pPr>
            <w:r>
              <w:rPr>
                <w:color w:val="auto"/>
                <w:shd w:val="clear" w:color="auto" w:fill="auto"/>
              </w:rPr>
              <w:t>0.149</w:t>
            </w:r>
          </w:p>
        </w:tc>
        <w:tc>
          <w:tcPr>
            <w:tcW w:w="1864" w:type="dxa"/>
            <w:tcBorders>
              <w:tl2br w:val="nil"/>
              <w:tr2bl w:val="nil"/>
            </w:tcBorders>
            <w:vAlign w:val="center"/>
          </w:tcPr>
          <w:p>
            <w:pPr>
              <w:pStyle w:val="44"/>
              <w:rPr>
                <w:color w:val="auto"/>
                <w:shd w:val="clear" w:color="auto" w:fill="auto"/>
              </w:rPr>
            </w:pPr>
            <w:r>
              <w:rPr>
                <w:color w:val="auto"/>
                <w:shd w:val="clear" w:color="auto" w:fill="auto"/>
              </w:rPr>
              <w:t>0.314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78" w:type="dxa"/>
            <w:tcBorders>
              <w:tl2br w:val="nil"/>
              <w:tr2bl w:val="nil"/>
            </w:tcBorders>
            <w:vAlign w:val="center"/>
          </w:tcPr>
          <w:p>
            <w:pPr>
              <w:pStyle w:val="44"/>
              <w:rPr>
                <w:color w:val="auto"/>
                <w:shd w:val="clear" w:color="auto" w:fill="auto"/>
              </w:rPr>
            </w:pPr>
            <w:r>
              <w:rPr>
                <w:color w:val="auto"/>
                <w:shd w:val="clear" w:color="auto" w:fill="auto"/>
              </w:rPr>
              <w:t>80</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0.058</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0.094</w:t>
            </w:r>
          </w:p>
        </w:tc>
        <w:tc>
          <w:tcPr>
            <w:tcW w:w="1860" w:type="dxa"/>
            <w:tcBorders>
              <w:tl2br w:val="nil"/>
              <w:tr2bl w:val="nil"/>
            </w:tcBorders>
            <w:vAlign w:val="center"/>
          </w:tcPr>
          <w:p>
            <w:pPr>
              <w:pStyle w:val="44"/>
              <w:rPr>
                <w:color w:val="auto"/>
                <w:shd w:val="clear" w:color="auto" w:fill="auto"/>
              </w:rPr>
            </w:pPr>
            <w:r>
              <w:rPr>
                <w:color w:val="auto"/>
                <w:shd w:val="clear" w:color="auto" w:fill="auto"/>
              </w:rPr>
              <w:t>0.134</w:t>
            </w:r>
          </w:p>
        </w:tc>
        <w:tc>
          <w:tcPr>
            <w:tcW w:w="1864" w:type="dxa"/>
            <w:tcBorders>
              <w:tl2br w:val="nil"/>
              <w:tr2bl w:val="nil"/>
            </w:tcBorders>
            <w:vAlign w:val="center"/>
          </w:tcPr>
          <w:p>
            <w:pPr>
              <w:pStyle w:val="44"/>
              <w:rPr>
                <w:color w:val="auto"/>
                <w:shd w:val="clear" w:color="auto" w:fill="auto"/>
              </w:rPr>
            </w:pPr>
            <w:r>
              <w:rPr>
                <w:color w:val="auto"/>
                <w:shd w:val="clear" w:color="auto" w:fill="auto"/>
              </w:rPr>
              <w:t>0.284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78" w:type="dxa"/>
            <w:tcBorders>
              <w:tl2br w:val="nil"/>
              <w:tr2bl w:val="nil"/>
            </w:tcBorders>
            <w:vAlign w:val="center"/>
          </w:tcPr>
          <w:p>
            <w:pPr>
              <w:pStyle w:val="44"/>
              <w:rPr>
                <w:color w:val="auto"/>
                <w:shd w:val="clear" w:color="auto" w:fill="auto"/>
              </w:rPr>
            </w:pPr>
            <w:r>
              <w:rPr>
                <w:color w:val="auto"/>
                <w:shd w:val="clear" w:color="auto" w:fill="auto"/>
              </w:rPr>
              <w:t>90</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0.051</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0.085</w:t>
            </w:r>
          </w:p>
        </w:tc>
        <w:tc>
          <w:tcPr>
            <w:tcW w:w="1860" w:type="dxa"/>
            <w:tcBorders>
              <w:tl2br w:val="nil"/>
              <w:tr2bl w:val="nil"/>
            </w:tcBorders>
            <w:vAlign w:val="center"/>
          </w:tcPr>
          <w:p>
            <w:pPr>
              <w:pStyle w:val="44"/>
              <w:rPr>
                <w:color w:val="auto"/>
                <w:shd w:val="clear" w:color="auto" w:fill="auto"/>
              </w:rPr>
            </w:pPr>
            <w:r>
              <w:rPr>
                <w:color w:val="auto"/>
                <w:shd w:val="clear" w:color="auto" w:fill="auto"/>
              </w:rPr>
              <w:t>0.123</w:t>
            </w:r>
          </w:p>
        </w:tc>
        <w:tc>
          <w:tcPr>
            <w:tcW w:w="1864" w:type="dxa"/>
            <w:tcBorders>
              <w:tl2br w:val="nil"/>
              <w:tr2bl w:val="nil"/>
            </w:tcBorders>
            <w:vAlign w:val="center"/>
          </w:tcPr>
          <w:p>
            <w:pPr>
              <w:pStyle w:val="44"/>
              <w:rPr>
                <w:color w:val="auto"/>
                <w:shd w:val="clear" w:color="auto" w:fill="auto"/>
              </w:rPr>
            </w:pPr>
            <w:r>
              <w:rPr>
                <w:color w:val="auto"/>
                <w:shd w:val="clear" w:color="auto" w:fill="auto"/>
              </w:rPr>
              <w:t>0.260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78" w:type="dxa"/>
            <w:tcBorders>
              <w:tl2br w:val="nil"/>
              <w:tr2bl w:val="nil"/>
            </w:tcBorders>
            <w:vAlign w:val="center"/>
          </w:tcPr>
          <w:p>
            <w:pPr>
              <w:pStyle w:val="44"/>
              <w:rPr>
                <w:color w:val="auto"/>
                <w:shd w:val="clear" w:color="auto" w:fill="auto"/>
              </w:rPr>
            </w:pPr>
            <w:r>
              <w:rPr>
                <w:color w:val="auto"/>
                <w:shd w:val="clear" w:color="auto" w:fill="auto"/>
              </w:rPr>
              <w:t>100</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0.048</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0.078</w:t>
            </w:r>
          </w:p>
        </w:tc>
        <w:tc>
          <w:tcPr>
            <w:tcW w:w="1860" w:type="dxa"/>
            <w:tcBorders>
              <w:tl2br w:val="nil"/>
              <w:tr2bl w:val="nil"/>
            </w:tcBorders>
            <w:vAlign w:val="center"/>
          </w:tcPr>
          <w:p>
            <w:pPr>
              <w:pStyle w:val="44"/>
              <w:rPr>
                <w:color w:val="auto"/>
                <w:shd w:val="clear" w:color="auto" w:fill="auto"/>
              </w:rPr>
            </w:pPr>
            <w:r>
              <w:rPr>
                <w:color w:val="auto"/>
                <w:shd w:val="clear" w:color="auto" w:fill="auto"/>
              </w:rPr>
              <w:t>0.114</w:t>
            </w:r>
          </w:p>
        </w:tc>
        <w:tc>
          <w:tcPr>
            <w:tcW w:w="1864" w:type="dxa"/>
            <w:tcBorders>
              <w:tl2br w:val="nil"/>
              <w:tr2bl w:val="nil"/>
            </w:tcBorders>
            <w:vAlign w:val="center"/>
          </w:tcPr>
          <w:p>
            <w:pPr>
              <w:pStyle w:val="44"/>
              <w:rPr>
                <w:color w:val="auto"/>
                <w:shd w:val="clear" w:color="auto" w:fill="auto"/>
              </w:rPr>
            </w:pPr>
            <w:r>
              <w:rPr>
                <w:color w:val="auto"/>
                <w:shd w:val="clear" w:color="auto" w:fill="auto"/>
              </w:rPr>
              <w:t>0.240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78" w:type="dxa"/>
            <w:tcBorders>
              <w:tl2br w:val="nil"/>
              <w:tr2bl w:val="nil"/>
            </w:tcBorders>
            <w:vAlign w:val="center"/>
          </w:tcPr>
          <w:p>
            <w:pPr>
              <w:pStyle w:val="44"/>
              <w:rPr>
                <w:color w:val="auto"/>
                <w:shd w:val="clear" w:color="auto" w:fill="auto"/>
              </w:rPr>
            </w:pPr>
            <w:r>
              <w:rPr>
                <w:color w:val="auto"/>
                <w:shd w:val="clear" w:color="auto" w:fill="auto"/>
              </w:rPr>
              <w:t>110</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0.043</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0.072</w:t>
            </w:r>
          </w:p>
        </w:tc>
        <w:tc>
          <w:tcPr>
            <w:tcW w:w="1860" w:type="dxa"/>
            <w:tcBorders>
              <w:tl2br w:val="nil"/>
              <w:tr2bl w:val="nil"/>
            </w:tcBorders>
            <w:vAlign w:val="center"/>
          </w:tcPr>
          <w:p>
            <w:pPr>
              <w:pStyle w:val="44"/>
              <w:rPr>
                <w:color w:val="auto"/>
                <w:shd w:val="clear" w:color="auto" w:fill="auto"/>
              </w:rPr>
            </w:pPr>
            <w:r>
              <w:rPr>
                <w:color w:val="auto"/>
                <w:shd w:val="clear" w:color="auto" w:fill="auto"/>
              </w:rPr>
              <w:t>0.105</w:t>
            </w:r>
          </w:p>
        </w:tc>
        <w:tc>
          <w:tcPr>
            <w:tcW w:w="1864" w:type="dxa"/>
            <w:tcBorders>
              <w:tl2br w:val="nil"/>
              <w:tr2bl w:val="nil"/>
            </w:tcBorders>
            <w:vAlign w:val="center"/>
          </w:tcPr>
          <w:p>
            <w:pPr>
              <w:pStyle w:val="44"/>
              <w:rPr>
                <w:color w:val="auto"/>
                <w:shd w:val="clear" w:color="auto" w:fill="auto"/>
              </w:rPr>
            </w:pPr>
            <w:r>
              <w:rPr>
                <w:color w:val="auto"/>
                <w:shd w:val="clear" w:color="auto" w:fill="auto"/>
              </w:rPr>
              <w:t>0.223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78" w:type="dxa"/>
            <w:tcBorders>
              <w:tl2br w:val="nil"/>
              <w:tr2bl w:val="nil"/>
            </w:tcBorders>
            <w:vAlign w:val="center"/>
          </w:tcPr>
          <w:p>
            <w:pPr>
              <w:pStyle w:val="44"/>
              <w:rPr>
                <w:color w:val="auto"/>
                <w:shd w:val="clear" w:color="auto" w:fill="auto"/>
              </w:rPr>
            </w:pPr>
            <w:r>
              <w:rPr>
                <w:color w:val="auto"/>
                <w:shd w:val="clear" w:color="auto" w:fill="auto"/>
              </w:rPr>
              <w:t>130</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0.037</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0.063</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0.092</w:t>
            </w:r>
          </w:p>
        </w:tc>
        <w:tc>
          <w:tcPr>
            <w:tcW w:w="1864" w:type="dxa"/>
            <w:tcBorders>
              <w:tl2br w:val="nil"/>
              <w:tr2bl w:val="nil"/>
            </w:tcBorders>
            <w:vAlign w:val="center"/>
          </w:tcPr>
          <w:p>
            <w:pPr>
              <w:pStyle w:val="44"/>
              <w:rPr>
                <w:color w:val="auto"/>
                <w:shd w:val="clear" w:color="auto" w:fill="auto"/>
              </w:rPr>
            </w:pPr>
            <w:r>
              <w:rPr>
                <w:color w:val="auto"/>
                <w:shd w:val="clear" w:color="auto" w:fill="auto"/>
              </w:rPr>
              <w:t>0.197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78" w:type="dxa"/>
            <w:tcBorders>
              <w:tl2br w:val="nil"/>
              <w:tr2bl w:val="nil"/>
            </w:tcBorders>
            <w:vAlign w:val="center"/>
          </w:tcPr>
          <w:p>
            <w:pPr>
              <w:pStyle w:val="44"/>
              <w:rPr>
                <w:color w:val="auto"/>
                <w:shd w:val="clear" w:color="auto" w:fill="auto"/>
              </w:rPr>
            </w:pPr>
            <w:r>
              <w:rPr>
                <w:color w:val="auto"/>
                <w:shd w:val="clear" w:color="auto" w:fill="auto"/>
              </w:rPr>
              <w:t>150</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0.035</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0.055</w:t>
            </w:r>
          </w:p>
        </w:tc>
        <w:tc>
          <w:tcPr>
            <w:tcW w:w="1860" w:type="dxa"/>
            <w:tcBorders>
              <w:tl2br w:val="nil"/>
              <w:tr2bl w:val="nil"/>
            </w:tcBorders>
            <w:vAlign w:val="center"/>
          </w:tcPr>
          <w:p>
            <w:pPr>
              <w:pStyle w:val="44"/>
              <w:rPr>
                <w:color w:val="auto"/>
                <w:shd w:val="clear" w:color="auto" w:fill="auto"/>
              </w:rPr>
            </w:pPr>
            <w:r>
              <w:rPr>
                <w:color w:val="auto"/>
                <w:shd w:val="clear" w:color="auto" w:fill="auto"/>
              </w:rPr>
              <w:t>0.082</w:t>
            </w:r>
          </w:p>
        </w:tc>
        <w:tc>
          <w:tcPr>
            <w:tcW w:w="1864" w:type="dxa"/>
            <w:tcBorders>
              <w:tl2br w:val="nil"/>
              <w:tr2bl w:val="nil"/>
            </w:tcBorders>
            <w:vAlign w:val="center"/>
          </w:tcPr>
          <w:p>
            <w:pPr>
              <w:pStyle w:val="44"/>
              <w:rPr>
                <w:color w:val="auto"/>
                <w:shd w:val="clear" w:color="auto" w:fill="auto"/>
              </w:rPr>
            </w:pPr>
            <w:r>
              <w:rPr>
                <w:color w:val="auto"/>
                <w:shd w:val="clear" w:color="auto" w:fill="auto"/>
              </w:rPr>
              <w:t>0.177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522" w:type="dxa"/>
            <w:gridSpan w:val="5"/>
            <w:tcBorders>
              <w:tl2br w:val="nil"/>
              <w:tr2bl w:val="nil"/>
            </w:tcBorders>
            <w:vAlign w:val="center"/>
          </w:tcPr>
          <w:p>
            <w:pPr>
              <w:pStyle w:val="44"/>
              <w:rPr>
                <w:color w:val="auto"/>
                <w:shd w:val="clear" w:color="auto" w:fill="auto"/>
              </w:rPr>
            </w:pPr>
            <w:r>
              <w:rPr>
                <w:color w:val="auto"/>
                <w:shd w:val="clear" w:color="auto" w:fill="auto"/>
              </w:rPr>
              <w:t>GB3095</w:t>
            </w:r>
            <w:r>
              <w:rPr>
                <w:rFonts w:hint="eastAsia"/>
                <w:color w:val="auto"/>
                <w:shd w:val="clear" w:color="auto" w:fill="auto"/>
              </w:rPr>
              <w:t>-2012二</w:t>
            </w:r>
            <w:r>
              <w:rPr>
                <w:color w:val="auto"/>
                <w:shd w:val="clear" w:color="auto" w:fill="auto"/>
              </w:rPr>
              <w:t>级标准            0.</w:t>
            </w:r>
            <w:r>
              <w:rPr>
                <w:rFonts w:hint="eastAsia"/>
                <w:color w:val="auto"/>
                <w:shd w:val="clear" w:color="auto" w:fill="auto"/>
              </w:rPr>
              <w:t>3</w:t>
            </w:r>
            <w:r>
              <w:rPr>
                <w:color w:val="auto"/>
                <w:shd w:val="clear" w:color="auto" w:fill="auto"/>
              </w:rPr>
              <w:t>（</w:t>
            </w:r>
            <w:r>
              <w:rPr>
                <w:rFonts w:hint="eastAsia"/>
                <w:color w:val="auto"/>
                <w:shd w:val="clear" w:color="auto" w:fill="auto"/>
                <w:lang w:eastAsia="zh-CN"/>
              </w:rPr>
              <w:t>m</w:t>
            </w:r>
            <w:r>
              <w:rPr>
                <w:color w:val="auto"/>
                <w:shd w:val="clear" w:color="auto" w:fill="auto"/>
              </w:rPr>
              <w:t>g/</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w:t>
            </w:r>
          </w:p>
        </w:tc>
      </w:tr>
    </w:tbl>
    <w:p>
      <w:pPr>
        <w:ind w:firstLine="480"/>
        <w:rPr>
          <w:color w:val="auto"/>
          <w:shd w:val="clear" w:color="auto" w:fill="auto"/>
        </w:rPr>
      </w:pPr>
      <w:r>
        <w:rPr>
          <w:color w:val="auto"/>
          <w:shd w:val="clear" w:color="auto" w:fill="auto"/>
        </w:rPr>
        <w:t>汽车运行途中产生的扬尘在稳定状态下近距离内会超过《环境空气质量标准》</w:t>
      </w:r>
      <w:r>
        <w:rPr>
          <w:rFonts w:hint="eastAsia"/>
          <w:color w:val="auto"/>
          <w:shd w:val="clear" w:color="auto" w:fill="auto"/>
        </w:rPr>
        <w:t>（</w:t>
      </w:r>
      <w:r>
        <w:rPr>
          <w:color w:val="auto"/>
          <w:shd w:val="clear" w:color="auto" w:fill="auto"/>
        </w:rPr>
        <w:t>GB3095-</w:t>
      </w:r>
      <w:r>
        <w:rPr>
          <w:rFonts w:hint="eastAsia"/>
          <w:color w:val="auto"/>
          <w:shd w:val="clear" w:color="auto" w:fill="auto"/>
        </w:rPr>
        <w:t>2012）</w:t>
      </w:r>
      <w:r>
        <w:rPr>
          <w:color w:val="auto"/>
          <w:shd w:val="clear" w:color="auto" w:fill="auto"/>
        </w:rPr>
        <w:t>中规定的日均值二级标值，由于扬尘的粒径80</w:t>
      </w:r>
      <w:r>
        <w:rPr>
          <w:rFonts w:hint="eastAsia"/>
          <w:color w:val="auto"/>
          <w:shd w:val="clear" w:color="auto" w:fill="auto"/>
        </w:rPr>
        <w:t>%</w:t>
      </w:r>
      <w:r>
        <w:rPr>
          <w:color w:val="auto"/>
          <w:shd w:val="clear" w:color="auto" w:fill="auto"/>
        </w:rPr>
        <w:t>大于0.5</w:t>
      </w:r>
      <w:r>
        <w:rPr>
          <w:rFonts w:hint="eastAsia"/>
          <w:color w:val="auto"/>
          <w:shd w:val="clear" w:color="auto" w:fill="auto"/>
          <w:lang w:eastAsia="zh-CN"/>
        </w:rPr>
        <w:t>mm</w:t>
      </w:r>
      <w:r>
        <w:rPr>
          <w:color w:val="auto"/>
          <w:shd w:val="clear" w:color="auto" w:fill="auto"/>
        </w:rPr>
        <w:t>，通常在近距离沉降，难以向更远距离扩散，对100</w:t>
      </w:r>
      <w:r>
        <w:rPr>
          <w:rFonts w:hint="eastAsia"/>
          <w:color w:val="auto"/>
          <w:shd w:val="clear" w:color="auto" w:fill="auto"/>
          <w:lang w:eastAsia="zh-CN"/>
        </w:rPr>
        <w:t>m</w:t>
      </w:r>
      <w:r>
        <w:rPr>
          <w:color w:val="auto"/>
          <w:shd w:val="clear" w:color="auto" w:fill="auto"/>
        </w:rPr>
        <w:t>之外的环境空气质量影响不大。</w:t>
      </w:r>
    </w:p>
    <w:p>
      <w:pPr>
        <w:ind w:firstLine="480"/>
        <w:rPr>
          <w:color w:val="auto"/>
          <w:shd w:val="clear" w:color="auto" w:fill="auto"/>
        </w:rPr>
      </w:pPr>
      <w:r>
        <w:rPr>
          <w:color w:val="auto"/>
          <w:shd w:val="clear" w:color="auto" w:fill="auto"/>
        </w:rPr>
        <w:t>施工期间，机械和风力作用也会有部分扬尘进入大气，但通过洒水增湿，可有效控制扬尘。不同气象稳定度下的施工时地面扬尘浓度分布预测结果见表</w:t>
      </w: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-2</w:t>
      </w:r>
      <w:r>
        <w:rPr>
          <w:color w:val="auto"/>
          <w:shd w:val="clear" w:color="auto" w:fill="auto"/>
        </w:rPr>
        <w:t>。</w:t>
      </w:r>
    </w:p>
    <w:p>
      <w:pPr>
        <w:pStyle w:val="43"/>
        <w:rPr>
          <w:rFonts w:hint="default" w:ascii="Times New Roman" w:hAnsi="Times New Roman" w:eastAsia="黑体" w:cs="Times New Roman"/>
          <w:color w:val="auto"/>
          <w:kern w:val="0"/>
          <w:sz w:val="21"/>
          <w:szCs w:val="21"/>
          <w:shd w:val="clear" w:color="auto" w:fill="auto"/>
          <w:lang w:val="en-US" w:eastAsia="zh-CN" w:bidi="ar-SA"/>
        </w:rPr>
      </w:pPr>
      <w:r>
        <w:rPr>
          <w:rFonts w:hint="default" w:ascii="Times New Roman" w:hAnsi="Times New Roman" w:eastAsia="黑体" w:cs="Times New Roman"/>
          <w:color w:val="auto"/>
          <w:kern w:val="0"/>
          <w:sz w:val="21"/>
          <w:szCs w:val="21"/>
          <w:shd w:val="clear" w:color="auto" w:fill="auto"/>
          <w:lang w:val="en-US" w:eastAsia="zh-CN" w:bidi="ar-SA"/>
        </w:rPr>
        <w:t>表</w:t>
      </w:r>
      <w:r>
        <w:rPr>
          <w:rFonts w:hint="eastAsia" w:ascii="Times New Roman" w:hAnsi="Times New Roman" w:eastAsia="黑体" w:cs="Times New Roman"/>
          <w:color w:val="auto"/>
          <w:kern w:val="0"/>
          <w:sz w:val="21"/>
          <w:szCs w:val="21"/>
          <w:shd w:val="clear" w:color="auto" w:fill="auto"/>
          <w:lang w:val="en-US" w:eastAsia="zh-CN" w:bidi="ar-SA"/>
        </w:rPr>
        <w:t xml:space="preserve">4.2-2  </w:t>
      </w:r>
      <w:r>
        <w:rPr>
          <w:rFonts w:hint="default" w:ascii="Times New Roman" w:hAnsi="Times New Roman" w:eastAsia="黑体" w:cs="Times New Roman"/>
          <w:color w:val="auto"/>
          <w:kern w:val="0"/>
          <w:sz w:val="21"/>
          <w:szCs w:val="21"/>
          <w:shd w:val="clear" w:color="auto" w:fill="auto"/>
          <w:lang w:val="en-US" w:eastAsia="zh-CN" w:bidi="ar-SA"/>
        </w:rPr>
        <w:t>施工时地面扬尘</w:t>
      </w:r>
      <w:r>
        <w:rPr>
          <w:rFonts w:hint="eastAsia" w:ascii="Times New Roman" w:hAnsi="Times New Roman" w:eastAsia="黑体" w:cs="Times New Roman"/>
          <w:color w:val="auto"/>
          <w:kern w:val="0"/>
          <w:sz w:val="21"/>
          <w:szCs w:val="21"/>
          <w:shd w:val="clear" w:color="auto" w:fill="auto"/>
          <w:lang w:val="en-US" w:eastAsia="zh-CN" w:bidi="ar-SA"/>
        </w:rPr>
        <w:t>（TSP）</w:t>
      </w:r>
      <w:r>
        <w:rPr>
          <w:rFonts w:hint="default" w:ascii="Times New Roman" w:hAnsi="Times New Roman" w:eastAsia="黑体" w:cs="Times New Roman"/>
          <w:color w:val="auto"/>
          <w:kern w:val="0"/>
          <w:sz w:val="21"/>
          <w:szCs w:val="21"/>
          <w:shd w:val="clear" w:color="auto" w:fill="auto"/>
          <w:lang w:val="en-US" w:eastAsia="zh-CN" w:bidi="ar-SA"/>
        </w:rPr>
        <w:t>浓度分布</w:t>
      </w:r>
    </w:p>
    <w:tbl>
      <w:tblPr>
        <w:tblStyle w:val="26"/>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8"/>
        <w:gridCol w:w="1798"/>
        <w:gridCol w:w="1799"/>
        <w:gridCol w:w="1797"/>
        <w:gridCol w:w="2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8" w:type="dxa"/>
            <w:vMerge w:val="restart"/>
            <w:tcBorders>
              <w:tl2br w:val="nil"/>
              <w:tr2bl w:val="nil"/>
            </w:tcBorders>
            <w:vAlign w:val="center"/>
          </w:tcPr>
          <w:p>
            <w:pPr>
              <w:pStyle w:val="44"/>
              <w:rPr>
                <w:color w:val="auto"/>
                <w:shd w:val="clear" w:color="auto" w:fill="auto"/>
              </w:rPr>
            </w:pPr>
            <w:r>
              <w:rPr>
                <w:rFonts w:hint="eastAsia"/>
                <w:color w:val="auto"/>
                <w:shd w:val="clear" w:color="auto" w:fill="auto"/>
              </w:rPr>
              <w:t>距离（</w:t>
            </w:r>
            <w:r>
              <w:rPr>
                <w:rFonts w:hint="eastAsia"/>
                <w:color w:val="auto"/>
                <w:shd w:val="clear" w:color="auto" w:fill="auto"/>
                <w:lang w:eastAsia="zh-CN"/>
              </w:rPr>
              <w:t>m</w:t>
            </w:r>
            <w:r>
              <w:rPr>
                <w:rFonts w:hint="eastAsia"/>
                <w:color w:val="auto"/>
                <w:shd w:val="clear" w:color="auto" w:fill="auto"/>
              </w:rPr>
              <w:t>）</w:t>
            </w:r>
          </w:p>
        </w:tc>
        <w:tc>
          <w:tcPr>
            <w:tcW w:w="7474" w:type="dxa"/>
            <w:gridSpan w:val="4"/>
            <w:tcBorders>
              <w:tl2br w:val="nil"/>
              <w:tr2bl w:val="nil"/>
            </w:tcBorders>
            <w:vAlign w:val="center"/>
          </w:tcPr>
          <w:p>
            <w:pPr>
              <w:pStyle w:val="44"/>
              <w:rPr>
                <w:color w:val="auto"/>
                <w:shd w:val="clear" w:color="auto" w:fill="auto"/>
              </w:rPr>
            </w:pPr>
            <w:r>
              <w:rPr>
                <w:rFonts w:hint="eastAsia"/>
                <w:color w:val="auto"/>
                <w:shd w:val="clear" w:color="auto" w:fill="auto"/>
              </w:rPr>
              <w:t>地面扬尘（TSP）浓度（</w:t>
            </w:r>
            <w:r>
              <w:rPr>
                <w:rFonts w:hint="eastAsia"/>
                <w:color w:val="auto"/>
                <w:shd w:val="clear" w:color="auto" w:fill="auto"/>
                <w:lang w:eastAsia="zh-CN"/>
              </w:rPr>
              <w:t>m</w:t>
            </w:r>
            <w:r>
              <w:rPr>
                <w:rFonts w:hint="eastAsia"/>
                <w:color w:val="auto"/>
                <w:shd w:val="clear" w:color="auto" w:fill="auto"/>
              </w:rPr>
              <w:t>g/</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8" w:type="dxa"/>
            <w:vMerge w:val="continue"/>
            <w:tcBorders>
              <w:tl2br w:val="nil"/>
              <w:tr2bl w:val="nil"/>
            </w:tcBorders>
            <w:vAlign w:val="center"/>
          </w:tcPr>
          <w:p>
            <w:pPr>
              <w:pStyle w:val="44"/>
              <w:rPr>
                <w:color w:val="auto"/>
                <w:shd w:val="clear" w:color="auto" w:fill="auto"/>
              </w:rPr>
            </w:pPr>
          </w:p>
        </w:tc>
        <w:tc>
          <w:tcPr>
            <w:tcW w:w="1798" w:type="dxa"/>
            <w:tcBorders>
              <w:tl2br w:val="nil"/>
              <w:tr2bl w:val="nil"/>
            </w:tcBorders>
            <w:vAlign w:val="center"/>
          </w:tcPr>
          <w:p>
            <w:pPr>
              <w:pStyle w:val="44"/>
              <w:rPr>
                <w:color w:val="auto"/>
                <w:shd w:val="clear" w:color="auto" w:fill="auto"/>
              </w:rPr>
            </w:pPr>
            <w:r>
              <w:rPr>
                <w:rFonts w:hint="eastAsia"/>
                <w:color w:val="auto"/>
                <w:shd w:val="clear" w:color="auto" w:fill="auto"/>
              </w:rPr>
              <w:t>A－B</w:t>
            </w:r>
          </w:p>
        </w:tc>
        <w:tc>
          <w:tcPr>
            <w:tcW w:w="1799" w:type="dxa"/>
            <w:tcBorders>
              <w:tl2br w:val="nil"/>
              <w:tr2bl w:val="nil"/>
            </w:tcBorders>
            <w:vAlign w:val="center"/>
          </w:tcPr>
          <w:p>
            <w:pPr>
              <w:pStyle w:val="44"/>
              <w:rPr>
                <w:color w:val="auto"/>
                <w:shd w:val="clear" w:color="auto" w:fill="auto"/>
              </w:rPr>
            </w:pPr>
            <w:r>
              <w:rPr>
                <w:rFonts w:hint="eastAsia"/>
                <w:color w:val="auto"/>
                <w:shd w:val="clear" w:color="auto" w:fill="auto"/>
              </w:rPr>
              <w:t>C</w:t>
            </w:r>
          </w:p>
        </w:tc>
        <w:tc>
          <w:tcPr>
            <w:tcW w:w="1797" w:type="dxa"/>
            <w:tcBorders>
              <w:tl2br w:val="nil"/>
              <w:tr2bl w:val="nil"/>
            </w:tcBorders>
            <w:vAlign w:val="center"/>
          </w:tcPr>
          <w:p>
            <w:pPr>
              <w:pStyle w:val="44"/>
              <w:rPr>
                <w:color w:val="auto"/>
                <w:shd w:val="clear" w:color="auto" w:fill="auto"/>
              </w:rPr>
            </w:pPr>
            <w:r>
              <w:rPr>
                <w:rFonts w:hint="eastAsia"/>
                <w:color w:val="auto"/>
                <w:shd w:val="clear" w:color="auto" w:fill="auto"/>
              </w:rPr>
              <w:t>D</w:t>
            </w:r>
          </w:p>
        </w:tc>
        <w:tc>
          <w:tcPr>
            <w:tcW w:w="2080" w:type="dxa"/>
            <w:tcBorders>
              <w:tl2br w:val="nil"/>
              <w:tr2bl w:val="nil"/>
            </w:tcBorders>
            <w:vAlign w:val="center"/>
          </w:tcPr>
          <w:p>
            <w:pPr>
              <w:pStyle w:val="44"/>
              <w:rPr>
                <w:color w:val="auto"/>
                <w:shd w:val="clear" w:color="auto" w:fill="auto"/>
              </w:rPr>
            </w:pPr>
            <w:r>
              <w:rPr>
                <w:rFonts w:hint="eastAsia"/>
                <w:color w:val="auto"/>
                <w:shd w:val="clear" w:color="auto" w:fill="auto"/>
              </w:rPr>
              <w:t>E－F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8" w:type="dxa"/>
            <w:tcBorders>
              <w:tl2br w:val="nil"/>
              <w:tr2bl w:val="nil"/>
            </w:tcBorders>
            <w:vAlign w:val="center"/>
          </w:tcPr>
          <w:p>
            <w:pPr>
              <w:pStyle w:val="44"/>
              <w:rPr>
                <w:color w:val="auto"/>
                <w:shd w:val="clear" w:color="auto" w:fill="auto"/>
              </w:rPr>
            </w:pPr>
            <w:r>
              <w:rPr>
                <w:rFonts w:hint="eastAsia"/>
                <w:color w:val="auto"/>
                <w:shd w:val="clear" w:color="auto" w:fill="auto"/>
              </w:rPr>
              <w:t>10</w:t>
            </w:r>
          </w:p>
        </w:tc>
        <w:tc>
          <w:tcPr>
            <w:tcW w:w="1798" w:type="dxa"/>
            <w:tcBorders>
              <w:tl2br w:val="nil"/>
              <w:tr2bl w:val="nil"/>
            </w:tcBorders>
            <w:vAlign w:val="center"/>
          </w:tcPr>
          <w:p>
            <w:pPr>
              <w:pStyle w:val="44"/>
              <w:rPr>
                <w:color w:val="auto"/>
                <w:shd w:val="clear" w:color="auto" w:fill="auto"/>
              </w:rPr>
            </w:pPr>
            <w:r>
              <w:rPr>
                <w:rFonts w:hint="eastAsia"/>
                <w:color w:val="auto"/>
                <w:shd w:val="clear" w:color="auto" w:fill="auto"/>
              </w:rPr>
              <w:t>0.036</w:t>
            </w:r>
          </w:p>
        </w:tc>
        <w:tc>
          <w:tcPr>
            <w:tcW w:w="1799" w:type="dxa"/>
            <w:tcBorders>
              <w:tl2br w:val="nil"/>
              <w:tr2bl w:val="nil"/>
            </w:tcBorders>
            <w:vAlign w:val="center"/>
          </w:tcPr>
          <w:p>
            <w:pPr>
              <w:pStyle w:val="44"/>
              <w:rPr>
                <w:color w:val="auto"/>
                <w:shd w:val="clear" w:color="auto" w:fill="auto"/>
              </w:rPr>
            </w:pPr>
            <w:r>
              <w:rPr>
                <w:rFonts w:hint="eastAsia"/>
                <w:color w:val="auto"/>
                <w:shd w:val="clear" w:color="auto" w:fill="auto"/>
              </w:rPr>
              <w:t>0.049</w:t>
            </w:r>
          </w:p>
        </w:tc>
        <w:tc>
          <w:tcPr>
            <w:tcW w:w="1797" w:type="dxa"/>
            <w:tcBorders>
              <w:tl2br w:val="nil"/>
              <w:tr2bl w:val="nil"/>
            </w:tcBorders>
            <w:vAlign w:val="center"/>
          </w:tcPr>
          <w:p>
            <w:pPr>
              <w:pStyle w:val="44"/>
              <w:rPr>
                <w:color w:val="auto"/>
                <w:shd w:val="clear" w:color="auto" w:fill="auto"/>
              </w:rPr>
            </w:pPr>
            <w:r>
              <w:rPr>
                <w:rFonts w:hint="eastAsia"/>
                <w:color w:val="auto"/>
                <w:shd w:val="clear" w:color="auto" w:fill="auto"/>
              </w:rPr>
              <w:t>0.062</w:t>
            </w:r>
          </w:p>
        </w:tc>
        <w:tc>
          <w:tcPr>
            <w:tcW w:w="2080" w:type="dxa"/>
            <w:tcBorders>
              <w:tl2br w:val="nil"/>
              <w:tr2bl w:val="nil"/>
            </w:tcBorders>
            <w:vAlign w:val="center"/>
          </w:tcPr>
          <w:p>
            <w:pPr>
              <w:pStyle w:val="44"/>
              <w:rPr>
                <w:color w:val="auto"/>
                <w:shd w:val="clear" w:color="auto" w:fill="auto"/>
              </w:rPr>
            </w:pPr>
            <w:r>
              <w:rPr>
                <w:rFonts w:hint="eastAsia"/>
                <w:color w:val="auto"/>
                <w:shd w:val="clear" w:color="auto" w:fill="auto"/>
              </w:rPr>
              <w:t>1.128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8" w:type="dxa"/>
            <w:tcBorders>
              <w:tl2br w:val="nil"/>
              <w:tr2bl w:val="nil"/>
            </w:tcBorders>
            <w:vAlign w:val="center"/>
          </w:tcPr>
          <w:p>
            <w:pPr>
              <w:pStyle w:val="44"/>
              <w:rPr>
                <w:color w:val="auto"/>
                <w:shd w:val="clear" w:color="auto" w:fill="auto"/>
              </w:rPr>
            </w:pPr>
            <w:r>
              <w:rPr>
                <w:rFonts w:hint="eastAsia"/>
                <w:color w:val="auto"/>
                <w:shd w:val="clear" w:color="auto" w:fill="auto"/>
              </w:rPr>
              <w:t>20</w:t>
            </w:r>
          </w:p>
        </w:tc>
        <w:tc>
          <w:tcPr>
            <w:tcW w:w="1798" w:type="dxa"/>
            <w:tcBorders>
              <w:tl2br w:val="nil"/>
              <w:tr2bl w:val="nil"/>
            </w:tcBorders>
            <w:vAlign w:val="center"/>
          </w:tcPr>
          <w:p>
            <w:pPr>
              <w:pStyle w:val="44"/>
              <w:rPr>
                <w:color w:val="auto"/>
                <w:shd w:val="clear" w:color="auto" w:fill="auto"/>
              </w:rPr>
            </w:pPr>
            <w:r>
              <w:rPr>
                <w:rFonts w:hint="eastAsia"/>
                <w:color w:val="auto"/>
                <w:shd w:val="clear" w:color="auto" w:fill="auto"/>
              </w:rPr>
              <w:t>0.018</w:t>
            </w:r>
          </w:p>
        </w:tc>
        <w:tc>
          <w:tcPr>
            <w:tcW w:w="1799" w:type="dxa"/>
            <w:tcBorders>
              <w:tl2br w:val="nil"/>
              <w:tr2bl w:val="nil"/>
            </w:tcBorders>
            <w:vAlign w:val="center"/>
          </w:tcPr>
          <w:p>
            <w:pPr>
              <w:pStyle w:val="44"/>
              <w:rPr>
                <w:color w:val="auto"/>
                <w:shd w:val="clear" w:color="auto" w:fill="auto"/>
              </w:rPr>
            </w:pPr>
            <w:r>
              <w:rPr>
                <w:rFonts w:hint="eastAsia"/>
                <w:color w:val="auto"/>
                <w:shd w:val="clear" w:color="auto" w:fill="auto"/>
              </w:rPr>
              <w:t>0.026</w:t>
            </w:r>
          </w:p>
        </w:tc>
        <w:tc>
          <w:tcPr>
            <w:tcW w:w="1797" w:type="dxa"/>
            <w:tcBorders>
              <w:tl2br w:val="nil"/>
              <w:tr2bl w:val="nil"/>
            </w:tcBorders>
            <w:vAlign w:val="center"/>
          </w:tcPr>
          <w:p>
            <w:pPr>
              <w:pStyle w:val="44"/>
              <w:rPr>
                <w:color w:val="auto"/>
                <w:shd w:val="clear" w:color="auto" w:fill="auto"/>
              </w:rPr>
            </w:pPr>
            <w:r>
              <w:rPr>
                <w:rFonts w:hint="eastAsia"/>
                <w:color w:val="auto"/>
                <w:shd w:val="clear" w:color="auto" w:fill="auto"/>
              </w:rPr>
              <w:t>0.034</w:t>
            </w:r>
          </w:p>
        </w:tc>
        <w:tc>
          <w:tcPr>
            <w:tcW w:w="2080" w:type="dxa"/>
            <w:tcBorders>
              <w:tl2br w:val="nil"/>
              <w:tr2bl w:val="nil"/>
            </w:tcBorders>
            <w:vAlign w:val="center"/>
          </w:tcPr>
          <w:p>
            <w:pPr>
              <w:pStyle w:val="44"/>
              <w:rPr>
                <w:color w:val="auto"/>
                <w:shd w:val="clear" w:color="auto" w:fill="auto"/>
              </w:rPr>
            </w:pPr>
            <w:r>
              <w:rPr>
                <w:rFonts w:hint="eastAsia"/>
                <w:color w:val="auto"/>
                <w:shd w:val="clear" w:color="auto" w:fill="auto"/>
              </w:rPr>
              <w:t>0.074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8" w:type="dxa"/>
            <w:tcBorders>
              <w:tl2br w:val="nil"/>
              <w:tr2bl w:val="nil"/>
            </w:tcBorders>
            <w:vAlign w:val="center"/>
          </w:tcPr>
          <w:p>
            <w:pPr>
              <w:pStyle w:val="44"/>
              <w:rPr>
                <w:color w:val="auto"/>
                <w:shd w:val="clear" w:color="auto" w:fill="auto"/>
              </w:rPr>
            </w:pPr>
            <w:r>
              <w:rPr>
                <w:rFonts w:hint="eastAsia"/>
                <w:color w:val="auto"/>
                <w:shd w:val="clear" w:color="auto" w:fill="auto"/>
              </w:rPr>
              <w:t>30</w:t>
            </w:r>
          </w:p>
        </w:tc>
        <w:tc>
          <w:tcPr>
            <w:tcW w:w="1798" w:type="dxa"/>
            <w:tcBorders>
              <w:tl2br w:val="nil"/>
              <w:tr2bl w:val="nil"/>
            </w:tcBorders>
            <w:vAlign w:val="center"/>
          </w:tcPr>
          <w:p>
            <w:pPr>
              <w:pStyle w:val="44"/>
              <w:rPr>
                <w:color w:val="auto"/>
                <w:shd w:val="clear" w:color="auto" w:fill="auto"/>
              </w:rPr>
            </w:pPr>
            <w:r>
              <w:rPr>
                <w:rFonts w:hint="eastAsia"/>
                <w:color w:val="auto"/>
                <w:shd w:val="clear" w:color="auto" w:fill="auto"/>
              </w:rPr>
              <w:t>0.012</w:t>
            </w:r>
          </w:p>
        </w:tc>
        <w:tc>
          <w:tcPr>
            <w:tcW w:w="1799" w:type="dxa"/>
            <w:tcBorders>
              <w:tl2br w:val="nil"/>
              <w:tr2bl w:val="nil"/>
            </w:tcBorders>
            <w:vAlign w:val="center"/>
          </w:tcPr>
          <w:p>
            <w:pPr>
              <w:pStyle w:val="44"/>
              <w:rPr>
                <w:color w:val="auto"/>
                <w:shd w:val="clear" w:color="auto" w:fill="auto"/>
              </w:rPr>
            </w:pPr>
            <w:r>
              <w:rPr>
                <w:rFonts w:hint="eastAsia"/>
                <w:color w:val="auto"/>
                <w:shd w:val="clear" w:color="auto" w:fill="auto"/>
              </w:rPr>
              <w:t>0.017</w:t>
            </w:r>
          </w:p>
        </w:tc>
        <w:tc>
          <w:tcPr>
            <w:tcW w:w="1797" w:type="dxa"/>
            <w:tcBorders>
              <w:tl2br w:val="nil"/>
              <w:tr2bl w:val="nil"/>
            </w:tcBorders>
            <w:vAlign w:val="center"/>
          </w:tcPr>
          <w:p>
            <w:pPr>
              <w:pStyle w:val="44"/>
              <w:rPr>
                <w:color w:val="auto"/>
                <w:shd w:val="clear" w:color="auto" w:fill="auto"/>
              </w:rPr>
            </w:pPr>
            <w:r>
              <w:rPr>
                <w:rFonts w:hint="eastAsia"/>
                <w:color w:val="auto"/>
                <w:shd w:val="clear" w:color="auto" w:fill="auto"/>
              </w:rPr>
              <w:t>0.024</w:t>
            </w:r>
          </w:p>
        </w:tc>
        <w:tc>
          <w:tcPr>
            <w:tcW w:w="2080" w:type="dxa"/>
            <w:tcBorders>
              <w:tl2br w:val="nil"/>
              <w:tr2bl w:val="nil"/>
            </w:tcBorders>
            <w:vAlign w:val="center"/>
          </w:tcPr>
          <w:p>
            <w:pPr>
              <w:pStyle w:val="44"/>
              <w:rPr>
                <w:color w:val="auto"/>
                <w:shd w:val="clear" w:color="auto" w:fill="auto"/>
              </w:rPr>
            </w:pPr>
            <w:r>
              <w:rPr>
                <w:rFonts w:hint="eastAsia"/>
                <w:color w:val="auto"/>
                <w:shd w:val="clear" w:color="auto" w:fill="auto"/>
              </w:rPr>
              <w:t>0.053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8" w:type="dxa"/>
            <w:tcBorders>
              <w:tl2br w:val="nil"/>
              <w:tr2bl w:val="nil"/>
            </w:tcBorders>
            <w:vAlign w:val="center"/>
          </w:tcPr>
          <w:p>
            <w:pPr>
              <w:pStyle w:val="44"/>
              <w:rPr>
                <w:color w:val="auto"/>
                <w:shd w:val="clear" w:color="auto" w:fill="auto"/>
              </w:rPr>
            </w:pPr>
            <w:r>
              <w:rPr>
                <w:rFonts w:hint="eastAsia"/>
                <w:color w:val="auto"/>
                <w:shd w:val="clear" w:color="auto" w:fill="auto"/>
              </w:rPr>
              <w:t>40</w:t>
            </w:r>
          </w:p>
        </w:tc>
        <w:tc>
          <w:tcPr>
            <w:tcW w:w="1798" w:type="dxa"/>
            <w:tcBorders>
              <w:tl2br w:val="nil"/>
              <w:tr2bl w:val="nil"/>
            </w:tcBorders>
            <w:vAlign w:val="center"/>
          </w:tcPr>
          <w:p>
            <w:pPr>
              <w:pStyle w:val="44"/>
              <w:rPr>
                <w:color w:val="auto"/>
                <w:shd w:val="clear" w:color="auto" w:fill="auto"/>
              </w:rPr>
            </w:pPr>
            <w:r>
              <w:rPr>
                <w:rFonts w:hint="eastAsia"/>
                <w:color w:val="auto"/>
                <w:shd w:val="clear" w:color="auto" w:fill="auto"/>
              </w:rPr>
              <w:t>0.009</w:t>
            </w:r>
          </w:p>
        </w:tc>
        <w:tc>
          <w:tcPr>
            <w:tcW w:w="1799" w:type="dxa"/>
            <w:tcBorders>
              <w:tl2br w:val="nil"/>
              <w:tr2bl w:val="nil"/>
            </w:tcBorders>
            <w:vAlign w:val="center"/>
          </w:tcPr>
          <w:p>
            <w:pPr>
              <w:pStyle w:val="44"/>
              <w:rPr>
                <w:color w:val="auto"/>
                <w:shd w:val="clear" w:color="auto" w:fill="auto"/>
              </w:rPr>
            </w:pPr>
            <w:r>
              <w:rPr>
                <w:rFonts w:hint="eastAsia"/>
                <w:color w:val="auto"/>
                <w:shd w:val="clear" w:color="auto" w:fill="auto"/>
              </w:rPr>
              <w:t>0.013</w:t>
            </w:r>
          </w:p>
        </w:tc>
        <w:tc>
          <w:tcPr>
            <w:tcW w:w="1797" w:type="dxa"/>
            <w:tcBorders>
              <w:tl2br w:val="nil"/>
              <w:tr2bl w:val="nil"/>
            </w:tcBorders>
            <w:vAlign w:val="center"/>
          </w:tcPr>
          <w:p>
            <w:pPr>
              <w:pStyle w:val="44"/>
              <w:rPr>
                <w:color w:val="auto"/>
                <w:shd w:val="clear" w:color="auto" w:fill="auto"/>
              </w:rPr>
            </w:pPr>
            <w:r>
              <w:rPr>
                <w:rFonts w:hint="eastAsia"/>
                <w:color w:val="auto"/>
                <w:shd w:val="clear" w:color="auto" w:fill="auto"/>
              </w:rPr>
              <w:t>0.018</w:t>
            </w:r>
          </w:p>
        </w:tc>
        <w:tc>
          <w:tcPr>
            <w:tcW w:w="2080" w:type="dxa"/>
            <w:tcBorders>
              <w:tl2br w:val="nil"/>
              <w:tr2bl w:val="nil"/>
            </w:tcBorders>
            <w:vAlign w:val="center"/>
          </w:tcPr>
          <w:p>
            <w:pPr>
              <w:pStyle w:val="44"/>
              <w:rPr>
                <w:color w:val="auto"/>
                <w:shd w:val="clear" w:color="auto" w:fill="auto"/>
              </w:rPr>
            </w:pPr>
            <w:r>
              <w:rPr>
                <w:rFonts w:hint="eastAsia"/>
                <w:color w:val="auto"/>
                <w:shd w:val="clear" w:color="auto" w:fill="auto"/>
              </w:rPr>
              <w:t>0.041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8" w:type="dxa"/>
            <w:tcBorders>
              <w:tl2br w:val="nil"/>
              <w:tr2bl w:val="nil"/>
            </w:tcBorders>
            <w:vAlign w:val="center"/>
          </w:tcPr>
          <w:p>
            <w:pPr>
              <w:pStyle w:val="44"/>
              <w:rPr>
                <w:color w:val="auto"/>
                <w:shd w:val="clear" w:color="auto" w:fill="auto"/>
              </w:rPr>
            </w:pPr>
            <w:r>
              <w:rPr>
                <w:rFonts w:hint="eastAsia"/>
                <w:color w:val="auto"/>
                <w:shd w:val="clear" w:color="auto" w:fill="auto"/>
              </w:rPr>
              <w:t>50</w:t>
            </w:r>
          </w:p>
        </w:tc>
        <w:tc>
          <w:tcPr>
            <w:tcW w:w="1798" w:type="dxa"/>
            <w:tcBorders>
              <w:tl2br w:val="nil"/>
              <w:tr2bl w:val="nil"/>
            </w:tcBorders>
            <w:vAlign w:val="center"/>
          </w:tcPr>
          <w:p>
            <w:pPr>
              <w:pStyle w:val="44"/>
              <w:rPr>
                <w:color w:val="auto"/>
                <w:shd w:val="clear" w:color="auto" w:fill="auto"/>
              </w:rPr>
            </w:pPr>
            <w:r>
              <w:rPr>
                <w:rFonts w:hint="eastAsia"/>
                <w:color w:val="auto"/>
                <w:shd w:val="clear" w:color="auto" w:fill="auto"/>
              </w:rPr>
              <w:t>0.007</w:t>
            </w:r>
          </w:p>
        </w:tc>
        <w:tc>
          <w:tcPr>
            <w:tcW w:w="1799" w:type="dxa"/>
            <w:tcBorders>
              <w:tl2br w:val="nil"/>
              <w:tr2bl w:val="nil"/>
            </w:tcBorders>
            <w:vAlign w:val="center"/>
          </w:tcPr>
          <w:p>
            <w:pPr>
              <w:pStyle w:val="44"/>
              <w:rPr>
                <w:color w:val="auto"/>
                <w:shd w:val="clear" w:color="auto" w:fill="auto"/>
              </w:rPr>
            </w:pPr>
            <w:r>
              <w:rPr>
                <w:rFonts w:hint="eastAsia"/>
                <w:color w:val="auto"/>
                <w:shd w:val="clear" w:color="auto" w:fill="auto"/>
              </w:rPr>
              <w:t>0.010</w:t>
            </w:r>
          </w:p>
        </w:tc>
        <w:tc>
          <w:tcPr>
            <w:tcW w:w="1797" w:type="dxa"/>
            <w:tcBorders>
              <w:tl2br w:val="nil"/>
              <w:tr2bl w:val="nil"/>
            </w:tcBorders>
            <w:vAlign w:val="center"/>
          </w:tcPr>
          <w:p>
            <w:pPr>
              <w:pStyle w:val="44"/>
              <w:rPr>
                <w:color w:val="auto"/>
                <w:shd w:val="clear" w:color="auto" w:fill="auto"/>
              </w:rPr>
            </w:pPr>
            <w:r>
              <w:rPr>
                <w:rFonts w:hint="eastAsia"/>
                <w:color w:val="auto"/>
                <w:shd w:val="clear" w:color="auto" w:fill="auto"/>
              </w:rPr>
              <w:t>0.015</w:t>
            </w:r>
          </w:p>
        </w:tc>
        <w:tc>
          <w:tcPr>
            <w:tcW w:w="2080" w:type="dxa"/>
            <w:tcBorders>
              <w:tl2br w:val="nil"/>
              <w:tr2bl w:val="nil"/>
            </w:tcBorders>
            <w:vAlign w:val="center"/>
          </w:tcPr>
          <w:p>
            <w:pPr>
              <w:pStyle w:val="44"/>
              <w:rPr>
                <w:color w:val="auto"/>
                <w:shd w:val="clear" w:color="auto" w:fill="auto"/>
              </w:rPr>
            </w:pPr>
            <w:r>
              <w:rPr>
                <w:rFonts w:hint="eastAsia"/>
                <w:color w:val="auto"/>
                <w:shd w:val="clear" w:color="auto" w:fill="auto"/>
              </w:rPr>
              <w:t>0.034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8" w:type="dxa"/>
            <w:tcBorders>
              <w:tl2br w:val="nil"/>
              <w:tr2bl w:val="nil"/>
            </w:tcBorders>
            <w:vAlign w:val="center"/>
          </w:tcPr>
          <w:p>
            <w:pPr>
              <w:pStyle w:val="44"/>
              <w:rPr>
                <w:color w:val="auto"/>
                <w:shd w:val="clear" w:color="auto" w:fill="auto"/>
              </w:rPr>
            </w:pPr>
            <w:r>
              <w:rPr>
                <w:rFonts w:hint="eastAsia"/>
                <w:color w:val="auto"/>
                <w:shd w:val="clear" w:color="auto" w:fill="auto"/>
              </w:rPr>
              <w:t>60</w:t>
            </w:r>
          </w:p>
        </w:tc>
        <w:tc>
          <w:tcPr>
            <w:tcW w:w="1798" w:type="dxa"/>
            <w:tcBorders>
              <w:tl2br w:val="nil"/>
              <w:tr2bl w:val="nil"/>
            </w:tcBorders>
            <w:vAlign w:val="center"/>
          </w:tcPr>
          <w:p>
            <w:pPr>
              <w:pStyle w:val="44"/>
              <w:rPr>
                <w:color w:val="auto"/>
                <w:shd w:val="clear" w:color="auto" w:fill="auto"/>
              </w:rPr>
            </w:pPr>
            <w:r>
              <w:rPr>
                <w:rFonts w:hint="eastAsia"/>
                <w:color w:val="auto"/>
                <w:shd w:val="clear" w:color="auto" w:fill="auto"/>
              </w:rPr>
              <w:t>0.005</w:t>
            </w:r>
          </w:p>
        </w:tc>
        <w:tc>
          <w:tcPr>
            <w:tcW w:w="1799" w:type="dxa"/>
            <w:tcBorders>
              <w:tl2br w:val="nil"/>
              <w:tr2bl w:val="nil"/>
            </w:tcBorders>
            <w:vAlign w:val="center"/>
          </w:tcPr>
          <w:p>
            <w:pPr>
              <w:pStyle w:val="44"/>
              <w:rPr>
                <w:color w:val="auto"/>
                <w:shd w:val="clear" w:color="auto" w:fill="auto"/>
              </w:rPr>
            </w:pPr>
            <w:r>
              <w:rPr>
                <w:rFonts w:hint="eastAsia"/>
                <w:color w:val="auto"/>
                <w:shd w:val="clear" w:color="auto" w:fill="auto"/>
              </w:rPr>
              <w:t>0.009</w:t>
            </w:r>
          </w:p>
        </w:tc>
        <w:tc>
          <w:tcPr>
            <w:tcW w:w="1797" w:type="dxa"/>
            <w:tcBorders>
              <w:tl2br w:val="nil"/>
              <w:tr2bl w:val="nil"/>
            </w:tcBorders>
            <w:vAlign w:val="center"/>
          </w:tcPr>
          <w:p>
            <w:pPr>
              <w:pStyle w:val="44"/>
              <w:rPr>
                <w:color w:val="auto"/>
                <w:shd w:val="clear" w:color="auto" w:fill="auto"/>
              </w:rPr>
            </w:pPr>
            <w:r>
              <w:rPr>
                <w:rFonts w:hint="eastAsia"/>
                <w:color w:val="auto"/>
                <w:shd w:val="clear" w:color="auto" w:fill="auto"/>
              </w:rPr>
              <w:t>0.013</w:t>
            </w:r>
          </w:p>
        </w:tc>
        <w:tc>
          <w:tcPr>
            <w:tcW w:w="2080" w:type="dxa"/>
            <w:tcBorders>
              <w:tl2br w:val="nil"/>
              <w:tr2bl w:val="nil"/>
            </w:tcBorders>
            <w:vAlign w:val="center"/>
          </w:tcPr>
          <w:p>
            <w:pPr>
              <w:pStyle w:val="44"/>
              <w:rPr>
                <w:color w:val="auto"/>
                <w:shd w:val="clear" w:color="auto" w:fill="auto"/>
              </w:rPr>
            </w:pPr>
            <w:r>
              <w:rPr>
                <w:rFonts w:hint="eastAsia"/>
                <w:color w:val="auto"/>
                <w:shd w:val="clear" w:color="auto" w:fill="auto"/>
              </w:rPr>
              <w:t>0.029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8" w:type="dxa"/>
            <w:tcBorders>
              <w:tl2br w:val="nil"/>
              <w:tr2bl w:val="nil"/>
            </w:tcBorders>
            <w:vAlign w:val="center"/>
          </w:tcPr>
          <w:p>
            <w:pPr>
              <w:pStyle w:val="44"/>
              <w:rPr>
                <w:color w:val="auto"/>
                <w:shd w:val="clear" w:color="auto" w:fill="auto"/>
              </w:rPr>
            </w:pPr>
            <w:r>
              <w:rPr>
                <w:rFonts w:hint="eastAsia"/>
                <w:color w:val="auto"/>
                <w:shd w:val="clear" w:color="auto" w:fill="auto"/>
              </w:rPr>
              <w:t>70</w:t>
            </w:r>
          </w:p>
        </w:tc>
        <w:tc>
          <w:tcPr>
            <w:tcW w:w="1798" w:type="dxa"/>
            <w:tcBorders>
              <w:tl2br w:val="nil"/>
              <w:tr2bl w:val="nil"/>
            </w:tcBorders>
            <w:vAlign w:val="center"/>
          </w:tcPr>
          <w:p>
            <w:pPr>
              <w:pStyle w:val="44"/>
              <w:rPr>
                <w:color w:val="auto"/>
                <w:shd w:val="clear" w:color="auto" w:fill="auto"/>
              </w:rPr>
            </w:pPr>
            <w:r>
              <w:rPr>
                <w:rFonts w:hint="eastAsia"/>
                <w:color w:val="auto"/>
                <w:shd w:val="clear" w:color="auto" w:fill="auto"/>
              </w:rPr>
              <w:t>0.004</w:t>
            </w:r>
          </w:p>
        </w:tc>
        <w:tc>
          <w:tcPr>
            <w:tcW w:w="1799" w:type="dxa"/>
            <w:tcBorders>
              <w:tl2br w:val="nil"/>
              <w:tr2bl w:val="nil"/>
            </w:tcBorders>
            <w:vAlign w:val="center"/>
          </w:tcPr>
          <w:p>
            <w:pPr>
              <w:pStyle w:val="44"/>
              <w:rPr>
                <w:color w:val="auto"/>
                <w:shd w:val="clear" w:color="auto" w:fill="auto"/>
              </w:rPr>
            </w:pPr>
            <w:r>
              <w:rPr>
                <w:rFonts w:hint="eastAsia"/>
                <w:color w:val="auto"/>
                <w:shd w:val="clear" w:color="auto" w:fill="auto"/>
              </w:rPr>
              <w:t>0.007</w:t>
            </w:r>
          </w:p>
        </w:tc>
        <w:tc>
          <w:tcPr>
            <w:tcW w:w="1797" w:type="dxa"/>
            <w:tcBorders>
              <w:tl2br w:val="nil"/>
              <w:tr2bl w:val="nil"/>
            </w:tcBorders>
            <w:vAlign w:val="center"/>
          </w:tcPr>
          <w:p>
            <w:pPr>
              <w:pStyle w:val="44"/>
              <w:rPr>
                <w:color w:val="auto"/>
                <w:shd w:val="clear" w:color="auto" w:fill="auto"/>
              </w:rPr>
            </w:pPr>
            <w:r>
              <w:rPr>
                <w:rFonts w:hint="eastAsia"/>
                <w:color w:val="auto"/>
                <w:shd w:val="clear" w:color="auto" w:fill="auto"/>
              </w:rPr>
              <w:t>0.011</w:t>
            </w:r>
          </w:p>
        </w:tc>
        <w:tc>
          <w:tcPr>
            <w:tcW w:w="2080" w:type="dxa"/>
            <w:tcBorders>
              <w:tl2br w:val="nil"/>
              <w:tr2bl w:val="nil"/>
            </w:tcBorders>
            <w:vAlign w:val="center"/>
          </w:tcPr>
          <w:p>
            <w:pPr>
              <w:pStyle w:val="44"/>
              <w:rPr>
                <w:color w:val="auto"/>
                <w:shd w:val="clear" w:color="auto" w:fill="auto"/>
              </w:rPr>
            </w:pPr>
            <w:r>
              <w:rPr>
                <w:rFonts w:hint="eastAsia"/>
                <w:color w:val="auto"/>
                <w:shd w:val="clear" w:color="auto" w:fill="auto"/>
              </w:rPr>
              <w:t>0.026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8" w:type="dxa"/>
            <w:tcBorders>
              <w:tl2br w:val="nil"/>
              <w:tr2bl w:val="nil"/>
            </w:tcBorders>
            <w:vAlign w:val="center"/>
          </w:tcPr>
          <w:p>
            <w:pPr>
              <w:pStyle w:val="44"/>
              <w:rPr>
                <w:color w:val="auto"/>
                <w:shd w:val="clear" w:color="auto" w:fill="auto"/>
              </w:rPr>
            </w:pPr>
            <w:r>
              <w:rPr>
                <w:rFonts w:hint="eastAsia"/>
                <w:color w:val="auto"/>
                <w:shd w:val="clear" w:color="auto" w:fill="auto"/>
              </w:rPr>
              <w:t>80</w:t>
            </w:r>
          </w:p>
        </w:tc>
        <w:tc>
          <w:tcPr>
            <w:tcW w:w="1798" w:type="dxa"/>
            <w:tcBorders>
              <w:tl2br w:val="nil"/>
              <w:tr2bl w:val="nil"/>
            </w:tcBorders>
            <w:vAlign w:val="center"/>
          </w:tcPr>
          <w:p>
            <w:pPr>
              <w:pStyle w:val="44"/>
              <w:rPr>
                <w:color w:val="auto"/>
                <w:shd w:val="clear" w:color="auto" w:fill="auto"/>
              </w:rPr>
            </w:pPr>
            <w:r>
              <w:rPr>
                <w:rFonts w:hint="eastAsia"/>
                <w:color w:val="auto"/>
                <w:shd w:val="clear" w:color="auto" w:fill="auto"/>
              </w:rPr>
              <w:t>0.0037</w:t>
            </w:r>
          </w:p>
        </w:tc>
        <w:tc>
          <w:tcPr>
            <w:tcW w:w="1799" w:type="dxa"/>
            <w:tcBorders>
              <w:tl2br w:val="nil"/>
              <w:tr2bl w:val="nil"/>
            </w:tcBorders>
            <w:vAlign w:val="center"/>
          </w:tcPr>
          <w:p>
            <w:pPr>
              <w:pStyle w:val="44"/>
              <w:rPr>
                <w:color w:val="auto"/>
                <w:shd w:val="clear" w:color="auto" w:fill="auto"/>
              </w:rPr>
            </w:pPr>
            <w:r>
              <w:rPr>
                <w:rFonts w:hint="eastAsia"/>
                <w:color w:val="auto"/>
                <w:shd w:val="clear" w:color="auto" w:fill="auto"/>
              </w:rPr>
              <w:t>0.006</w:t>
            </w:r>
          </w:p>
        </w:tc>
        <w:tc>
          <w:tcPr>
            <w:tcW w:w="1797" w:type="dxa"/>
            <w:tcBorders>
              <w:tl2br w:val="nil"/>
              <w:tr2bl w:val="nil"/>
            </w:tcBorders>
            <w:vAlign w:val="center"/>
          </w:tcPr>
          <w:p>
            <w:pPr>
              <w:pStyle w:val="44"/>
              <w:rPr>
                <w:color w:val="auto"/>
                <w:shd w:val="clear" w:color="auto" w:fill="auto"/>
              </w:rPr>
            </w:pPr>
            <w:r>
              <w:rPr>
                <w:rFonts w:hint="eastAsia"/>
                <w:color w:val="auto"/>
                <w:shd w:val="clear" w:color="auto" w:fill="auto"/>
              </w:rPr>
              <w:t>0.009</w:t>
            </w:r>
          </w:p>
        </w:tc>
        <w:tc>
          <w:tcPr>
            <w:tcW w:w="2080" w:type="dxa"/>
            <w:tcBorders>
              <w:tl2br w:val="nil"/>
              <w:tr2bl w:val="nil"/>
            </w:tcBorders>
            <w:vAlign w:val="center"/>
          </w:tcPr>
          <w:p>
            <w:pPr>
              <w:pStyle w:val="44"/>
              <w:rPr>
                <w:color w:val="auto"/>
                <w:shd w:val="clear" w:color="auto" w:fill="auto"/>
              </w:rPr>
            </w:pPr>
            <w:r>
              <w:rPr>
                <w:rFonts w:hint="eastAsia"/>
                <w:color w:val="auto"/>
                <w:shd w:val="clear" w:color="auto" w:fill="auto"/>
              </w:rPr>
              <w:t>0.023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8" w:type="dxa"/>
            <w:tcBorders>
              <w:tl2br w:val="nil"/>
              <w:tr2bl w:val="nil"/>
            </w:tcBorders>
            <w:vAlign w:val="center"/>
          </w:tcPr>
          <w:p>
            <w:pPr>
              <w:pStyle w:val="44"/>
              <w:rPr>
                <w:color w:val="auto"/>
                <w:shd w:val="clear" w:color="auto" w:fill="auto"/>
              </w:rPr>
            </w:pPr>
            <w:r>
              <w:rPr>
                <w:rFonts w:hint="eastAsia"/>
                <w:color w:val="auto"/>
                <w:shd w:val="clear" w:color="auto" w:fill="auto"/>
              </w:rPr>
              <w:t>90</w:t>
            </w:r>
          </w:p>
        </w:tc>
        <w:tc>
          <w:tcPr>
            <w:tcW w:w="1798" w:type="dxa"/>
            <w:tcBorders>
              <w:tl2br w:val="nil"/>
              <w:tr2bl w:val="nil"/>
            </w:tcBorders>
            <w:vAlign w:val="center"/>
          </w:tcPr>
          <w:p>
            <w:pPr>
              <w:pStyle w:val="44"/>
              <w:rPr>
                <w:color w:val="auto"/>
                <w:shd w:val="clear" w:color="auto" w:fill="auto"/>
              </w:rPr>
            </w:pPr>
            <w:r>
              <w:rPr>
                <w:rFonts w:hint="eastAsia"/>
                <w:color w:val="auto"/>
                <w:shd w:val="clear" w:color="auto" w:fill="auto"/>
              </w:rPr>
              <w:t>0.0032</w:t>
            </w:r>
          </w:p>
        </w:tc>
        <w:tc>
          <w:tcPr>
            <w:tcW w:w="1799" w:type="dxa"/>
            <w:tcBorders>
              <w:tl2br w:val="nil"/>
              <w:tr2bl w:val="nil"/>
            </w:tcBorders>
            <w:vAlign w:val="center"/>
          </w:tcPr>
          <w:p>
            <w:pPr>
              <w:pStyle w:val="44"/>
              <w:rPr>
                <w:color w:val="auto"/>
                <w:shd w:val="clear" w:color="auto" w:fill="auto"/>
              </w:rPr>
            </w:pPr>
            <w:r>
              <w:rPr>
                <w:rFonts w:hint="eastAsia"/>
                <w:color w:val="auto"/>
                <w:shd w:val="clear" w:color="auto" w:fill="auto"/>
              </w:rPr>
              <w:t>0.005</w:t>
            </w:r>
          </w:p>
        </w:tc>
        <w:tc>
          <w:tcPr>
            <w:tcW w:w="1797" w:type="dxa"/>
            <w:tcBorders>
              <w:tl2br w:val="nil"/>
              <w:tr2bl w:val="nil"/>
            </w:tcBorders>
            <w:vAlign w:val="center"/>
          </w:tcPr>
          <w:p>
            <w:pPr>
              <w:pStyle w:val="44"/>
              <w:rPr>
                <w:color w:val="auto"/>
                <w:shd w:val="clear" w:color="auto" w:fill="auto"/>
              </w:rPr>
            </w:pPr>
            <w:r>
              <w:rPr>
                <w:rFonts w:hint="eastAsia"/>
                <w:color w:val="auto"/>
                <w:shd w:val="clear" w:color="auto" w:fill="auto"/>
              </w:rPr>
              <w:t>0.008</w:t>
            </w:r>
          </w:p>
        </w:tc>
        <w:tc>
          <w:tcPr>
            <w:tcW w:w="2080" w:type="dxa"/>
            <w:tcBorders>
              <w:tl2br w:val="nil"/>
              <w:tr2bl w:val="nil"/>
            </w:tcBorders>
            <w:vAlign w:val="center"/>
          </w:tcPr>
          <w:p>
            <w:pPr>
              <w:pStyle w:val="44"/>
              <w:rPr>
                <w:color w:val="auto"/>
                <w:shd w:val="clear" w:color="auto" w:fill="auto"/>
              </w:rPr>
            </w:pPr>
            <w:r>
              <w:rPr>
                <w:rFonts w:hint="eastAsia"/>
                <w:color w:val="auto"/>
                <w:shd w:val="clear" w:color="auto" w:fill="auto"/>
              </w:rPr>
              <w:t>0.020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8" w:type="dxa"/>
            <w:tcBorders>
              <w:tl2br w:val="nil"/>
              <w:tr2bl w:val="nil"/>
            </w:tcBorders>
            <w:vAlign w:val="center"/>
          </w:tcPr>
          <w:p>
            <w:pPr>
              <w:pStyle w:val="44"/>
              <w:rPr>
                <w:color w:val="auto"/>
                <w:shd w:val="clear" w:color="auto" w:fill="auto"/>
              </w:rPr>
            </w:pPr>
            <w:r>
              <w:rPr>
                <w:rFonts w:hint="eastAsia"/>
                <w:color w:val="auto"/>
                <w:shd w:val="clear" w:color="auto" w:fill="auto"/>
              </w:rPr>
              <w:t>100</w:t>
            </w:r>
          </w:p>
        </w:tc>
        <w:tc>
          <w:tcPr>
            <w:tcW w:w="1798" w:type="dxa"/>
            <w:tcBorders>
              <w:tl2br w:val="nil"/>
              <w:tr2bl w:val="nil"/>
            </w:tcBorders>
            <w:vAlign w:val="center"/>
          </w:tcPr>
          <w:p>
            <w:pPr>
              <w:pStyle w:val="44"/>
              <w:rPr>
                <w:color w:val="auto"/>
                <w:shd w:val="clear" w:color="auto" w:fill="auto"/>
              </w:rPr>
            </w:pPr>
            <w:r>
              <w:rPr>
                <w:rFonts w:hint="eastAsia"/>
                <w:color w:val="auto"/>
                <w:shd w:val="clear" w:color="auto" w:fill="auto"/>
              </w:rPr>
              <w:t>0.0028</w:t>
            </w:r>
          </w:p>
        </w:tc>
        <w:tc>
          <w:tcPr>
            <w:tcW w:w="1799" w:type="dxa"/>
            <w:tcBorders>
              <w:tl2br w:val="nil"/>
              <w:tr2bl w:val="nil"/>
            </w:tcBorders>
            <w:vAlign w:val="center"/>
          </w:tcPr>
          <w:p>
            <w:pPr>
              <w:pStyle w:val="44"/>
              <w:rPr>
                <w:color w:val="auto"/>
                <w:shd w:val="clear" w:color="auto" w:fill="auto"/>
              </w:rPr>
            </w:pPr>
            <w:r>
              <w:rPr>
                <w:rFonts w:hint="eastAsia"/>
                <w:color w:val="auto"/>
                <w:shd w:val="clear" w:color="auto" w:fill="auto"/>
              </w:rPr>
              <w:t>0.0048</w:t>
            </w:r>
          </w:p>
        </w:tc>
        <w:tc>
          <w:tcPr>
            <w:tcW w:w="1797" w:type="dxa"/>
            <w:tcBorders>
              <w:tl2br w:val="nil"/>
              <w:tr2bl w:val="nil"/>
            </w:tcBorders>
            <w:vAlign w:val="center"/>
          </w:tcPr>
          <w:p>
            <w:pPr>
              <w:pStyle w:val="44"/>
              <w:rPr>
                <w:color w:val="auto"/>
                <w:shd w:val="clear" w:color="auto" w:fill="auto"/>
              </w:rPr>
            </w:pPr>
            <w:r>
              <w:rPr>
                <w:rFonts w:hint="eastAsia"/>
                <w:color w:val="auto"/>
                <w:shd w:val="clear" w:color="auto" w:fill="auto"/>
              </w:rPr>
              <w:t>0.007</w:t>
            </w:r>
          </w:p>
        </w:tc>
        <w:tc>
          <w:tcPr>
            <w:tcW w:w="2080" w:type="dxa"/>
            <w:tcBorders>
              <w:tl2br w:val="nil"/>
              <w:tr2bl w:val="nil"/>
            </w:tcBorders>
            <w:vAlign w:val="center"/>
          </w:tcPr>
          <w:p>
            <w:pPr>
              <w:pStyle w:val="44"/>
              <w:rPr>
                <w:color w:val="auto"/>
                <w:shd w:val="clear" w:color="auto" w:fill="auto"/>
              </w:rPr>
            </w:pPr>
            <w:r>
              <w:rPr>
                <w:rFonts w:hint="eastAsia"/>
                <w:color w:val="auto"/>
                <w:shd w:val="clear" w:color="auto" w:fill="auto"/>
              </w:rPr>
              <w:t>0.018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8" w:type="dxa"/>
            <w:tcBorders>
              <w:tl2br w:val="nil"/>
              <w:tr2bl w:val="nil"/>
            </w:tcBorders>
            <w:vAlign w:val="center"/>
          </w:tcPr>
          <w:p>
            <w:pPr>
              <w:pStyle w:val="44"/>
              <w:rPr>
                <w:color w:val="auto"/>
                <w:shd w:val="clear" w:color="auto" w:fill="auto"/>
              </w:rPr>
            </w:pPr>
            <w:r>
              <w:rPr>
                <w:rFonts w:hint="eastAsia"/>
                <w:color w:val="auto"/>
                <w:shd w:val="clear" w:color="auto" w:fill="auto"/>
              </w:rPr>
              <w:t>110</w:t>
            </w:r>
          </w:p>
        </w:tc>
        <w:tc>
          <w:tcPr>
            <w:tcW w:w="1798" w:type="dxa"/>
            <w:tcBorders>
              <w:tl2br w:val="nil"/>
              <w:tr2bl w:val="nil"/>
            </w:tcBorders>
            <w:vAlign w:val="center"/>
          </w:tcPr>
          <w:p>
            <w:pPr>
              <w:pStyle w:val="44"/>
              <w:rPr>
                <w:color w:val="auto"/>
                <w:shd w:val="clear" w:color="auto" w:fill="auto"/>
              </w:rPr>
            </w:pPr>
            <w:r>
              <w:rPr>
                <w:rFonts w:hint="eastAsia"/>
                <w:color w:val="auto"/>
                <w:shd w:val="clear" w:color="auto" w:fill="auto"/>
              </w:rPr>
              <w:t>0.0025</w:t>
            </w:r>
          </w:p>
        </w:tc>
        <w:tc>
          <w:tcPr>
            <w:tcW w:w="1799" w:type="dxa"/>
            <w:tcBorders>
              <w:tl2br w:val="nil"/>
              <w:tr2bl w:val="nil"/>
            </w:tcBorders>
            <w:vAlign w:val="center"/>
          </w:tcPr>
          <w:p>
            <w:pPr>
              <w:pStyle w:val="44"/>
              <w:rPr>
                <w:color w:val="auto"/>
                <w:shd w:val="clear" w:color="auto" w:fill="auto"/>
              </w:rPr>
            </w:pPr>
            <w:r>
              <w:rPr>
                <w:rFonts w:hint="eastAsia"/>
                <w:color w:val="auto"/>
                <w:shd w:val="clear" w:color="auto" w:fill="auto"/>
              </w:rPr>
              <w:t>0.0043</w:t>
            </w:r>
          </w:p>
        </w:tc>
        <w:tc>
          <w:tcPr>
            <w:tcW w:w="1797" w:type="dxa"/>
            <w:tcBorders>
              <w:tl2br w:val="nil"/>
              <w:tr2bl w:val="nil"/>
            </w:tcBorders>
            <w:vAlign w:val="center"/>
          </w:tcPr>
          <w:p>
            <w:pPr>
              <w:pStyle w:val="44"/>
              <w:rPr>
                <w:color w:val="auto"/>
                <w:shd w:val="clear" w:color="auto" w:fill="auto"/>
              </w:rPr>
            </w:pPr>
            <w:r>
              <w:rPr>
                <w:rFonts w:hint="eastAsia"/>
                <w:color w:val="auto"/>
                <w:shd w:val="clear" w:color="auto" w:fill="auto"/>
              </w:rPr>
              <w:t>0.0067</w:t>
            </w:r>
          </w:p>
        </w:tc>
        <w:tc>
          <w:tcPr>
            <w:tcW w:w="2080" w:type="dxa"/>
            <w:tcBorders>
              <w:tl2br w:val="nil"/>
              <w:tr2bl w:val="nil"/>
            </w:tcBorders>
            <w:vAlign w:val="center"/>
          </w:tcPr>
          <w:p>
            <w:pPr>
              <w:pStyle w:val="44"/>
              <w:rPr>
                <w:color w:val="auto"/>
                <w:shd w:val="clear" w:color="auto" w:fill="auto"/>
              </w:rPr>
            </w:pPr>
            <w:r>
              <w:rPr>
                <w:rFonts w:hint="eastAsia"/>
                <w:color w:val="auto"/>
                <w:shd w:val="clear" w:color="auto" w:fill="auto"/>
              </w:rPr>
              <w:t>0.017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8" w:type="dxa"/>
            <w:tcBorders>
              <w:tl2br w:val="nil"/>
              <w:tr2bl w:val="nil"/>
            </w:tcBorders>
            <w:vAlign w:val="center"/>
          </w:tcPr>
          <w:p>
            <w:pPr>
              <w:pStyle w:val="44"/>
              <w:rPr>
                <w:color w:val="auto"/>
                <w:shd w:val="clear" w:color="auto" w:fill="auto"/>
              </w:rPr>
            </w:pPr>
            <w:r>
              <w:rPr>
                <w:rFonts w:hint="eastAsia"/>
                <w:color w:val="auto"/>
                <w:shd w:val="clear" w:color="auto" w:fill="auto"/>
              </w:rPr>
              <w:t>130</w:t>
            </w:r>
          </w:p>
        </w:tc>
        <w:tc>
          <w:tcPr>
            <w:tcW w:w="1798" w:type="dxa"/>
            <w:tcBorders>
              <w:tl2br w:val="nil"/>
              <w:tr2bl w:val="nil"/>
            </w:tcBorders>
            <w:vAlign w:val="center"/>
          </w:tcPr>
          <w:p>
            <w:pPr>
              <w:pStyle w:val="44"/>
              <w:rPr>
                <w:color w:val="auto"/>
                <w:shd w:val="clear" w:color="auto" w:fill="auto"/>
              </w:rPr>
            </w:pPr>
            <w:r>
              <w:rPr>
                <w:rFonts w:hint="eastAsia"/>
                <w:color w:val="auto"/>
                <w:shd w:val="clear" w:color="auto" w:fill="auto"/>
              </w:rPr>
              <w:t>0.020</w:t>
            </w:r>
          </w:p>
        </w:tc>
        <w:tc>
          <w:tcPr>
            <w:tcW w:w="1799" w:type="dxa"/>
            <w:tcBorders>
              <w:tl2br w:val="nil"/>
              <w:tr2bl w:val="nil"/>
            </w:tcBorders>
            <w:vAlign w:val="center"/>
          </w:tcPr>
          <w:p>
            <w:pPr>
              <w:pStyle w:val="44"/>
              <w:rPr>
                <w:color w:val="auto"/>
                <w:shd w:val="clear" w:color="auto" w:fill="auto"/>
              </w:rPr>
            </w:pPr>
            <w:r>
              <w:rPr>
                <w:rFonts w:hint="eastAsia"/>
                <w:color w:val="auto"/>
                <w:shd w:val="clear" w:color="auto" w:fill="auto"/>
              </w:rPr>
              <w:t>0.0035</w:t>
            </w:r>
          </w:p>
        </w:tc>
        <w:tc>
          <w:tcPr>
            <w:tcW w:w="1797" w:type="dxa"/>
            <w:tcBorders>
              <w:tl2br w:val="nil"/>
              <w:tr2bl w:val="nil"/>
            </w:tcBorders>
            <w:vAlign w:val="center"/>
          </w:tcPr>
          <w:p>
            <w:pPr>
              <w:pStyle w:val="44"/>
              <w:rPr>
                <w:color w:val="auto"/>
                <w:shd w:val="clear" w:color="auto" w:fill="auto"/>
              </w:rPr>
            </w:pPr>
            <w:r>
              <w:rPr>
                <w:rFonts w:hint="eastAsia"/>
                <w:color w:val="auto"/>
                <w:shd w:val="clear" w:color="auto" w:fill="auto"/>
              </w:rPr>
              <w:t>0.0056</w:t>
            </w:r>
          </w:p>
        </w:tc>
        <w:tc>
          <w:tcPr>
            <w:tcW w:w="2080" w:type="dxa"/>
            <w:tcBorders>
              <w:tl2br w:val="nil"/>
              <w:tr2bl w:val="nil"/>
            </w:tcBorders>
            <w:vAlign w:val="center"/>
          </w:tcPr>
          <w:p>
            <w:pPr>
              <w:pStyle w:val="44"/>
              <w:rPr>
                <w:color w:val="auto"/>
                <w:shd w:val="clear" w:color="auto" w:fill="auto"/>
              </w:rPr>
            </w:pPr>
            <w:r>
              <w:rPr>
                <w:rFonts w:hint="eastAsia"/>
                <w:color w:val="auto"/>
                <w:shd w:val="clear" w:color="auto" w:fill="auto"/>
              </w:rPr>
              <w:t>0.014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8" w:type="dxa"/>
            <w:tcBorders>
              <w:tl2br w:val="nil"/>
              <w:tr2bl w:val="nil"/>
            </w:tcBorders>
            <w:vAlign w:val="center"/>
          </w:tcPr>
          <w:p>
            <w:pPr>
              <w:pStyle w:val="44"/>
              <w:rPr>
                <w:color w:val="auto"/>
                <w:shd w:val="clear" w:color="auto" w:fill="auto"/>
              </w:rPr>
            </w:pPr>
            <w:r>
              <w:rPr>
                <w:rFonts w:hint="eastAsia"/>
                <w:color w:val="auto"/>
                <w:shd w:val="clear" w:color="auto" w:fill="auto"/>
              </w:rPr>
              <w:t>150</w:t>
            </w:r>
          </w:p>
        </w:tc>
        <w:tc>
          <w:tcPr>
            <w:tcW w:w="1798" w:type="dxa"/>
            <w:tcBorders>
              <w:tl2br w:val="nil"/>
              <w:tr2bl w:val="nil"/>
            </w:tcBorders>
            <w:vAlign w:val="center"/>
          </w:tcPr>
          <w:p>
            <w:pPr>
              <w:pStyle w:val="44"/>
              <w:rPr>
                <w:color w:val="auto"/>
                <w:shd w:val="clear" w:color="auto" w:fill="auto"/>
              </w:rPr>
            </w:pPr>
            <w:r>
              <w:rPr>
                <w:rFonts w:hint="eastAsia"/>
                <w:color w:val="auto"/>
                <w:shd w:val="clear" w:color="auto" w:fill="auto"/>
              </w:rPr>
              <w:t>0.0016</w:t>
            </w:r>
          </w:p>
        </w:tc>
        <w:tc>
          <w:tcPr>
            <w:tcW w:w="1799" w:type="dxa"/>
            <w:tcBorders>
              <w:tl2br w:val="nil"/>
              <w:tr2bl w:val="nil"/>
            </w:tcBorders>
            <w:vAlign w:val="center"/>
          </w:tcPr>
          <w:p>
            <w:pPr>
              <w:pStyle w:val="44"/>
              <w:rPr>
                <w:color w:val="auto"/>
                <w:shd w:val="clear" w:color="auto" w:fill="auto"/>
              </w:rPr>
            </w:pPr>
            <w:r>
              <w:rPr>
                <w:rFonts w:hint="eastAsia"/>
                <w:color w:val="auto"/>
                <w:shd w:val="clear" w:color="auto" w:fill="auto"/>
              </w:rPr>
              <w:t>0.0030</w:t>
            </w:r>
          </w:p>
        </w:tc>
        <w:tc>
          <w:tcPr>
            <w:tcW w:w="1797" w:type="dxa"/>
            <w:tcBorders>
              <w:tl2br w:val="nil"/>
              <w:tr2bl w:val="nil"/>
            </w:tcBorders>
            <w:vAlign w:val="center"/>
          </w:tcPr>
          <w:p>
            <w:pPr>
              <w:pStyle w:val="44"/>
              <w:rPr>
                <w:color w:val="auto"/>
                <w:shd w:val="clear" w:color="auto" w:fill="auto"/>
              </w:rPr>
            </w:pPr>
            <w:r>
              <w:rPr>
                <w:rFonts w:hint="eastAsia"/>
                <w:color w:val="auto"/>
                <w:shd w:val="clear" w:color="auto" w:fill="auto"/>
              </w:rPr>
              <w:t>0.0048</w:t>
            </w:r>
          </w:p>
        </w:tc>
        <w:tc>
          <w:tcPr>
            <w:tcW w:w="2080" w:type="dxa"/>
            <w:tcBorders>
              <w:tl2br w:val="nil"/>
              <w:tr2bl w:val="nil"/>
            </w:tcBorders>
            <w:vAlign w:val="center"/>
          </w:tcPr>
          <w:p>
            <w:pPr>
              <w:pStyle w:val="44"/>
              <w:rPr>
                <w:color w:val="auto"/>
                <w:shd w:val="clear" w:color="auto" w:fill="auto"/>
              </w:rPr>
            </w:pPr>
            <w:r>
              <w:rPr>
                <w:rFonts w:hint="eastAsia"/>
                <w:color w:val="auto"/>
                <w:shd w:val="clear" w:color="auto" w:fill="auto"/>
              </w:rPr>
              <w:t>0.013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2" w:type="dxa"/>
            <w:gridSpan w:val="5"/>
            <w:tcBorders>
              <w:tl2br w:val="nil"/>
              <w:tr2bl w:val="nil"/>
            </w:tcBorders>
            <w:vAlign w:val="center"/>
          </w:tcPr>
          <w:p>
            <w:pPr>
              <w:pStyle w:val="44"/>
              <w:rPr>
                <w:color w:val="auto"/>
                <w:shd w:val="clear" w:color="auto" w:fill="auto"/>
              </w:rPr>
            </w:pPr>
            <w:r>
              <w:rPr>
                <w:rFonts w:hint="eastAsia"/>
                <w:color w:val="auto"/>
                <w:shd w:val="clear" w:color="auto" w:fill="auto"/>
              </w:rPr>
              <w:t>GB3095-2012二级标准         0.3（</w:t>
            </w:r>
            <w:r>
              <w:rPr>
                <w:rFonts w:hint="eastAsia"/>
                <w:color w:val="auto"/>
                <w:shd w:val="clear" w:color="auto" w:fill="auto"/>
                <w:lang w:eastAsia="zh-CN"/>
              </w:rPr>
              <w:t>m</w:t>
            </w:r>
            <w:r>
              <w:rPr>
                <w:rFonts w:hint="eastAsia"/>
                <w:color w:val="auto"/>
                <w:shd w:val="clear" w:color="auto" w:fill="auto"/>
              </w:rPr>
              <w:t>g/</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w:t>
            </w:r>
          </w:p>
        </w:tc>
      </w:tr>
    </w:tbl>
    <w:p>
      <w:pPr>
        <w:ind w:firstLine="480"/>
        <w:rPr>
          <w:color w:val="auto"/>
          <w:shd w:val="clear" w:color="auto" w:fill="auto"/>
        </w:rPr>
      </w:pPr>
      <w:r>
        <w:rPr>
          <w:color w:val="auto"/>
          <w:shd w:val="clear" w:color="auto" w:fill="auto"/>
        </w:rPr>
        <w:t>从表</w:t>
      </w: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-2</w:t>
      </w:r>
      <w:r>
        <w:rPr>
          <w:color w:val="auto"/>
          <w:shd w:val="clear" w:color="auto" w:fill="auto"/>
        </w:rPr>
        <w:t>可见，施工时扬尘同样仅在近距离有影响，对100</w:t>
      </w:r>
      <w:r>
        <w:rPr>
          <w:rFonts w:hint="eastAsia"/>
          <w:color w:val="auto"/>
          <w:shd w:val="clear" w:color="auto" w:fill="auto"/>
          <w:lang w:eastAsia="zh-CN"/>
        </w:rPr>
        <w:t>m</w:t>
      </w:r>
      <w:r>
        <w:rPr>
          <w:color w:val="auto"/>
          <w:shd w:val="clear" w:color="auto" w:fill="auto"/>
        </w:rPr>
        <w:t>之外的环境空气质量影响不明显。</w:t>
      </w:r>
      <w:r>
        <w:rPr>
          <w:rFonts w:hint="eastAsia"/>
          <w:color w:val="auto"/>
          <w:shd w:val="clear" w:color="auto" w:fill="auto"/>
          <w:lang w:val="en-US" w:eastAsia="zh-CN"/>
        </w:rPr>
        <w:t>本项目100m范围内无敏感点（最近码头庄距离105m），因此施工扬尘对敏感点影响较小。</w:t>
      </w:r>
      <w:r>
        <w:rPr>
          <w:color w:val="auto"/>
          <w:shd w:val="clear" w:color="auto" w:fill="auto"/>
        </w:rPr>
        <w:t>为了减少扬尘对厂址周围的大气环境影响，应加强施工管理</w:t>
      </w:r>
      <w:r>
        <w:rPr>
          <w:rFonts w:hint="eastAsia"/>
          <w:color w:val="auto"/>
          <w:shd w:val="clear" w:color="auto" w:fill="auto"/>
          <w:lang w:eastAsia="zh-CN"/>
        </w:rPr>
        <w:t>，</w:t>
      </w:r>
      <w:r>
        <w:rPr>
          <w:rFonts w:hint="eastAsia"/>
          <w:color w:val="auto"/>
          <w:shd w:val="clear" w:color="auto" w:fill="auto"/>
          <w:lang w:val="en-US" w:eastAsia="zh-CN"/>
        </w:rPr>
        <w:t>设置施工围挡</w:t>
      </w:r>
      <w:r>
        <w:rPr>
          <w:color w:val="auto"/>
          <w:shd w:val="clear" w:color="auto" w:fill="auto"/>
        </w:rPr>
        <w:t>。避免大风时汽车运土、卸土；在久旱无雨季节，对施工场地和运输路线采取洒水降尘措施。</w:t>
      </w:r>
    </w:p>
    <w:p>
      <w:pPr>
        <w:ind w:firstLine="480"/>
        <w:rPr>
          <w:color w:val="auto"/>
          <w:shd w:val="clear" w:color="auto" w:fill="auto"/>
        </w:rPr>
      </w:pPr>
      <w:r>
        <w:rPr>
          <w:rFonts w:hint="eastAsia"/>
          <w:color w:val="auto"/>
          <w:shd w:val="clear" w:color="auto" w:fill="auto"/>
        </w:rPr>
        <w:t>（2）施工机械燃油废气影响分析</w:t>
      </w:r>
    </w:p>
    <w:p>
      <w:pPr>
        <w:ind w:firstLine="480"/>
        <w:rPr>
          <w:rFonts w:eastAsia="宋体" w:cs="Times New Roman"/>
          <w:color w:val="auto"/>
          <w:shd w:val="clear" w:color="auto" w:fill="auto"/>
          <w:lang w:val="en-US"/>
        </w:rPr>
      </w:pPr>
      <w:r>
        <w:rPr>
          <w:color w:val="auto"/>
          <w:shd w:val="clear" w:color="auto" w:fill="auto"/>
        </w:rPr>
        <w:t>施工过程用到的施工机械，主要有运输车辆、施工船舶、挖掘机、装载机、推土机等机械，它们以柴油为燃料，产生一定量废气，包括CO、氮氧化物、SO</w:t>
      </w:r>
      <w:r>
        <w:rPr>
          <w:color w:val="auto"/>
          <w:shd w:val="clear" w:color="auto" w:fill="auto"/>
          <w:vertAlign w:val="subscript"/>
        </w:rPr>
        <w:t>2</w:t>
      </w:r>
      <w:r>
        <w:rPr>
          <w:color w:val="auto"/>
          <w:shd w:val="clear" w:color="auto" w:fill="auto"/>
        </w:rPr>
        <w:t>等。该类大气污染物属于分散的点源排放，排放量由使用的车辆、机械和设备的性能、数量以及作业率决定。根据工程分析，项目施工机械数量不多，所产生的废气总量不大且排放时间有限，项目区地形开阔，稀释扩散速度快。根据同类项目施工现场监测数据，在距离现场50</w:t>
      </w:r>
      <w:r>
        <w:rPr>
          <w:rFonts w:hint="eastAsia"/>
          <w:color w:val="auto"/>
          <w:shd w:val="clear" w:color="auto" w:fill="auto"/>
          <w:lang w:eastAsia="zh-CN"/>
        </w:rPr>
        <w:t>m</w:t>
      </w:r>
      <w:r>
        <w:rPr>
          <w:color w:val="auto"/>
          <w:shd w:val="clear" w:color="auto" w:fill="auto"/>
        </w:rPr>
        <w:t>处CO、NO</w:t>
      </w:r>
      <w:r>
        <w:rPr>
          <w:color w:val="auto"/>
          <w:shd w:val="clear" w:color="auto" w:fill="auto"/>
          <w:vertAlign w:val="subscript"/>
        </w:rPr>
        <w:t>2</w:t>
      </w:r>
      <w:r>
        <w:rPr>
          <w:color w:val="auto"/>
          <w:shd w:val="clear" w:color="auto" w:fill="auto"/>
        </w:rPr>
        <w:t>小时浓度分别为0.20</w:t>
      </w:r>
      <w:r>
        <w:rPr>
          <w:rFonts w:hint="eastAsia"/>
          <w:color w:val="auto"/>
          <w:shd w:val="clear" w:color="auto" w:fill="auto"/>
          <w:lang w:eastAsia="zh-CN"/>
        </w:rPr>
        <w:t>m</w:t>
      </w:r>
      <w:r>
        <w:rPr>
          <w:color w:val="auto"/>
          <w:shd w:val="clear" w:color="auto" w:fill="auto"/>
        </w:rPr>
        <w:t>g/</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、0.62</w:t>
      </w:r>
      <w:r>
        <w:rPr>
          <w:rFonts w:hint="eastAsia"/>
          <w:color w:val="auto"/>
          <w:shd w:val="clear" w:color="auto" w:fill="auto"/>
          <w:lang w:eastAsia="zh-CN"/>
        </w:rPr>
        <w:t>m</w:t>
      </w:r>
      <w:r>
        <w:rPr>
          <w:color w:val="auto"/>
          <w:shd w:val="clear" w:color="auto" w:fill="auto"/>
        </w:rPr>
        <w:t>g/</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，可以满足《环境空气质量标准》</w:t>
      </w:r>
      <w:r>
        <w:rPr>
          <w:rFonts w:hint="eastAsia"/>
          <w:color w:val="auto"/>
          <w:shd w:val="clear" w:color="auto" w:fill="auto"/>
        </w:rPr>
        <w:t>（</w:t>
      </w:r>
      <w:r>
        <w:rPr>
          <w:color w:val="auto"/>
          <w:shd w:val="clear" w:color="auto" w:fill="auto"/>
        </w:rPr>
        <w:t>GB3095-</w:t>
      </w:r>
      <w:r>
        <w:rPr>
          <w:rFonts w:hint="eastAsia"/>
          <w:color w:val="auto"/>
          <w:shd w:val="clear" w:color="auto" w:fill="auto"/>
        </w:rPr>
        <w:t>2012）</w:t>
      </w:r>
      <w:r>
        <w:rPr>
          <w:color w:val="auto"/>
          <w:shd w:val="clear" w:color="auto" w:fill="auto"/>
        </w:rPr>
        <w:t>中规定的二级标准要求</w:t>
      </w:r>
      <w:r>
        <w:rPr>
          <w:rFonts w:hint="eastAsia"/>
          <w:color w:val="auto"/>
          <w:shd w:val="clear" w:color="auto" w:fill="auto"/>
        </w:rPr>
        <w:t>。</w:t>
      </w:r>
      <w:r>
        <w:rPr>
          <w:rFonts w:hint="eastAsia"/>
          <w:color w:val="auto"/>
          <w:shd w:val="clear" w:color="auto" w:fill="auto"/>
          <w:lang w:val="en-US" w:eastAsia="zh-CN"/>
        </w:rPr>
        <w:t>本项目施工期100m范围内无敏感点（最近码头庄距离105m），对周边环境影响较小。</w:t>
      </w:r>
    </w:p>
    <w:p>
      <w:pPr>
        <w:tabs>
          <w:tab w:val="left" w:pos="1440"/>
        </w:tabs>
        <w:adjustRightInd w:val="0"/>
        <w:snapToGrid w:val="0"/>
        <w:ind w:firstLine="480"/>
        <w:rPr>
          <w:bCs/>
          <w:color w:val="auto"/>
          <w:shd w:val="clear" w:color="auto" w:fill="auto"/>
        </w:rPr>
      </w:pPr>
      <w:r>
        <w:rPr>
          <w:rFonts w:hint="eastAsia"/>
          <w:bCs/>
          <w:color w:val="auto"/>
          <w:shd w:val="clear" w:color="auto" w:fill="auto"/>
        </w:rPr>
        <w:t>（3）</w:t>
      </w:r>
      <w:r>
        <w:rPr>
          <w:rFonts w:hint="eastAsia"/>
          <w:bCs/>
          <w:color w:val="auto"/>
          <w:shd w:val="clear" w:color="auto" w:fill="auto"/>
          <w:lang w:eastAsia="zh-CN"/>
        </w:rPr>
        <w:t>抛泥区</w:t>
      </w:r>
      <w:r>
        <w:rPr>
          <w:rFonts w:hint="eastAsia"/>
          <w:bCs/>
          <w:color w:val="auto"/>
          <w:shd w:val="clear" w:color="auto" w:fill="auto"/>
        </w:rPr>
        <w:t>臭气影响分析</w:t>
      </w:r>
    </w:p>
    <w:p>
      <w:pPr>
        <w:tabs>
          <w:tab w:val="left" w:pos="1440"/>
        </w:tabs>
        <w:adjustRightInd w:val="0"/>
        <w:snapToGrid w:val="0"/>
        <w:ind w:firstLine="480"/>
        <w:rPr>
          <w:color w:val="auto"/>
          <w:shd w:val="clear" w:color="auto" w:fill="auto"/>
        </w:rPr>
      </w:pPr>
      <w:r>
        <w:rPr>
          <w:rFonts w:hint="eastAsia"/>
          <w:color w:val="auto"/>
          <w:shd w:val="clear" w:color="auto" w:fill="auto"/>
        </w:rPr>
        <w:t>项目水下施工产生的</w:t>
      </w:r>
      <w:r>
        <w:rPr>
          <w:color w:val="auto"/>
          <w:shd w:val="clear" w:color="auto" w:fill="auto"/>
        </w:rPr>
        <w:t>底泥，在受到扰动和堆置地面时，</w:t>
      </w:r>
      <w:r>
        <w:rPr>
          <w:rFonts w:hint="eastAsia"/>
          <w:color w:val="auto"/>
          <w:shd w:val="clear" w:color="auto" w:fill="auto"/>
        </w:rPr>
        <w:t>夏季炎热气候条件下可能</w:t>
      </w:r>
      <w:r>
        <w:rPr>
          <w:color w:val="auto"/>
          <w:shd w:val="clear" w:color="auto" w:fill="auto"/>
        </w:rPr>
        <w:t>会引起恶臭物质呈无组织状态释放，从而影响周围环境空气质量。</w:t>
      </w:r>
      <w:r>
        <w:rPr>
          <w:rFonts w:hint="eastAsia"/>
          <w:color w:val="auto"/>
          <w:shd w:val="clear" w:color="auto" w:fill="auto"/>
        </w:rPr>
        <w:t>臭气是由某些物质刺激人的嗅觉器官后，引起厌恶或不愉快的气体。有些还会引起呕吐，影响人体健康。河道底泥是一个重要的臭气源，含有多种致臭物质，如：</w:t>
      </w:r>
      <w:r>
        <w:rPr>
          <w:color w:val="auto"/>
          <w:shd w:val="clear" w:color="auto" w:fill="auto"/>
        </w:rPr>
        <w:t>H</w:t>
      </w:r>
      <w:r>
        <w:rPr>
          <w:color w:val="auto"/>
          <w:shd w:val="clear" w:color="auto" w:fill="auto"/>
          <w:vertAlign w:val="subscript"/>
        </w:rPr>
        <w:t>2</w:t>
      </w:r>
      <w:r>
        <w:rPr>
          <w:color w:val="auto"/>
          <w:shd w:val="clear" w:color="auto" w:fill="auto"/>
        </w:rPr>
        <w:t>S</w:t>
      </w:r>
      <w:r>
        <w:rPr>
          <w:rFonts w:hint="eastAsia"/>
          <w:color w:val="auto"/>
          <w:shd w:val="clear" w:color="auto" w:fill="auto"/>
        </w:rPr>
        <w:t>、吲哚类、硫醚类、脂肪酸、氨气、</w:t>
      </w:r>
      <w:r>
        <w:rPr>
          <w:color w:val="auto"/>
          <w:shd w:val="clear" w:color="auto" w:fill="auto"/>
        </w:rPr>
        <w:t>CH</w:t>
      </w:r>
      <w:r>
        <w:rPr>
          <w:color w:val="auto"/>
          <w:shd w:val="clear" w:color="auto" w:fill="auto"/>
          <w:vertAlign w:val="subscript"/>
        </w:rPr>
        <w:t>3</w:t>
      </w:r>
      <w:r>
        <w:rPr>
          <w:color w:val="auto"/>
          <w:shd w:val="clear" w:color="auto" w:fill="auto"/>
        </w:rPr>
        <w:t>SH</w:t>
      </w:r>
      <w:r>
        <w:rPr>
          <w:rFonts w:hint="eastAsia"/>
          <w:color w:val="auto"/>
          <w:shd w:val="clear" w:color="auto" w:fill="auto"/>
        </w:rPr>
        <w:t>。恶臭物质作用于人的嗅觉细胞，因其在空气中的浓度不同会引起不同的感觉。恶臭的强弱，一般分为6级，具体数值见表</w:t>
      </w: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-3。</w:t>
      </w:r>
    </w:p>
    <w:p>
      <w:pPr>
        <w:pStyle w:val="43"/>
        <w:rPr>
          <w:rFonts w:hint="default" w:ascii="Times New Roman" w:hAnsi="Times New Roman" w:eastAsia="黑体" w:cs="Times New Roman"/>
          <w:color w:val="auto"/>
          <w:kern w:val="0"/>
          <w:sz w:val="21"/>
          <w:szCs w:val="21"/>
          <w:shd w:val="clear" w:color="auto" w:fill="auto"/>
          <w:lang w:val="en-US" w:eastAsia="zh-CN" w:bidi="ar-SA"/>
        </w:rPr>
      </w:pPr>
      <w:r>
        <w:rPr>
          <w:rFonts w:hint="eastAsia" w:ascii="Times New Roman" w:hAnsi="Times New Roman" w:eastAsia="黑体" w:cs="Times New Roman"/>
          <w:color w:val="auto"/>
          <w:kern w:val="0"/>
          <w:sz w:val="21"/>
          <w:szCs w:val="21"/>
          <w:shd w:val="clear" w:color="auto" w:fill="auto"/>
          <w:lang w:val="en-US" w:eastAsia="zh-CN" w:bidi="ar-SA"/>
        </w:rPr>
        <w:t>表4.2-3 恶臭物质的臭气强度与浓度的关系</w:t>
      </w:r>
    </w:p>
    <w:tbl>
      <w:tblPr>
        <w:tblStyle w:val="26"/>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9"/>
        <w:gridCol w:w="1059"/>
        <w:gridCol w:w="938"/>
        <w:gridCol w:w="938"/>
        <w:gridCol w:w="909"/>
        <w:gridCol w:w="909"/>
        <w:gridCol w:w="880"/>
        <w:gridCol w:w="880"/>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臭气强度</w:t>
            </w:r>
          </w:p>
        </w:tc>
        <w:tc>
          <w:tcPr>
            <w:tcW w:w="105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0级</w:t>
            </w:r>
          </w:p>
        </w:tc>
        <w:tc>
          <w:tcPr>
            <w:tcW w:w="938"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1</w:t>
            </w:r>
          </w:p>
        </w:tc>
        <w:tc>
          <w:tcPr>
            <w:tcW w:w="938"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2</w:t>
            </w:r>
          </w:p>
        </w:tc>
        <w:tc>
          <w:tcPr>
            <w:tcW w:w="90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2.5</w:t>
            </w:r>
          </w:p>
        </w:tc>
        <w:tc>
          <w:tcPr>
            <w:tcW w:w="90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3</w:t>
            </w:r>
          </w:p>
        </w:tc>
        <w:tc>
          <w:tcPr>
            <w:tcW w:w="880"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3.5</w:t>
            </w:r>
          </w:p>
        </w:tc>
        <w:tc>
          <w:tcPr>
            <w:tcW w:w="880"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4</w:t>
            </w:r>
          </w:p>
        </w:tc>
        <w:tc>
          <w:tcPr>
            <w:tcW w:w="850"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嗅觉感</w:t>
            </w:r>
          </w:p>
          <w:p>
            <w:pPr>
              <w:spacing w:line="240" w:lineRule="auto"/>
              <w:ind w:firstLine="0" w:firstLineChars="0"/>
              <w:jc w:val="center"/>
              <w:rPr>
                <w:color w:val="auto"/>
                <w:sz w:val="21"/>
                <w:szCs w:val="21"/>
                <w:shd w:val="clear" w:color="auto" w:fill="auto"/>
              </w:rPr>
            </w:pPr>
            <w:r>
              <w:rPr>
                <w:color w:val="auto"/>
                <w:sz w:val="21"/>
                <w:szCs w:val="21"/>
                <w:shd w:val="clear" w:color="auto" w:fill="auto"/>
              </w:rPr>
              <w:t>觉程度</w:t>
            </w:r>
          </w:p>
        </w:tc>
        <w:tc>
          <w:tcPr>
            <w:tcW w:w="105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感觉</w:t>
            </w:r>
          </w:p>
          <w:p>
            <w:pPr>
              <w:spacing w:line="240" w:lineRule="auto"/>
              <w:ind w:firstLine="0" w:firstLineChars="0"/>
              <w:jc w:val="center"/>
              <w:rPr>
                <w:color w:val="auto"/>
                <w:sz w:val="21"/>
                <w:szCs w:val="21"/>
                <w:shd w:val="clear" w:color="auto" w:fill="auto"/>
              </w:rPr>
            </w:pPr>
            <w:r>
              <w:rPr>
                <w:color w:val="auto"/>
                <w:sz w:val="21"/>
                <w:szCs w:val="21"/>
                <w:shd w:val="clear" w:color="auto" w:fill="auto"/>
              </w:rPr>
              <w:t>不到</w:t>
            </w:r>
          </w:p>
        </w:tc>
        <w:tc>
          <w:tcPr>
            <w:tcW w:w="938"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略微</w:t>
            </w:r>
          </w:p>
          <w:p>
            <w:pPr>
              <w:spacing w:line="240" w:lineRule="auto"/>
              <w:ind w:firstLine="0" w:firstLineChars="0"/>
              <w:jc w:val="center"/>
              <w:rPr>
                <w:color w:val="auto"/>
                <w:sz w:val="21"/>
                <w:szCs w:val="21"/>
                <w:shd w:val="clear" w:color="auto" w:fill="auto"/>
              </w:rPr>
            </w:pPr>
            <w:r>
              <w:rPr>
                <w:color w:val="auto"/>
                <w:sz w:val="21"/>
                <w:szCs w:val="21"/>
                <w:shd w:val="clear" w:color="auto" w:fill="auto"/>
              </w:rPr>
              <w:t>感到</w:t>
            </w:r>
          </w:p>
        </w:tc>
        <w:tc>
          <w:tcPr>
            <w:tcW w:w="938"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易感微弱臭味</w:t>
            </w:r>
          </w:p>
        </w:tc>
        <w:tc>
          <w:tcPr>
            <w:tcW w:w="2698" w:type="dxa"/>
            <w:gridSpan w:val="3"/>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明显感到</w:t>
            </w:r>
          </w:p>
          <w:p>
            <w:pPr>
              <w:spacing w:line="240" w:lineRule="auto"/>
              <w:ind w:firstLine="0" w:firstLineChars="0"/>
              <w:jc w:val="center"/>
              <w:rPr>
                <w:color w:val="auto"/>
                <w:sz w:val="21"/>
                <w:szCs w:val="21"/>
                <w:shd w:val="clear" w:color="auto" w:fill="auto"/>
              </w:rPr>
            </w:pPr>
            <w:r>
              <w:rPr>
                <w:color w:val="auto"/>
                <w:sz w:val="21"/>
                <w:szCs w:val="21"/>
                <w:shd w:val="clear" w:color="auto" w:fill="auto"/>
              </w:rPr>
              <w:t>臭味</w:t>
            </w:r>
          </w:p>
        </w:tc>
        <w:tc>
          <w:tcPr>
            <w:tcW w:w="880"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较强</w:t>
            </w:r>
          </w:p>
          <w:p>
            <w:pPr>
              <w:spacing w:line="240" w:lineRule="auto"/>
              <w:ind w:firstLine="0" w:firstLineChars="0"/>
              <w:jc w:val="center"/>
              <w:rPr>
                <w:color w:val="auto"/>
                <w:sz w:val="21"/>
                <w:szCs w:val="21"/>
                <w:shd w:val="clear" w:color="auto" w:fill="auto"/>
              </w:rPr>
            </w:pPr>
            <w:r>
              <w:rPr>
                <w:color w:val="auto"/>
                <w:sz w:val="21"/>
                <w:szCs w:val="21"/>
                <w:shd w:val="clear" w:color="auto" w:fill="auto"/>
              </w:rPr>
              <w:t>感到</w:t>
            </w:r>
          </w:p>
        </w:tc>
        <w:tc>
          <w:tcPr>
            <w:tcW w:w="850"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极强</w:t>
            </w:r>
          </w:p>
          <w:p>
            <w:pPr>
              <w:spacing w:line="240" w:lineRule="auto"/>
              <w:ind w:firstLine="0" w:firstLineChars="0"/>
              <w:jc w:val="center"/>
              <w:rPr>
                <w:color w:val="auto"/>
                <w:sz w:val="21"/>
                <w:szCs w:val="21"/>
                <w:shd w:val="clear" w:color="auto" w:fill="auto"/>
              </w:rPr>
            </w:pPr>
            <w:r>
              <w:rPr>
                <w:color w:val="auto"/>
                <w:sz w:val="21"/>
                <w:szCs w:val="21"/>
                <w:shd w:val="clear" w:color="auto" w:fill="auto"/>
              </w:rPr>
              <w:t>感到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氨</w:t>
            </w:r>
          </w:p>
        </w:tc>
        <w:tc>
          <w:tcPr>
            <w:tcW w:w="105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＜0.1</w:t>
            </w:r>
          </w:p>
        </w:tc>
        <w:tc>
          <w:tcPr>
            <w:tcW w:w="938"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0.1</w:t>
            </w:r>
          </w:p>
        </w:tc>
        <w:tc>
          <w:tcPr>
            <w:tcW w:w="938"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0.6</w:t>
            </w:r>
          </w:p>
        </w:tc>
        <w:tc>
          <w:tcPr>
            <w:tcW w:w="90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1</w:t>
            </w:r>
          </w:p>
        </w:tc>
        <w:tc>
          <w:tcPr>
            <w:tcW w:w="90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2</w:t>
            </w:r>
          </w:p>
        </w:tc>
        <w:tc>
          <w:tcPr>
            <w:tcW w:w="880"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5</w:t>
            </w:r>
          </w:p>
        </w:tc>
        <w:tc>
          <w:tcPr>
            <w:tcW w:w="880"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10</w:t>
            </w:r>
          </w:p>
        </w:tc>
        <w:tc>
          <w:tcPr>
            <w:tcW w:w="850"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甲硫醇</w:t>
            </w:r>
          </w:p>
        </w:tc>
        <w:tc>
          <w:tcPr>
            <w:tcW w:w="105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＜0.0001</w:t>
            </w:r>
          </w:p>
        </w:tc>
        <w:tc>
          <w:tcPr>
            <w:tcW w:w="938"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0.0001</w:t>
            </w:r>
          </w:p>
        </w:tc>
        <w:tc>
          <w:tcPr>
            <w:tcW w:w="938"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0.0007</w:t>
            </w:r>
          </w:p>
        </w:tc>
        <w:tc>
          <w:tcPr>
            <w:tcW w:w="90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0.002</w:t>
            </w:r>
          </w:p>
        </w:tc>
        <w:tc>
          <w:tcPr>
            <w:tcW w:w="90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0.004</w:t>
            </w:r>
          </w:p>
        </w:tc>
        <w:tc>
          <w:tcPr>
            <w:tcW w:w="880"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0.01</w:t>
            </w:r>
          </w:p>
        </w:tc>
        <w:tc>
          <w:tcPr>
            <w:tcW w:w="880"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0.03</w:t>
            </w:r>
          </w:p>
        </w:tc>
        <w:tc>
          <w:tcPr>
            <w:tcW w:w="850"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硫化氢</w:t>
            </w:r>
          </w:p>
        </w:tc>
        <w:tc>
          <w:tcPr>
            <w:tcW w:w="105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＜0.0005</w:t>
            </w:r>
          </w:p>
        </w:tc>
        <w:tc>
          <w:tcPr>
            <w:tcW w:w="938"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0.0005</w:t>
            </w:r>
          </w:p>
        </w:tc>
        <w:tc>
          <w:tcPr>
            <w:tcW w:w="938"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0.006</w:t>
            </w:r>
          </w:p>
        </w:tc>
        <w:tc>
          <w:tcPr>
            <w:tcW w:w="90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0.02</w:t>
            </w:r>
          </w:p>
        </w:tc>
        <w:tc>
          <w:tcPr>
            <w:tcW w:w="90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0.06</w:t>
            </w:r>
          </w:p>
        </w:tc>
        <w:tc>
          <w:tcPr>
            <w:tcW w:w="880"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0.2</w:t>
            </w:r>
          </w:p>
        </w:tc>
        <w:tc>
          <w:tcPr>
            <w:tcW w:w="880"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0.7</w:t>
            </w:r>
          </w:p>
        </w:tc>
        <w:tc>
          <w:tcPr>
            <w:tcW w:w="850"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8</w:t>
            </w:r>
          </w:p>
        </w:tc>
      </w:tr>
    </w:tbl>
    <w:p>
      <w:pPr>
        <w:ind w:firstLine="480"/>
        <w:rPr>
          <w:color w:val="auto"/>
          <w:shd w:val="clear" w:color="auto" w:fill="auto"/>
        </w:rPr>
      </w:pPr>
      <w:r>
        <w:rPr>
          <w:rFonts w:hint="eastAsia"/>
          <w:color w:val="auto"/>
          <w:shd w:val="clear" w:color="auto" w:fill="auto"/>
        </w:rPr>
        <w:t>评价类比同类项目</w:t>
      </w:r>
      <w:r>
        <w:rPr>
          <w:color w:val="auto"/>
          <w:shd w:val="clear" w:color="auto" w:fill="auto"/>
        </w:rPr>
        <w:t>底泥</w:t>
      </w:r>
      <w:r>
        <w:rPr>
          <w:rFonts w:hint="eastAsia"/>
          <w:color w:val="auto"/>
          <w:shd w:val="clear" w:color="auto" w:fill="auto"/>
        </w:rPr>
        <w:t>的</w:t>
      </w:r>
      <w:r>
        <w:rPr>
          <w:color w:val="auto"/>
          <w:shd w:val="clear" w:color="auto" w:fill="auto"/>
        </w:rPr>
        <w:t>调查</w:t>
      </w:r>
      <w:r>
        <w:rPr>
          <w:rFonts w:hint="eastAsia"/>
          <w:color w:val="auto"/>
          <w:shd w:val="clear" w:color="auto" w:fill="auto"/>
        </w:rPr>
        <w:t>情况</w:t>
      </w:r>
      <w:r>
        <w:rPr>
          <w:color w:val="auto"/>
          <w:shd w:val="clear" w:color="auto" w:fill="auto"/>
        </w:rPr>
        <w:t>及监测</w:t>
      </w:r>
      <w:r>
        <w:rPr>
          <w:rFonts w:hint="eastAsia"/>
          <w:color w:val="auto"/>
          <w:shd w:val="clear" w:color="auto" w:fill="auto"/>
        </w:rPr>
        <w:t>数据</w:t>
      </w:r>
      <w:r>
        <w:rPr>
          <w:color w:val="auto"/>
          <w:shd w:val="clear" w:color="auto" w:fill="auto"/>
        </w:rPr>
        <w:t>，</w:t>
      </w:r>
      <w:r>
        <w:rPr>
          <w:rFonts w:hint="eastAsia"/>
          <w:color w:val="auto"/>
          <w:shd w:val="clear" w:color="auto" w:fill="auto"/>
        </w:rPr>
        <w:t>底泥的</w:t>
      </w:r>
      <w:r>
        <w:rPr>
          <w:color w:val="auto"/>
          <w:shd w:val="clear" w:color="auto" w:fill="auto"/>
        </w:rPr>
        <w:t>恶臭强度约为</w:t>
      </w:r>
      <w:r>
        <w:rPr>
          <w:rFonts w:hint="eastAsia"/>
          <w:color w:val="auto"/>
          <w:shd w:val="clear" w:color="auto" w:fill="auto"/>
        </w:rPr>
        <w:t>2</w:t>
      </w:r>
      <w:r>
        <w:rPr>
          <w:color w:val="auto"/>
          <w:shd w:val="clear" w:color="auto" w:fill="auto"/>
        </w:rPr>
        <w:t>～</w:t>
      </w:r>
      <w:r>
        <w:rPr>
          <w:rFonts w:hint="eastAsia"/>
          <w:color w:val="auto"/>
          <w:shd w:val="clear" w:color="auto" w:fill="auto"/>
        </w:rPr>
        <w:t>3</w:t>
      </w:r>
      <w:r>
        <w:rPr>
          <w:color w:val="auto"/>
          <w:shd w:val="clear" w:color="auto" w:fill="auto"/>
        </w:rPr>
        <w:t>级，影响范围</w:t>
      </w:r>
      <w:r>
        <w:rPr>
          <w:rFonts w:hint="eastAsia"/>
          <w:color w:val="auto"/>
          <w:shd w:val="clear" w:color="auto" w:fill="auto"/>
        </w:rPr>
        <w:t>一般</w:t>
      </w:r>
      <w:r>
        <w:rPr>
          <w:color w:val="auto"/>
          <w:shd w:val="clear" w:color="auto" w:fill="auto"/>
        </w:rPr>
        <w:t>在</w:t>
      </w:r>
      <w:r>
        <w:rPr>
          <w:rFonts w:hint="eastAsia"/>
          <w:color w:val="auto"/>
          <w:shd w:val="clear" w:color="auto" w:fill="auto"/>
        </w:rPr>
        <w:t>5</w:t>
      </w:r>
      <w:r>
        <w:rPr>
          <w:color w:val="auto"/>
          <w:shd w:val="clear" w:color="auto" w:fill="auto"/>
        </w:rPr>
        <w:t>0</w:t>
      </w:r>
      <w:r>
        <w:rPr>
          <w:rFonts w:hint="eastAsia"/>
          <w:color w:val="auto"/>
          <w:shd w:val="clear" w:color="auto" w:fill="auto"/>
          <w:lang w:eastAsia="zh-CN"/>
        </w:rPr>
        <w:t>m</w:t>
      </w:r>
      <w:r>
        <w:rPr>
          <w:rFonts w:hint="eastAsia"/>
          <w:color w:val="auto"/>
          <w:shd w:val="clear" w:color="auto" w:fill="auto"/>
        </w:rPr>
        <w:t>以内</w:t>
      </w:r>
      <w:r>
        <w:rPr>
          <w:color w:val="auto"/>
          <w:shd w:val="clear" w:color="auto" w:fill="auto"/>
        </w:rPr>
        <w:t>，底泥几乎感觉不到恶臭气味。有风时，下风向影响范围稍大一些。</w:t>
      </w:r>
    </w:p>
    <w:p>
      <w:pPr>
        <w:pStyle w:val="2"/>
        <w:ind w:left="0" w:leftChars="0" w:firstLine="0" w:firstLineChars="0"/>
        <w:jc w:val="center"/>
        <w:rPr>
          <w:color w:val="auto"/>
          <w:shd w:val="clear" w:color="auto" w:fill="auto"/>
        </w:rPr>
      </w:pPr>
      <w:r>
        <w:drawing>
          <wp:inline distT="0" distB="0" distL="114300" distR="114300">
            <wp:extent cx="5264150" cy="3034665"/>
            <wp:effectExtent l="0" t="0" r="12700" b="13335"/>
            <wp:docPr id="9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2"/>
                    <pic:cNvPicPr>
                      <a:picLocks noChangeAspect="1"/>
                    </pic:cNvPicPr>
                  </pic:nvPicPr>
                  <pic:blipFill>
                    <a:blip r:embed="rId52"/>
                    <a:stretch>
                      <a:fillRect/>
                    </a:stretch>
                  </pic:blipFill>
                  <pic:spPr>
                    <a:xfrm>
                      <a:off x="0" y="0"/>
                      <a:ext cx="5264150" cy="3034665"/>
                    </a:xfrm>
                    <a:prstGeom prst="rect">
                      <a:avLst/>
                    </a:prstGeom>
                    <a:noFill/>
                    <a:ln>
                      <a:noFill/>
                    </a:ln>
                  </pic:spPr>
                </pic:pic>
              </a:graphicData>
            </a:graphic>
          </wp:inline>
        </w:drawing>
      </w:r>
    </w:p>
    <w:p>
      <w:pPr>
        <w:pStyle w:val="2"/>
        <w:ind w:left="0" w:leftChars="0" w:firstLine="0" w:firstLineChars="0"/>
        <w:jc w:val="center"/>
        <w:rPr>
          <w:rFonts w:hint="default" w:ascii="Times New Roman" w:hAnsi="Times New Roman" w:eastAsia="黑体" w:cs="Times New Roman"/>
          <w:color w:val="auto"/>
          <w:kern w:val="2"/>
          <w:sz w:val="24"/>
          <w:szCs w:val="24"/>
          <w:shd w:val="clear" w:color="auto" w:fill="auto"/>
          <w:lang w:val="en-US" w:eastAsia="zh-CN" w:bidi="ar-SA"/>
        </w:rPr>
      </w:pPr>
      <w:r>
        <w:rPr>
          <w:rFonts w:hint="eastAsia" w:ascii="Times New Roman" w:hAnsi="Times New Roman" w:eastAsia="黑体" w:cs="Times New Roman"/>
          <w:color w:val="auto"/>
          <w:kern w:val="2"/>
          <w:sz w:val="24"/>
          <w:szCs w:val="24"/>
          <w:shd w:val="clear" w:color="auto" w:fill="auto"/>
          <w:lang w:val="en-US" w:eastAsia="zh-CN" w:bidi="ar-SA"/>
        </w:rPr>
        <w:t>图4.</w:t>
      </w:r>
      <w:r>
        <w:rPr>
          <w:rFonts w:hint="eastAsia" w:eastAsia="黑体" w:cs="Times New Roman"/>
          <w:color w:val="auto"/>
          <w:kern w:val="2"/>
          <w:sz w:val="24"/>
          <w:szCs w:val="24"/>
          <w:shd w:val="clear" w:color="auto" w:fill="auto"/>
          <w:lang w:val="en-US" w:eastAsia="zh-CN" w:bidi="ar-SA"/>
        </w:rPr>
        <w:t>2</w:t>
      </w:r>
      <w:r>
        <w:rPr>
          <w:rFonts w:hint="eastAsia" w:ascii="Times New Roman" w:hAnsi="Times New Roman" w:eastAsia="黑体" w:cs="Times New Roman"/>
          <w:color w:val="auto"/>
          <w:kern w:val="2"/>
          <w:sz w:val="24"/>
          <w:szCs w:val="24"/>
          <w:shd w:val="clear" w:color="auto" w:fill="auto"/>
          <w:lang w:val="en-US" w:eastAsia="zh-CN" w:bidi="ar-SA"/>
        </w:rPr>
        <w:t>-1 弃土</w:t>
      </w:r>
      <w:r>
        <w:rPr>
          <w:rFonts w:hint="eastAsia" w:eastAsia="黑体" w:cs="Times New Roman"/>
          <w:color w:val="auto"/>
          <w:kern w:val="2"/>
          <w:sz w:val="24"/>
          <w:szCs w:val="24"/>
          <w:shd w:val="clear" w:color="auto" w:fill="auto"/>
          <w:lang w:val="en-US" w:eastAsia="zh-CN" w:bidi="ar-SA"/>
        </w:rPr>
        <w:t>（抛泥）</w:t>
      </w:r>
      <w:r>
        <w:rPr>
          <w:rFonts w:hint="eastAsia" w:ascii="Times New Roman" w:hAnsi="Times New Roman" w:eastAsia="黑体" w:cs="Times New Roman"/>
          <w:color w:val="auto"/>
          <w:kern w:val="2"/>
          <w:sz w:val="24"/>
          <w:szCs w:val="24"/>
          <w:shd w:val="clear" w:color="auto" w:fill="auto"/>
          <w:lang w:val="en-US" w:eastAsia="zh-CN" w:bidi="ar-SA"/>
        </w:rPr>
        <w:t>区位置图</w:t>
      </w:r>
    </w:p>
    <w:p>
      <w:pPr>
        <w:pStyle w:val="2"/>
        <w:rPr>
          <w:color w:val="auto"/>
          <w:shd w:val="clear" w:color="auto" w:fill="auto"/>
        </w:rPr>
      </w:pPr>
      <w:r>
        <w:rPr>
          <w:rFonts w:hint="eastAsia"/>
          <w:color w:val="auto"/>
          <w:shd w:val="clear" w:color="auto" w:fill="auto"/>
          <w:lang w:val="en-US" w:eastAsia="zh-CN"/>
        </w:rPr>
        <w:t>本项目</w:t>
      </w:r>
      <w:r>
        <w:rPr>
          <w:rFonts w:hint="eastAsia"/>
          <w:color w:val="auto"/>
          <w:shd w:val="clear" w:color="auto" w:fill="auto"/>
        </w:rPr>
        <w:t>设置1处弃土区，位于码头</w:t>
      </w:r>
      <w:r>
        <w:rPr>
          <w:rFonts w:hint="eastAsia"/>
          <w:color w:val="auto"/>
          <w:shd w:val="clear" w:color="auto" w:fill="auto"/>
          <w:lang w:val="en-US" w:eastAsia="zh-CN"/>
        </w:rPr>
        <w:t>后方</w:t>
      </w:r>
      <w:r>
        <w:rPr>
          <w:rFonts w:hint="eastAsia"/>
          <w:color w:val="auto"/>
          <w:shd w:val="clear" w:color="auto" w:fill="auto"/>
        </w:rPr>
        <w:t>，距离</w:t>
      </w:r>
      <w:r>
        <w:rPr>
          <w:rFonts w:hint="eastAsia"/>
          <w:color w:val="auto"/>
          <w:shd w:val="clear" w:color="auto" w:fill="auto"/>
          <w:lang w:val="en-US" w:eastAsia="zh-CN"/>
        </w:rPr>
        <w:t>码头直线</w:t>
      </w:r>
      <w:r>
        <w:rPr>
          <w:rFonts w:hint="eastAsia"/>
          <w:color w:val="auto"/>
          <w:shd w:val="clear" w:color="auto" w:fill="auto"/>
        </w:rPr>
        <w:t>约</w:t>
      </w:r>
      <w:r>
        <w:rPr>
          <w:rFonts w:hint="eastAsia"/>
          <w:color w:val="auto"/>
          <w:shd w:val="clear" w:color="auto" w:fill="auto"/>
          <w:lang w:val="en-US" w:eastAsia="zh-CN"/>
        </w:rPr>
        <w:t>1.06</w:t>
      </w:r>
      <w:r>
        <w:rPr>
          <w:rFonts w:hint="eastAsia"/>
          <w:color w:val="auto"/>
          <w:shd w:val="clear" w:color="auto" w:fill="auto"/>
          <w:lang w:eastAsia="zh-CN"/>
        </w:rPr>
        <w:t>m</w:t>
      </w:r>
      <w:r>
        <w:rPr>
          <w:rFonts w:hint="eastAsia"/>
          <w:color w:val="auto"/>
          <w:shd w:val="clear" w:color="auto" w:fill="auto"/>
        </w:rPr>
        <w:t>。现状占地类型主要为低洼坑塘。弃土区占地面积共计</w:t>
      </w:r>
      <w:r>
        <w:rPr>
          <w:rFonts w:hint="eastAsia"/>
          <w:color w:val="auto"/>
          <w:shd w:val="clear" w:color="auto" w:fill="auto"/>
          <w:lang w:eastAsia="zh-CN"/>
        </w:rPr>
        <w:t>2.78</w:t>
      </w:r>
      <w:r>
        <w:rPr>
          <w:rFonts w:hint="eastAsia"/>
          <w:color w:val="auto"/>
          <w:shd w:val="clear" w:color="auto" w:fill="auto"/>
        </w:rPr>
        <w:t>h</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2</w:t>
      </w:r>
      <w:r>
        <w:rPr>
          <w:rFonts w:hint="eastAsia"/>
          <w:color w:val="auto"/>
          <w:shd w:val="clear" w:color="auto" w:fill="auto"/>
        </w:rPr>
        <w:t>，可容纳弃土量</w:t>
      </w:r>
      <w:r>
        <w:rPr>
          <w:rFonts w:hint="eastAsia"/>
          <w:color w:val="auto"/>
          <w:shd w:val="clear" w:color="auto" w:fill="auto"/>
          <w:lang w:eastAsia="zh-CN"/>
        </w:rPr>
        <w:t>6.95</w:t>
      </w:r>
      <w:r>
        <w:rPr>
          <w:rFonts w:hint="eastAsia"/>
          <w:color w:val="auto"/>
          <w:shd w:val="clear" w:color="auto" w:fill="auto"/>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。疏浚泥浆经过输泥泵排入</w:t>
      </w:r>
      <w:r>
        <w:rPr>
          <w:rFonts w:hint="eastAsia"/>
          <w:color w:val="auto"/>
          <w:shd w:val="clear" w:color="auto" w:fill="auto"/>
          <w:lang w:eastAsia="zh-CN"/>
        </w:rPr>
        <w:t>抛泥区，</w:t>
      </w:r>
      <w:r>
        <w:rPr>
          <w:rFonts w:hint="eastAsia"/>
          <w:color w:val="auto"/>
          <w:shd w:val="clear" w:color="auto" w:fill="auto"/>
          <w:lang w:val="en-US" w:eastAsia="zh-CN"/>
        </w:rPr>
        <w:t>抛泥区10</w:t>
      </w:r>
      <w:r>
        <w:rPr>
          <w:rFonts w:hint="eastAsia"/>
          <w:color w:val="auto"/>
          <w:shd w:val="clear" w:color="auto" w:fill="auto"/>
        </w:rPr>
        <w:t>0</w:t>
      </w:r>
      <w:r>
        <w:rPr>
          <w:rFonts w:hint="eastAsia"/>
          <w:color w:val="auto"/>
          <w:shd w:val="clear" w:color="auto" w:fill="auto"/>
          <w:lang w:eastAsia="zh-CN"/>
        </w:rPr>
        <w:t>m</w:t>
      </w:r>
      <w:r>
        <w:rPr>
          <w:rFonts w:hint="eastAsia"/>
          <w:color w:val="auto"/>
          <w:shd w:val="clear" w:color="auto" w:fill="auto"/>
        </w:rPr>
        <w:t>范围内无敏感点，可满足</w:t>
      </w:r>
      <w:r>
        <w:rPr>
          <w:rFonts w:hint="eastAsia"/>
          <w:color w:val="auto"/>
          <w:shd w:val="clear" w:color="auto" w:fill="auto"/>
          <w:lang w:eastAsia="zh-CN"/>
        </w:rPr>
        <w:t>抛泥区</w:t>
      </w:r>
      <w:r>
        <w:rPr>
          <w:rFonts w:hint="eastAsia"/>
          <w:color w:val="auto"/>
          <w:shd w:val="clear" w:color="auto" w:fill="auto"/>
        </w:rPr>
        <w:t>卫生</w:t>
      </w:r>
      <w:r>
        <w:rPr>
          <w:rFonts w:hint="eastAsia"/>
          <w:color w:val="auto"/>
          <w:shd w:val="clear" w:color="auto" w:fill="auto"/>
          <w:lang w:eastAsia="zh-CN"/>
        </w:rPr>
        <w:t>防护</w:t>
      </w:r>
      <w:r>
        <w:rPr>
          <w:rFonts w:hint="eastAsia"/>
          <w:color w:val="auto"/>
          <w:shd w:val="clear" w:color="auto" w:fill="auto"/>
        </w:rPr>
        <w:t>距离要求</w:t>
      </w:r>
      <w:r>
        <w:rPr>
          <w:color w:val="auto"/>
          <w:shd w:val="clear" w:color="auto" w:fill="auto"/>
        </w:rPr>
        <w:t>，</w:t>
      </w:r>
      <w:r>
        <w:rPr>
          <w:rFonts w:hint="eastAsia"/>
          <w:color w:val="auto"/>
          <w:shd w:val="clear" w:color="auto" w:fill="auto"/>
        </w:rPr>
        <w:t>故施工期河道</w:t>
      </w:r>
      <w:r>
        <w:rPr>
          <w:color w:val="auto"/>
          <w:shd w:val="clear" w:color="auto" w:fill="auto"/>
        </w:rPr>
        <w:t>底泥</w:t>
      </w:r>
      <w:r>
        <w:rPr>
          <w:rFonts w:hint="eastAsia"/>
          <w:color w:val="auto"/>
          <w:shd w:val="clear" w:color="auto" w:fill="auto"/>
          <w:lang w:eastAsia="zh-CN"/>
        </w:rPr>
        <w:t>抛泥</w:t>
      </w:r>
      <w:r>
        <w:rPr>
          <w:color w:val="auto"/>
          <w:shd w:val="clear" w:color="auto" w:fill="auto"/>
        </w:rPr>
        <w:t>产生的恶臭不会对周围居民产生</w:t>
      </w:r>
      <w:r>
        <w:rPr>
          <w:rFonts w:hint="eastAsia"/>
          <w:color w:val="auto"/>
          <w:shd w:val="clear" w:color="auto" w:fill="auto"/>
        </w:rPr>
        <w:t>明显</w:t>
      </w:r>
      <w:r>
        <w:rPr>
          <w:color w:val="auto"/>
          <w:shd w:val="clear" w:color="auto" w:fill="auto"/>
        </w:rPr>
        <w:t>影响。随着</w:t>
      </w:r>
      <w:r>
        <w:rPr>
          <w:rFonts w:hint="eastAsia"/>
          <w:color w:val="auto"/>
          <w:shd w:val="clear" w:color="auto" w:fill="auto"/>
        </w:rPr>
        <w:t>疏浚工程的</w:t>
      </w:r>
      <w:r>
        <w:rPr>
          <w:color w:val="auto"/>
          <w:shd w:val="clear" w:color="auto" w:fill="auto"/>
        </w:rPr>
        <w:t>结束</w:t>
      </w:r>
      <w:r>
        <w:rPr>
          <w:rFonts w:hint="eastAsia"/>
          <w:color w:val="auto"/>
          <w:shd w:val="clear" w:color="auto" w:fill="auto"/>
        </w:rPr>
        <w:t>、</w:t>
      </w:r>
      <w:r>
        <w:rPr>
          <w:rFonts w:hint="eastAsia"/>
          <w:color w:val="auto"/>
          <w:shd w:val="clear" w:color="auto" w:fill="auto"/>
          <w:lang w:eastAsia="zh-CN"/>
        </w:rPr>
        <w:t>抛泥区</w:t>
      </w:r>
      <w:r>
        <w:rPr>
          <w:rFonts w:hint="eastAsia"/>
          <w:color w:val="auto"/>
          <w:shd w:val="clear" w:color="auto" w:fill="auto"/>
        </w:rPr>
        <w:t>的</w:t>
      </w:r>
      <w:r>
        <w:rPr>
          <w:color w:val="auto"/>
          <w:shd w:val="clear" w:color="auto" w:fill="auto"/>
        </w:rPr>
        <w:t>底泥固化</w:t>
      </w:r>
      <w:r>
        <w:rPr>
          <w:rFonts w:hint="eastAsia"/>
          <w:color w:val="auto"/>
          <w:shd w:val="clear" w:color="auto" w:fill="auto"/>
        </w:rPr>
        <w:t>，并</w:t>
      </w:r>
      <w:r>
        <w:rPr>
          <w:color w:val="auto"/>
          <w:shd w:val="clear" w:color="auto" w:fill="auto"/>
        </w:rPr>
        <w:t>恢复为耕地，恶臭气味将会消失。</w:t>
      </w:r>
    </w:p>
    <w:p>
      <w:pPr>
        <w:pStyle w:val="5"/>
        <w:rPr>
          <w:rFonts w:hint="eastAsia"/>
          <w:color w:val="auto"/>
          <w:shd w:val="clear" w:color="auto" w:fill="auto"/>
        </w:rPr>
      </w:pP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.2 施工期地表水环境影响分析</w:t>
      </w:r>
    </w:p>
    <w:p>
      <w:pPr>
        <w:pStyle w:val="6"/>
        <w:rPr>
          <w:rFonts w:hint="eastAsia"/>
          <w:color w:val="auto"/>
          <w:shd w:val="clear" w:color="auto" w:fill="auto"/>
          <w:lang w:val="en-US"/>
        </w:rPr>
      </w:pPr>
      <w:r>
        <w:rPr>
          <w:rFonts w:hint="eastAsia"/>
          <w:color w:val="auto"/>
          <w:shd w:val="clear" w:color="auto" w:fill="auto"/>
          <w:lang w:val="en-US" w:eastAsia="zh-CN"/>
        </w:rPr>
        <w:t>4.2.2.1 水域施工对沙颍河扰动的影响分析</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eastAsia" w:ascii="宋体" w:hAnsi="宋体" w:eastAsia="宋体" w:cs="宋体"/>
          <w:color w:val="auto"/>
          <w:sz w:val="24"/>
          <w:szCs w:val="24"/>
          <w:shd w:val="clear" w:color="auto" w:fill="auto"/>
        </w:rPr>
        <w:t>①</w:t>
      </w:r>
      <w:r>
        <w:rPr>
          <w:rFonts w:hint="default" w:ascii="Times New Roman" w:hAnsi="Times New Roman" w:cs="Times New Roman"/>
          <w:color w:val="auto"/>
          <w:sz w:val="24"/>
          <w:szCs w:val="24"/>
          <w:shd w:val="clear" w:color="auto" w:fill="auto"/>
        </w:rPr>
        <w:t>钻孔准备阶段(围堰)</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default" w:ascii="Times New Roman" w:hAnsi="Times New Roman" w:cs="Times New Roman"/>
          <w:color w:val="auto"/>
          <w:sz w:val="24"/>
          <w:szCs w:val="24"/>
          <w:shd w:val="clear" w:color="auto" w:fill="auto"/>
        </w:rPr>
        <w:t>框架墩采取围堰施工时，土袋围堰适用于水深3.0</w:t>
      </w:r>
      <w:r>
        <w:rPr>
          <w:rFonts w:hint="eastAsia" w:cs="Times New Roman"/>
          <w:color w:val="auto"/>
          <w:sz w:val="24"/>
          <w:szCs w:val="24"/>
          <w:shd w:val="clear" w:color="auto" w:fill="auto"/>
          <w:lang w:eastAsia="zh-CN"/>
        </w:rPr>
        <w:t>m</w:t>
      </w:r>
      <w:r>
        <w:rPr>
          <w:rFonts w:hint="default" w:ascii="Times New Roman" w:hAnsi="Times New Roman" w:cs="Times New Roman"/>
          <w:color w:val="auto"/>
          <w:sz w:val="24"/>
          <w:szCs w:val="24"/>
          <w:shd w:val="clear" w:color="auto" w:fill="auto"/>
        </w:rPr>
        <w:t>以内。土袋沉入水中的初期，可能会产生部分土壤颗粒被水流冲进水域内，使局部水环境混浊度提高。但随着层层土袋的互相错缝与压实，土袋内的土壤颗粒被水流冲进水域的可能性会减少。在水深大于3.0</w:t>
      </w:r>
      <w:r>
        <w:rPr>
          <w:rFonts w:hint="eastAsia" w:cs="Times New Roman"/>
          <w:color w:val="auto"/>
          <w:sz w:val="24"/>
          <w:szCs w:val="24"/>
          <w:shd w:val="clear" w:color="auto" w:fill="auto"/>
          <w:lang w:eastAsia="zh-CN"/>
        </w:rPr>
        <w:t>m</w:t>
      </w:r>
      <w:r>
        <w:rPr>
          <w:rFonts w:hint="default" w:ascii="Times New Roman" w:hAnsi="Times New Roman" w:cs="Times New Roman"/>
          <w:color w:val="auto"/>
          <w:sz w:val="24"/>
          <w:szCs w:val="24"/>
          <w:shd w:val="clear" w:color="auto" w:fill="auto"/>
        </w:rPr>
        <w:t>时可增设工作平台，并使其稳定、安全。在采用钢板桩围堰工艺时，当将钢板桩逐根或逐组插打到稳定深度与设计深度时(其深度据河床土质而定，一般为3～9</w:t>
      </w:r>
      <w:r>
        <w:rPr>
          <w:rFonts w:hint="eastAsia" w:cs="Times New Roman"/>
          <w:color w:val="auto"/>
          <w:sz w:val="24"/>
          <w:szCs w:val="24"/>
          <w:shd w:val="clear" w:color="auto" w:fill="auto"/>
          <w:lang w:eastAsia="zh-CN"/>
        </w:rPr>
        <w:t>m</w:t>
      </w:r>
      <w:r>
        <w:rPr>
          <w:rFonts w:hint="default" w:ascii="Times New Roman" w:hAnsi="Times New Roman" w:cs="Times New Roman"/>
          <w:color w:val="auto"/>
          <w:sz w:val="24"/>
          <w:szCs w:val="24"/>
          <w:shd w:val="clear" w:color="auto" w:fill="auto"/>
        </w:rPr>
        <w:t>)，会对打入钢板处河底产生扰动，使局部水域的混浊度提高，但围堰工序完成后，这种影响亦不复存在。</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eastAsia" w:ascii="宋体" w:hAnsi="宋体" w:eastAsia="宋体" w:cs="宋体"/>
          <w:color w:val="auto"/>
          <w:sz w:val="24"/>
          <w:szCs w:val="24"/>
          <w:shd w:val="clear" w:color="auto" w:fill="auto"/>
        </w:rPr>
        <w:t>②</w:t>
      </w:r>
      <w:r>
        <w:rPr>
          <w:rFonts w:hint="default" w:ascii="Times New Roman" w:hAnsi="Times New Roman" w:cs="Times New Roman"/>
          <w:color w:val="auto"/>
          <w:sz w:val="24"/>
          <w:szCs w:val="24"/>
          <w:shd w:val="clear" w:color="auto" w:fill="auto"/>
        </w:rPr>
        <w:t>钻孔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default" w:ascii="Times New Roman" w:hAnsi="Times New Roman" w:cs="Times New Roman"/>
          <w:color w:val="auto"/>
          <w:sz w:val="24"/>
          <w:szCs w:val="24"/>
          <w:shd w:val="clear" w:color="auto" w:fill="auto"/>
        </w:rPr>
        <w:t>钻孔泥浆由水、粘土(或膨润土)和添加剂(如碳酸钠，掺入量约为孔中泥浆量的0.1%～0.4%；羧基纤维素、掺入量普遍在0.1%以下)。在钻孔时，为了回收泥浆和减少环境污染，均应设置泥浆循环净化系统。钻机设在围堰上的工作平台。框架墩施工时的工作平台平面较大，且钻孔仅限制在孔口护筒内进行，不与围堰外的河水发生关系。钻进过程中产生的钻渣，由循环的护壁泥浆将钻渣带到设在工作平台上的倒流槽，经沉淀，将沉淀钻渣用船运至岸上，堆弃在指定的场地，若钻渣稀而能流动时，掺加适量的固化剂(如水泥)，待钻渣固化再运至弃堆场地。钻井过程中假如遇有钻孔漏浆时，应采取增加护筒沉埋深度适当减小水头高度或采取加稠护筒泥浆等措施。漏浆将会对局部水域水质产生影响，使局部水域的混浊度与pH值升高而影响水质。</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eastAsia" w:ascii="宋体" w:hAnsi="宋体" w:eastAsia="宋体" w:cs="宋体"/>
          <w:color w:val="auto"/>
          <w:sz w:val="24"/>
          <w:szCs w:val="24"/>
          <w:shd w:val="clear" w:color="auto" w:fill="auto"/>
        </w:rPr>
        <w:t>③</w:t>
      </w:r>
      <w:r>
        <w:rPr>
          <w:rFonts w:hint="default" w:ascii="Times New Roman" w:hAnsi="Times New Roman" w:cs="Times New Roman"/>
          <w:color w:val="auto"/>
          <w:sz w:val="24"/>
          <w:szCs w:val="24"/>
          <w:shd w:val="clear" w:color="auto" w:fill="auto"/>
        </w:rPr>
        <w:t>清孔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default" w:ascii="Times New Roman" w:hAnsi="Times New Roman" w:cs="Times New Roman"/>
          <w:color w:val="auto"/>
          <w:sz w:val="24"/>
          <w:szCs w:val="24"/>
          <w:shd w:val="clear" w:color="auto" w:fill="auto"/>
        </w:rPr>
        <w:t>钻孔达到要求深度和满足质量要求后，应立即进行清孔。所清出的钻渣均不得倾入河水中，应当用船只运至岸上弃堆场地处理，假如清孔的钻渣有泄漏现象发生，也是限制在钢板桩围堰内不会对流动的河水产生污染。</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eastAsia" w:ascii="宋体" w:hAnsi="宋体" w:eastAsia="宋体" w:cs="宋体"/>
          <w:color w:val="auto"/>
          <w:sz w:val="24"/>
          <w:szCs w:val="24"/>
          <w:shd w:val="clear" w:color="auto" w:fill="auto"/>
        </w:rPr>
        <w:t>④</w:t>
      </w:r>
      <w:r>
        <w:rPr>
          <w:rFonts w:hint="default" w:ascii="Times New Roman" w:hAnsi="Times New Roman" w:cs="Times New Roman"/>
          <w:color w:val="auto"/>
          <w:sz w:val="24"/>
          <w:szCs w:val="24"/>
          <w:shd w:val="clear" w:color="auto" w:fill="auto"/>
        </w:rPr>
        <w:t>吊放钢筋骨架</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default" w:ascii="Times New Roman" w:hAnsi="Times New Roman" w:cs="Times New Roman"/>
          <w:color w:val="auto"/>
          <w:sz w:val="24"/>
          <w:szCs w:val="24"/>
          <w:shd w:val="clear" w:color="auto" w:fill="auto"/>
        </w:rPr>
        <w:t>将符合工程质量要求的整体制作或分节制作的钢筋骨架，用机械设备吊放进已经清孔的钻孔内。此道工序也是限制在钻孔内进行，而钻孔又限制在围堰内，因此，对河水水质不会产生负面影响。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eastAsia" w:ascii="宋体" w:hAnsi="宋体" w:eastAsia="宋体" w:cs="宋体"/>
          <w:color w:val="auto"/>
          <w:sz w:val="24"/>
          <w:szCs w:val="24"/>
          <w:shd w:val="clear" w:color="auto" w:fill="auto"/>
        </w:rPr>
        <w:t>⑤</w:t>
      </w:r>
      <w:r>
        <w:rPr>
          <w:rFonts w:hint="default" w:ascii="Times New Roman" w:hAnsi="Times New Roman" w:cs="Times New Roman"/>
          <w:color w:val="auto"/>
          <w:sz w:val="24"/>
          <w:szCs w:val="24"/>
          <w:shd w:val="clear" w:color="auto" w:fill="auto"/>
        </w:rPr>
        <w:t>灌注水下混凝土</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default" w:ascii="Times New Roman" w:hAnsi="Times New Roman" w:cs="Times New Roman"/>
          <w:color w:val="auto"/>
          <w:sz w:val="24"/>
          <w:szCs w:val="24"/>
          <w:shd w:val="clear" w:color="auto" w:fill="auto"/>
        </w:rPr>
        <w:t>将符合设计配合比要求的混凝土拌和物，通过刚性导管进行灌注。在灌注过程中，应将井孔内溢出的泥浆引流至适当处理，防止污染环境与河流水质。在每根桩柱灌注混凝土之后，在群桩的顶面，要筑一个承台，其顶面将埋在河底以下，在下好钢筋骨架及模板之后，再灌注水下混凝土，在灌注水下混凝土的过程中，可能会有少量混凝土浆漏出，但仅限制在围堰之内，对河水水质产生污染的可能性不大。</w:t>
      </w:r>
    </w:p>
    <w:p>
      <w:pPr>
        <w:pStyle w:val="6"/>
        <w:rPr>
          <w:rFonts w:hint="eastAsia"/>
          <w:color w:val="auto"/>
          <w:shd w:val="clear" w:color="auto" w:fill="auto"/>
          <w:lang w:val="en-US" w:eastAsia="zh-CN"/>
        </w:rPr>
      </w:pPr>
      <w:r>
        <w:rPr>
          <w:rFonts w:hint="eastAsia"/>
          <w:color w:val="auto"/>
          <w:shd w:val="clear" w:color="auto" w:fill="auto"/>
          <w:lang w:val="en-US" w:eastAsia="zh-CN"/>
        </w:rPr>
        <w:t>4.2.2.2 底泥疏浚对水体扰动的影响分析</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default" w:ascii="Times New Roman" w:hAnsi="Times New Roman" w:cs="Times New Roman"/>
          <w:color w:val="auto"/>
          <w:sz w:val="24"/>
          <w:szCs w:val="24"/>
          <w:shd w:val="clear" w:color="auto" w:fill="auto"/>
        </w:rPr>
        <w:t>疏</w:t>
      </w:r>
      <w:r>
        <w:rPr>
          <w:rFonts w:hint="eastAsia"/>
          <w:color w:val="auto"/>
          <w:shd w:val="clear" w:color="auto" w:fill="auto"/>
        </w:rPr>
        <w:t>浚</w:t>
      </w:r>
      <w:r>
        <w:rPr>
          <w:rFonts w:hint="default" w:ascii="Times New Roman" w:hAnsi="Times New Roman" w:cs="Times New Roman"/>
          <w:color w:val="auto"/>
          <w:sz w:val="24"/>
          <w:szCs w:val="24"/>
          <w:shd w:val="clear" w:color="auto" w:fill="auto"/>
        </w:rPr>
        <w:t>作业时由于绞吸搅动可引起局部水域污染底泥的再悬浮与扩散。根据实际情况进行类比可知，以绞吸船绞刀为中心约15</w:t>
      </w:r>
      <w:r>
        <w:rPr>
          <w:rFonts w:hint="eastAsia" w:cs="Times New Roman"/>
          <w:color w:val="auto"/>
          <w:sz w:val="24"/>
          <w:szCs w:val="24"/>
          <w:shd w:val="clear" w:color="auto" w:fill="auto"/>
          <w:lang w:eastAsia="zh-CN"/>
        </w:rPr>
        <w:t>m</w:t>
      </w:r>
      <w:r>
        <w:rPr>
          <w:rFonts w:hint="default" w:ascii="Times New Roman" w:hAnsi="Times New Roman" w:cs="Times New Roman"/>
          <w:color w:val="auto"/>
          <w:sz w:val="24"/>
          <w:szCs w:val="24"/>
          <w:shd w:val="clear" w:color="auto" w:fill="auto"/>
        </w:rPr>
        <w:t>范围内的水域SS浓度明显增高，N、P污染物的释放速率较静止状态提高了1～2倍，而30</w:t>
      </w:r>
      <w:r>
        <w:rPr>
          <w:rFonts w:hint="eastAsia" w:cs="Times New Roman"/>
          <w:color w:val="auto"/>
          <w:sz w:val="24"/>
          <w:szCs w:val="24"/>
          <w:shd w:val="clear" w:color="auto" w:fill="auto"/>
          <w:lang w:eastAsia="zh-CN"/>
        </w:rPr>
        <w:t>m</w:t>
      </w:r>
      <w:r>
        <w:rPr>
          <w:rFonts w:hint="default" w:ascii="Times New Roman" w:hAnsi="Times New Roman" w:cs="Times New Roman"/>
          <w:color w:val="auto"/>
          <w:sz w:val="24"/>
          <w:szCs w:val="24"/>
          <w:shd w:val="clear" w:color="auto" w:fill="auto"/>
        </w:rPr>
        <w:t>范围以外的区域水环境影响不明显。施工悬浮物沉降速度较快，一般在施工作业停止2小时后下游水质基本可以恢复到原有水平。</w:t>
      </w:r>
      <w:r>
        <w:rPr>
          <w:rFonts w:hint="eastAsia" w:cs="Times New Roman"/>
          <w:color w:val="auto"/>
          <w:sz w:val="24"/>
          <w:szCs w:val="24"/>
          <w:shd w:val="clear" w:color="auto" w:fill="auto"/>
          <w:lang w:val="en-US" w:eastAsia="zh-CN"/>
        </w:rPr>
        <w:t>经现场勘查，</w:t>
      </w:r>
      <w:r>
        <w:rPr>
          <w:rFonts w:hint="eastAsia" w:ascii="Times New Roman" w:hAnsi="Times New Roman" w:cs="Times New Roman"/>
          <w:color w:val="auto"/>
          <w:sz w:val="24"/>
          <w:szCs w:val="24"/>
          <w:shd w:val="clear" w:color="auto" w:fill="auto"/>
          <w:lang w:val="en-US" w:eastAsia="zh-CN"/>
        </w:rPr>
        <w:t>本项目下游</w:t>
      </w:r>
      <w:r>
        <w:rPr>
          <w:rFonts w:hint="eastAsia" w:cs="Times New Roman"/>
          <w:color w:val="auto"/>
          <w:sz w:val="24"/>
          <w:szCs w:val="24"/>
          <w:shd w:val="clear" w:color="auto" w:fill="auto"/>
          <w:lang w:val="en-US" w:eastAsia="zh-CN"/>
        </w:rPr>
        <w:t>无饮用水源取水口</w:t>
      </w:r>
      <w:r>
        <w:rPr>
          <w:rFonts w:hint="eastAsia"/>
          <w:color w:val="auto"/>
          <w:sz w:val="24"/>
          <w:shd w:val="clear" w:color="auto" w:fill="auto"/>
          <w:lang w:val="en-US" w:eastAsia="zh-CN"/>
        </w:rPr>
        <w:t>，底泥疏浚引起的悬浮物扩散不会对取水口水质造成影响。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default" w:ascii="Times New Roman" w:hAnsi="Times New Roman" w:cs="Times New Roman"/>
          <w:color w:val="auto"/>
          <w:sz w:val="24"/>
          <w:szCs w:val="24"/>
          <w:shd w:val="clear" w:color="auto" w:fill="auto"/>
        </w:rPr>
        <w:t>综上所述，底泥清淤作业将造成</w:t>
      </w:r>
      <w:r>
        <w:rPr>
          <w:rFonts w:hint="eastAsia" w:cs="Times New Roman"/>
          <w:color w:val="auto"/>
          <w:sz w:val="24"/>
          <w:szCs w:val="24"/>
          <w:shd w:val="clear" w:color="auto" w:fill="auto"/>
          <w:lang w:val="en-US" w:eastAsia="zh-CN"/>
        </w:rPr>
        <w:t>沙颍河</w:t>
      </w:r>
      <w:r>
        <w:rPr>
          <w:rFonts w:hint="default" w:ascii="Times New Roman" w:hAnsi="Times New Roman" w:cs="Times New Roman"/>
          <w:color w:val="auto"/>
          <w:sz w:val="24"/>
          <w:szCs w:val="24"/>
          <w:shd w:val="clear" w:color="auto" w:fill="auto"/>
        </w:rPr>
        <w:t>局部水域悬浮物浓度增加，对局部水环境、生态环境有一定的污染影响，但是影响范围和影响程度不大，底泥疏挖过程中SS对</w:t>
      </w:r>
      <w:r>
        <w:rPr>
          <w:rFonts w:hint="eastAsia" w:cs="Times New Roman"/>
          <w:color w:val="auto"/>
          <w:sz w:val="24"/>
          <w:szCs w:val="24"/>
          <w:shd w:val="clear" w:color="auto" w:fill="auto"/>
          <w:lang w:val="en-US" w:eastAsia="zh-CN"/>
        </w:rPr>
        <w:t>沙颍河</w:t>
      </w:r>
      <w:r>
        <w:rPr>
          <w:rFonts w:hint="default" w:ascii="Times New Roman" w:hAnsi="Times New Roman" w:cs="Times New Roman"/>
          <w:color w:val="auto"/>
          <w:sz w:val="24"/>
          <w:szCs w:val="24"/>
          <w:shd w:val="clear" w:color="auto" w:fill="auto"/>
        </w:rPr>
        <w:t>的水质影响有限。</w:t>
      </w:r>
    </w:p>
    <w:p>
      <w:pPr>
        <w:pStyle w:val="6"/>
        <w:rPr>
          <w:rFonts w:hint="eastAsia"/>
          <w:color w:val="auto"/>
          <w:shd w:val="clear" w:color="auto" w:fill="auto"/>
          <w:lang w:val="en-US" w:eastAsia="zh-CN"/>
        </w:rPr>
      </w:pPr>
      <w:r>
        <w:rPr>
          <w:rFonts w:hint="eastAsia"/>
          <w:color w:val="auto"/>
          <w:shd w:val="clear" w:color="auto" w:fill="auto"/>
          <w:lang w:val="en-US" w:eastAsia="zh-CN"/>
        </w:rPr>
        <w:t>4.2.2.3 抛泥区余水影响分析</w:t>
      </w:r>
    </w:p>
    <w:p>
      <w:pPr>
        <w:ind w:firstLine="480"/>
        <w:rPr>
          <w:rFonts w:hint="default" w:ascii="Times New Roman" w:hAnsi="Times New Roman" w:cs="Times New Roman"/>
          <w:color w:val="auto"/>
          <w:sz w:val="24"/>
          <w:szCs w:val="24"/>
          <w:shd w:val="clear" w:color="auto" w:fill="auto"/>
        </w:rPr>
      </w:pPr>
      <w:r>
        <w:rPr>
          <w:rFonts w:hint="eastAsia"/>
          <w:color w:val="auto"/>
          <w:shd w:val="clear" w:color="auto" w:fill="auto"/>
        </w:rPr>
        <w:t>本项目水下方</w:t>
      </w:r>
      <w:r>
        <w:rPr>
          <w:rFonts w:hint="eastAsia"/>
          <w:color w:val="auto"/>
          <w:shd w:val="clear" w:color="auto" w:fill="auto"/>
          <w:lang w:val="en-US" w:eastAsia="zh-CN"/>
        </w:rPr>
        <w:t>4.63</w:t>
      </w:r>
      <w:r>
        <w:rPr>
          <w:rFonts w:hint="eastAsia"/>
          <w:color w:val="auto"/>
          <w:shd w:val="clear" w:color="auto" w:fill="auto"/>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，含水率按30%估算，经围堰内初期沉淀后，溢流出的余水按其含水量的50%计，则余水约</w:t>
      </w:r>
      <w:r>
        <w:rPr>
          <w:rFonts w:hint="eastAsia"/>
          <w:color w:val="auto"/>
          <w:shd w:val="clear" w:color="auto" w:fill="auto"/>
          <w:lang w:val="en-US" w:eastAsia="zh-CN"/>
        </w:rPr>
        <w:t>0.69</w:t>
      </w:r>
      <w:r>
        <w:rPr>
          <w:rFonts w:hint="eastAsia"/>
          <w:color w:val="auto"/>
          <w:shd w:val="clear" w:color="auto" w:fill="auto"/>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w:t>
      </w:r>
      <w:r>
        <w:rPr>
          <w:rFonts w:hint="eastAsia" w:cs="Times New Roman"/>
          <w:color w:val="auto"/>
          <w:sz w:val="24"/>
          <w:szCs w:val="24"/>
          <w:shd w:val="clear" w:color="auto" w:fill="auto"/>
          <w:lang w:eastAsia="zh-CN"/>
        </w:rPr>
        <w:t>抛泥区</w:t>
      </w:r>
      <w:r>
        <w:rPr>
          <w:rFonts w:hint="default" w:ascii="Times New Roman" w:hAnsi="Times New Roman" w:cs="Times New Roman"/>
          <w:color w:val="auto"/>
          <w:sz w:val="24"/>
          <w:szCs w:val="24"/>
          <w:shd w:val="clear" w:color="auto" w:fill="auto"/>
        </w:rPr>
        <w:t>余水中污染物主要来源于施工区水体中所含污染物和底泥颗粒中所富集的N、P及重金属污染物，因此施工中只要控制住余水中悬浮物排放浓度，就能有效控制住其它污染物排放浓度。根据</w:t>
      </w:r>
      <w:r>
        <w:rPr>
          <w:rFonts w:hint="eastAsia" w:ascii="Times New Roman" w:hAnsi="Times New Roman" w:cs="Times New Roman"/>
          <w:color w:val="auto"/>
          <w:sz w:val="24"/>
          <w:szCs w:val="24"/>
          <w:shd w:val="clear" w:color="auto" w:fill="auto"/>
          <w:lang w:val="en-US" w:eastAsia="zh-CN"/>
        </w:rPr>
        <w:t>底泥质量现状调查，</w:t>
      </w:r>
      <w:r>
        <w:rPr>
          <w:color w:val="auto"/>
          <w:shd w:val="clear" w:color="auto" w:fill="auto"/>
        </w:rPr>
        <w:t>本工程</w:t>
      </w:r>
      <w:r>
        <w:rPr>
          <w:rFonts w:hint="eastAsia"/>
          <w:color w:val="auto"/>
          <w:shd w:val="clear" w:color="auto" w:fill="auto"/>
          <w:lang w:eastAsia="zh-CN"/>
        </w:rPr>
        <w:t>抛泥区土壤、</w:t>
      </w:r>
      <w:r>
        <w:rPr>
          <w:rFonts w:hint="eastAsia"/>
          <w:color w:val="auto"/>
          <w:shd w:val="clear" w:color="auto" w:fill="auto"/>
          <w:lang w:val="en-US" w:eastAsia="zh-CN"/>
        </w:rPr>
        <w:t>疏浚</w:t>
      </w:r>
      <w:r>
        <w:rPr>
          <w:color w:val="auto"/>
          <w:shd w:val="clear" w:color="auto" w:fill="auto"/>
        </w:rPr>
        <w:t>区域底泥的现状监测指标均满足</w:t>
      </w:r>
      <w:r>
        <w:rPr>
          <w:rFonts w:cs="Times New Roman"/>
          <w:color w:val="auto"/>
          <w:shd w:val="clear" w:color="auto" w:fill="auto"/>
        </w:rPr>
        <w:t xml:space="preserve">《土壤环境质量 </w:t>
      </w:r>
      <w:r>
        <w:rPr>
          <w:rFonts w:hint="eastAsia" w:cs="Times New Roman"/>
          <w:color w:val="auto"/>
          <w:shd w:val="clear" w:color="auto" w:fill="auto"/>
          <w:lang w:val="en-US" w:eastAsia="zh-CN"/>
        </w:rPr>
        <w:t>建设用</w:t>
      </w:r>
      <w:r>
        <w:rPr>
          <w:rFonts w:cs="Times New Roman"/>
          <w:color w:val="auto"/>
          <w:shd w:val="clear" w:color="auto" w:fill="auto"/>
        </w:rPr>
        <w:t>地土壤污染风险管控标准（试行）》</w:t>
      </w:r>
      <w:r>
        <w:rPr>
          <w:rFonts w:hint="eastAsia" w:cs="Times New Roman"/>
          <w:color w:val="auto"/>
          <w:shd w:val="clear" w:color="auto" w:fill="auto"/>
        </w:rPr>
        <w:t>（</w:t>
      </w:r>
      <w:r>
        <w:rPr>
          <w:rFonts w:cs="Times New Roman"/>
          <w:color w:val="auto"/>
          <w:shd w:val="clear" w:color="auto" w:fill="auto"/>
        </w:rPr>
        <w:t>GB</w:t>
      </w:r>
      <w:r>
        <w:rPr>
          <w:rFonts w:hint="eastAsia" w:cs="Times New Roman"/>
          <w:color w:val="auto"/>
          <w:shd w:val="clear" w:color="auto" w:fill="auto"/>
          <w:lang w:val="en-US" w:eastAsia="zh-CN"/>
        </w:rPr>
        <w:t>36600</w:t>
      </w:r>
      <w:r>
        <w:rPr>
          <w:rFonts w:cs="Times New Roman"/>
          <w:color w:val="auto"/>
          <w:shd w:val="clear" w:color="auto" w:fill="auto"/>
        </w:rPr>
        <w:t>-</w:t>
      </w:r>
      <w:r>
        <w:rPr>
          <w:rFonts w:hint="eastAsia" w:cs="Times New Roman"/>
          <w:color w:val="auto"/>
          <w:shd w:val="clear" w:color="auto" w:fill="auto"/>
        </w:rPr>
        <w:t>2018）</w:t>
      </w:r>
      <w:r>
        <w:rPr>
          <w:rFonts w:cs="Times New Roman"/>
          <w:color w:val="auto"/>
          <w:shd w:val="clear" w:color="auto" w:fill="auto"/>
        </w:rPr>
        <w:t>中</w:t>
      </w:r>
      <w:r>
        <w:rPr>
          <w:rFonts w:hint="eastAsia" w:cs="Times New Roman"/>
          <w:color w:val="auto"/>
          <w:shd w:val="clear" w:color="auto" w:fill="auto"/>
        </w:rPr>
        <w:t>相关标准值</w:t>
      </w:r>
      <w:r>
        <w:rPr>
          <w:color w:val="auto"/>
          <w:shd w:val="clear" w:color="auto" w:fill="auto"/>
        </w:rPr>
        <w:t>，工程区域底泥的重金属含量较低，不存在重金属污染问题</w:t>
      </w:r>
      <w:r>
        <w:rPr>
          <w:rFonts w:hint="eastAsia" w:cs="Times New Roman"/>
          <w:color w:val="auto"/>
          <w:sz w:val="24"/>
          <w:szCs w:val="24"/>
          <w:shd w:val="clear" w:color="auto" w:fill="auto"/>
          <w:lang w:eastAsia="zh-CN"/>
        </w:rPr>
        <w:t>。</w:t>
      </w:r>
      <w:r>
        <w:rPr>
          <w:rFonts w:hint="eastAsia" w:cs="Times New Roman"/>
          <w:color w:val="auto"/>
          <w:sz w:val="24"/>
          <w:szCs w:val="24"/>
          <w:shd w:val="clear" w:color="auto" w:fill="auto"/>
          <w:lang w:val="en-US" w:eastAsia="zh-CN"/>
        </w:rPr>
        <w:t>因此，</w:t>
      </w:r>
      <w:r>
        <w:rPr>
          <w:rFonts w:hint="default" w:ascii="Times New Roman" w:hAnsi="Times New Roman" w:cs="Times New Roman"/>
          <w:color w:val="auto"/>
          <w:sz w:val="24"/>
          <w:szCs w:val="24"/>
          <w:shd w:val="clear" w:color="auto" w:fill="auto"/>
        </w:rPr>
        <w:t>抛泥区底泥的重金属不会对土壤和地下水造成大的影响。余水中主要污染因子是悬浮物、N和P（N和P主要附着在悬浮物上）。吹填初期90%的余水经过自然沉淀后可去除大部份悬浮物从而将N和P也一并去除，抛泥区初期余水经自然沉淀后可</w:t>
      </w:r>
      <w:r>
        <w:rPr>
          <w:rFonts w:hint="eastAsia" w:ascii="Times New Roman" w:hAnsi="Times New Roman" w:cs="Times New Roman"/>
          <w:color w:val="auto"/>
          <w:sz w:val="24"/>
          <w:szCs w:val="24"/>
          <w:shd w:val="clear" w:color="auto" w:fill="auto"/>
          <w:lang w:val="en-US" w:eastAsia="zh-CN"/>
        </w:rPr>
        <w:t>直接排放，</w:t>
      </w:r>
      <w:r>
        <w:rPr>
          <w:rFonts w:hint="default" w:ascii="Times New Roman" w:hAnsi="Times New Roman" w:cs="Times New Roman"/>
          <w:color w:val="auto"/>
          <w:sz w:val="24"/>
          <w:szCs w:val="24"/>
          <w:shd w:val="clear" w:color="auto" w:fill="auto"/>
        </w:rPr>
        <w:t>不会对</w:t>
      </w:r>
      <w:r>
        <w:rPr>
          <w:rFonts w:hint="eastAsia" w:cs="Times New Roman"/>
          <w:color w:val="auto"/>
          <w:sz w:val="24"/>
          <w:szCs w:val="24"/>
          <w:shd w:val="clear" w:color="auto" w:fill="auto"/>
          <w:lang w:val="en-US" w:eastAsia="zh-CN"/>
        </w:rPr>
        <w:t>沙颍河</w:t>
      </w:r>
      <w:r>
        <w:rPr>
          <w:rFonts w:hint="default" w:ascii="Times New Roman" w:hAnsi="Times New Roman" w:cs="Times New Roman"/>
          <w:color w:val="auto"/>
          <w:sz w:val="24"/>
          <w:szCs w:val="24"/>
          <w:shd w:val="clear" w:color="auto" w:fill="auto"/>
        </w:rPr>
        <w:t>水质产生大的影响。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default" w:ascii="Times New Roman" w:hAnsi="Times New Roman" w:cs="Times New Roman"/>
          <w:color w:val="auto"/>
          <w:sz w:val="24"/>
          <w:szCs w:val="24"/>
          <w:shd w:val="clear" w:color="auto" w:fill="auto"/>
        </w:rPr>
        <w:t>为进一步减少对</w:t>
      </w:r>
      <w:r>
        <w:rPr>
          <w:rFonts w:hint="eastAsia" w:cs="Times New Roman"/>
          <w:color w:val="auto"/>
          <w:sz w:val="24"/>
          <w:szCs w:val="24"/>
          <w:shd w:val="clear" w:color="auto" w:fill="auto"/>
          <w:lang w:val="en-US" w:eastAsia="zh-CN"/>
        </w:rPr>
        <w:t>沙颍河</w:t>
      </w:r>
      <w:r>
        <w:rPr>
          <w:rFonts w:hint="default" w:ascii="Times New Roman" w:hAnsi="Times New Roman" w:cs="Times New Roman"/>
          <w:color w:val="auto"/>
          <w:sz w:val="24"/>
          <w:szCs w:val="24"/>
          <w:shd w:val="clear" w:color="auto" w:fill="auto"/>
        </w:rPr>
        <w:t>的影响，底泥堆放场设施采取以下措施：</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default" w:ascii="Times New Roman" w:hAnsi="Times New Roman" w:cs="Times New Roman"/>
          <w:color w:val="auto"/>
          <w:sz w:val="24"/>
          <w:szCs w:val="24"/>
          <w:shd w:val="clear" w:color="auto" w:fill="auto"/>
        </w:rPr>
        <w:t>①围埝</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default" w:ascii="Times New Roman" w:hAnsi="Times New Roman" w:cs="Times New Roman"/>
          <w:color w:val="auto"/>
          <w:sz w:val="24"/>
          <w:szCs w:val="24"/>
          <w:shd w:val="clear" w:color="auto" w:fill="auto"/>
        </w:rPr>
        <w:t>建议采用重力斜坡式编织袋装土围埝。为防止污染物渗透造成二次污染，内侧铺设土工膜防渗。</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default" w:ascii="Times New Roman" w:hAnsi="Times New Roman" w:cs="Times New Roman"/>
          <w:color w:val="auto"/>
          <w:sz w:val="24"/>
          <w:szCs w:val="24"/>
          <w:shd w:val="clear" w:color="auto" w:fill="auto"/>
        </w:rPr>
        <w:t>②泄水口</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default" w:ascii="Times New Roman" w:hAnsi="Times New Roman" w:cs="Times New Roman"/>
          <w:color w:val="auto"/>
          <w:sz w:val="24"/>
          <w:szCs w:val="24"/>
          <w:shd w:val="clear" w:color="auto" w:fill="auto"/>
        </w:rPr>
        <w:t>泄水口又称水门，是泥浆在堆场内沉淀后余水的排泄口门，它的作用是调节泥浆流程，控制排泄流量，改善泥沙沉淀效果，减少流失及提高吹填平整度等。其布设的位置、数量及尺寸根据泥浆进入堆场的总流量、吹填土的颗粒大小、堆场面积及吹填场地地形情况来确定。</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default" w:ascii="Times New Roman" w:hAnsi="Times New Roman" w:cs="Times New Roman"/>
          <w:color w:val="auto"/>
          <w:sz w:val="24"/>
          <w:szCs w:val="24"/>
          <w:shd w:val="clear" w:color="auto" w:fill="auto"/>
        </w:rPr>
        <w:t>根据工程实际情况，考虑到施工容易、易于拆迁、经济耐用等方面因素，本工程选用闸式泄水口，且在泄水口内侧筑一封闭式溢流堰以调节泄流水位。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default" w:ascii="Times New Roman" w:hAnsi="Times New Roman" w:cs="Times New Roman"/>
          <w:color w:val="auto"/>
          <w:sz w:val="24"/>
          <w:szCs w:val="24"/>
          <w:shd w:val="clear" w:color="auto" w:fill="auto"/>
        </w:rPr>
        <w:t>③后续沉淀池</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shd w:val="clear" w:color="auto" w:fill="auto"/>
        </w:rPr>
      </w:pPr>
      <w:r>
        <w:rPr>
          <w:rFonts w:hint="default" w:ascii="Times New Roman" w:hAnsi="Times New Roman" w:cs="Times New Roman"/>
          <w:color w:val="auto"/>
          <w:sz w:val="24"/>
          <w:szCs w:val="24"/>
          <w:shd w:val="clear" w:color="auto" w:fill="auto"/>
        </w:rPr>
        <w:t>设置后续沉淀池是为了尽量增加泥浆的沉淀时间，提高出水净化效果；此外，堆放场施工后期，大部分堆场已变为平地，后续沉淀就可以保证新输送的泥浆有足够的停留时间和稳定的处理效果。</w:t>
      </w:r>
    </w:p>
    <w:p>
      <w:pPr>
        <w:pStyle w:val="6"/>
        <w:rPr>
          <w:color w:val="auto"/>
          <w:shd w:val="clear" w:color="auto" w:fill="auto"/>
        </w:rPr>
      </w:pPr>
      <w:r>
        <w:rPr>
          <w:rFonts w:hint="eastAsia"/>
          <w:color w:val="auto"/>
          <w:shd w:val="clear" w:color="auto" w:fill="auto"/>
          <w:lang w:val="en-US" w:eastAsia="zh-CN"/>
        </w:rPr>
        <w:t xml:space="preserve">4.1.2.4 </w:t>
      </w:r>
      <w:r>
        <w:rPr>
          <w:rFonts w:hint="eastAsia"/>
          <w:color w:val="auto"/>
          <w:shd w:val="clear" w:color="auto" w:fill="auto"/>
        </w:rPr>
        <w:t xml:space="preserve">施工机械冲洗废水影响分析 </w:t>
      </w:r>
    </w:p>
    <w:p>
      <w:pPr>
        <w:ind w:firstLine="480"/>
        <w:rPr>
          <w:color w:val="auto"/>
          <w:shd w:val="clear" w:color="auto" w:fill="auto"/>
        </w:rPr>
      </w:pPr>
      <w:r>
        <w:rPr>
          <w:color w:val="auto"/>
          <w:shd w:val="clear" w:color="auto" w:fill="auto"/>
        </w:rPr>
        <w:t>本项目陆域平整后作为施工场地，主要生产废水来自于施工机械冲洗或被雨水冲刷后产生的含油废水、施工机械跑、冒、滴、漏的污油以及砂石材料产生的冲洗水和砼养护水。</w:t>
      </w:r>
    </w:p>
    <w:p>
      <w:pPr>
        <w:ind w:firstLine="480"/>
        <w:rPr>
          <w:color w:val="auto"/>
          <w:shd w:val="clear" w:color="auto" w:fill="auto"/>
        </w:rPr>
      </w:pPr>
      <w:r>
        <w:rPr>
          <w:color w:val="auto"/>
          <w:shd w:val="clear" w:color="auto" w:fill="auto"/>
        </w:rPr>
        <w:t>施工机械冲洗或被雨水冲刷后产生的含油污水，以及施工车辆跑、冒、滴、漏的污油，主要污染物为石油类和SS，但相应含油污水量较小；砂石材料产生的冲洗水和砼养护水，主要污染物为碱性废水和悬浮物，这些生产废水如果任意排放，会对周边的土壤、</w:t>
      </w:r>
      <w:r>
        <w:rPr>
          <w:rFonts w:hint="eastAsia"/>
          <w:color w:val="auto"/>
          <w:shd w:val="clear" w:color="auto" w:fill="auto"/>
          <w:lang w:eastAsia="zh-CN"/>
        </w:rPr>
        <w:t>沙颍河</w:t>
      </w:r>
      <w:r>
        <w:rPr>
          <w:color w:val="auto"/>
          <w:shd w:val="clear" w:color="auto" w:fill="auto"/>
        </w:rPr>
        <w:t>水质产生一定的影响。</w:t>
      </w:r>
    </w:p>
    <w:p>
      <w:pPr>
        <w:ind w:firstLine="480"/>
        <w:rPr>
          <w:color w:val="auto"/>
          <w:shd w:val="clear" w:color="auto" w:fill="auto"/>
        </w:rPr>
      </w:pPr>
      <w:r>
        <w:rPr>
          <w:color w:val="auto"/>
          <w:shd w:val="clear" w:color="auto" w:fill="auto"/>
        </w:rPr>
        <w:t>施工期间应设立固定场所进行机械车辆的维护、冲洗和砂石材料</w:t>
      </w:r>
      <w:r>
        <w:rPr>
          <w:rFonts w:hint="eastAsia"/>
          <w:color w:val="auto"/>
          <w:shd w:val="clear" w:color="auto" w:fill="auto"/>
          <w:lang w:val="en-US" w:eastAsia="zh-CN"/>
        </w:rPr>
        <w:t>的</w:t>
      </w:r>
      <w:r>
        <w:rPr>
          <w:color w:val="auto"/>
          <w:shd w:val="clear" w:color="auto" w:fill="auto"/>
        </w:rPr>
        <w:t>冲洗、养护，场地设排水明沟和临时沉淀，处理后的上清液用于施工场地的扬尘防治洒水</w:t>
      </w:r>
      <w:r>
        <w:rPr>
          <w:rFonts w:hint="eastAsia"/>
          <w:color w:val="auto"/>
          <w:shd w:val="clear" w:color="auto" w:fill="auto"/>
        </w:rPr>
        <w:t>。通过采取上述措施，施工场地机械、车辆冲洗废水对地表水基本不会产生影响。</w:t>
      </w:r>
    </w:p>
    <w:p>
      <w:pPr>
        <w:pStyle w:val="6"/>
        <w:rPr>
          <w:color w:val="auto"/>
          <w:shd w:val="clear" w:color="auto" w:fill="auto"/>
        </w:rPr>
      </w:pPr>
      <w:r>
        <w:rPr>
          <w:rFonts w:hint="eastAsia"/>
          <w:color w:val="auto"/>
          <w:shd w:val="clear" w:color="auto" w:fill="auto"/>
          <w:lang w:val="en-US" w:eastAsia="zh-CN"/>
        </w:rPr>
        <w:t>4.2.2.5 施工营地</w:t>
      </w:r>
      <w:r>
        <w:rPr>
          <w:rFonts w:hint="eastAsia"/>
          <w:color w:val="auto"/>
          <w:shd w:val="clear" w:color="auto" w:fill="auto"/>
        </w:rPr>
        <w:t xml:space="preserve">生活污水 </w:t>
      </w:r>
    </w:p>
    <w:p>
      <w:pPr>
        <w:ind w:firstLine="480"/>
        <w:rPr>
          <w:color w:val="auto"/>
          <w:shd w:val="clear" w:color="auto" w:fill="auto"/>
        </w:rPr>
      </w:pPr>
      <w:r>
        <w:rPr>
          <w:rFonts w:hint="eastAsia"/>
          <w:color w:val="auto"/>
          <w:shd w:val="clear" w:color="auto" w:fill="auto"/>
        </w:rPr>
        <w:t>根据工程分析，施工期施工人员生活污水产生量为</w:t>
      </w:r>
      <w:r>
        <w:rPr>
          <w:rFonts w:hint="eastAsia"/>
          <w:color w:val="auto"/>
          <w:shd w:val="clear" w:color="auto" w:fill="auto"/>
          <w:lang w:val="en-US" w:eastAsia="zh-CN"/>
        </w:rPr>
        <w:t>3.84</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/d，</w:t>
      </w:r>
      <w:r>
        <w:rPr>
          <w:color w:val="auto"/>
          <w:kern w:val="0"/>
          <w:shd w:val="clear" w:color="auto" w:fill="auto"/>
        </w:rPr>
        <w:t>主要污染物</w:t>
      </w:r>
      <w:r>
        <w:rPr>
          <w:color w:val="auto"/>
          <w:shd w:val="clear" w:color="auto" w:fill="auto"/>
        </w:rPr>
        <w:t>COD浓度约300</w:t>
      </w:r>
      <w:r>
        <w:rPr>
          <w:rFonts w:hint="eastAsia"/>
          <w:color w:val="auto"/>
          <w:shd w:val="clear" w:color="auto" w:fill="auto"/>
          <w:lang w:eastAsia="zh-CN"/>
        </w:rPr>
        <w:t>m</w:t>
      </w:r>
      <w:r>
        <w:rPr>
          <w:color w:val="auto"/>
          <w:shd w:val="clear" w:color="auto" w:fill="auto"/>
        </w:rPr>
        <w:t>g/L、BOD</w:t>
      </w:r>
      <w:r>
        <w:rPr>
          <w:color w:val="auto"/>
          <w:shd w:val="clear" w:color="auto" w:fill="auto"/>
          <w:vertAlign w:val="subscript"/>
        </w:rPr>
        <w:t>5</w:t>
      </w:r>
      <w:r>
        <w:rPr>
          <w:color w:val="auto"/>
          <w:shd w:val="clear" w:color="auto" w:fill="auto"/>
        </w:rPr>
        <w:t>约1</w:t>
      </w:r>
      <w:r>
        <w:rPr>
          <w:rFonts w:hint="eastAsia"/>
          <w:color w:val="auto"/>
          <w:shd w:val="clear" w:color="auto" w:fill="auto"/>
        </w:rPr>
        <w:t>8</w:t>
      </w:r>
      <w:r>
        <w:rPr>
          <w:color w:val="auto"/>
          <w:shd w:val="clear" w:color="auto" w:fill="auto"/>
        </w:rPr>
        <w:t>0</w:t>
      </w:r>
      <w:r>
        <w:rPr>
          <w:rFonts w:hint="eastAsia"/>
          <w:color w:val="auto"/>
          <w:shd w:val="clear" w:color="auto" w:fill="auto"/>
          <w:lang w:eastAsia="zh-CN"/>
        </w:rPr>
        <w:t>m</w:t>
      </w:r>
      <w:r>
        <w:rPr>
          <w:color w:val="auto"/>
          <w:shd w:val="clear" w:color="auto" w:fill="auto"/>
        </w:rPr>
        <w:t>g/L、NH</w:t>
      </w:r>
      <w:r>
        <w:rPr>
          <w:color w:val="auto"/>
          <w:shd w:val="clear" w:color="auto" w:fill="auto"/>
          <w:vertAlign w:val="subscript"/>
        </w:rPr>
        <w:t>3</w:t>
      </w:r>
      <w:r>
        <w:rPr>
          <w:color w:val="auto"/>
          <w:shd w:val="clear" w:color="auto" w:fill="auto"/>
        </w:rPr>
        <w:t>-N约35</w:t>
      </w:r>
      <w:r>
        <w:rPr>
          <w:rFonts w:hint="eastAsia"/>
          <w:color w:val="auto"/>
          <w:shd w:val="clear" w:color="auto" w:fill="auto"/>
          <w:lang w:eastAsia="zh-CN"/>
        </w:rPr>
        <w:t>m</w:t>
      </w:r>
      <w:r>
        <w:rPr>
          <w:color w:val="auto"/>
          <w:shd w:val="clear" w:color="auto" w:fill="auto"/>
        </w:rPr>
        <w:t>g/L、SS约</w:t>
      </w:r>
      <w:r>
        <w:rPr>
          <w:rFonts w:hint="eastAsia"/>
          <w:color w:val="auto"/>
          <w:shd w:val="clear" w:color="auto" w:fill="auto"/>
        </w:rPr>
        <w:t>20</w:t>
      </w:r>
      <w:r>
        <w:rPr>
          <w:color w:val="auto"/>
          <w:shd w:val="clear" w:color="auto" w:fill="auto"/>
        </w:rPr>
        <w:t>0</w:t>
      </w:r>
      <w:r>
        <w:rPr>
          <w:rFonts w:hint="eastAsia"/>
          <w:color w:val="auto"/>
          <w:shd w:val="clear" w:color="auto" w:fill="auto"/>
          <w:lang w:eastAsia="zh-CN"/>
        </w:rPr>
        <w:t>m</w:t>
      </w:r>
      <w:r>
        <w:rPr>
          <w:color w:val="auto"/>
          <w:shd w:val="clear" w:color="auto" w:fill="auto"/>
        </w:rPr>
        <w:t>g/L</w:t>
      </w:r>
      <w:r>
        <w:rPr>
          <w:rFonts w:hint="eastAsia"/>
          <w:color w:val="auto"/>
          <w:shd w:val="clear" w:color="auto" w:fill="auto"/>
        </w:rPr>
        <w:t>。在作业区施工活动中，施工人员要实行集中居住，生活污水集中排放。</w:t>
      </w:r>
      <w:r>
        <w:rPr>
          <w:rFonts w:hint="eastAsia"/>
          <w:color w:val="auto"/>
          <w:shd w:val="clear" w:color="auto" w:fill="auto"/>
          <w:lang w:eastAsia="zh-CN"/>
        </w:rPr>
        <w:t>可在居住</w:t>
      </w:r>
      <w:r>
        <w:rPr>
          <w:rFonts w:hint="eastAsia"/>
          <w:color w:val="auto"/>
          <w:shd w:val="clear" w:color="auto" w:fill="auto"/>
        </w:rPr>
        <w:t>地设立简易化粪池，化粪池预处理后定期由清掏车外运至相关接收处理单位。施工人员驻地的生活污水排放量较小，而且仅限于施工期，时间上相对而言也是短期的。施工人员生活污水不会对地表水环境质量产生大的影响。</w:t>
      </w:r>
    </w:p>
    <w:p>
      <w:pPr>
        <w:pStyle w:val="6"/>
        <w:bidi w:val="0"/>
        <w:rPr>
          <w:rFonts w:hint="eastAsia"/>
          <w:lang w:val="en-US" w:eastAsia="zh-CN"/>
        </w:rPr>
      </w:pPr>
      <w:r>
        <w:rPr>
          <w:rFonts w:hint="eastAsia"/>
          <w:lang w:val="en-US" w:eastAsia="zh-CN"/>
        </w:rPr>
        <w:t>4.2.2.6 施工船舶污水</w:t>
      </w:r>
    </w:p>
    <w:p>
      <w:pPr>
        <w:ind w:firstLine="480"/>
        <w:rPr>
          <w:color w:val="auto"/>
          <w:shd w:val="clear" w:color="auto" w:fill="auto"/>
        </w:rPr>
      </w:pPr>
      <w:r>
        <w:rPr>
          <w:color w:val="auto"/>
          <w:shd w:val="clear" w:color="auto" w:fill="auto"/>
        </w:rPr>
        <w:t>施工船舶污水包括船舶舱底油污水和船舶生活污水。</w:t>
      </w:r>
      <w:r>
        <w:rPr>
          <w:rFonts w:hint="eastAsia"/>
          <w:color w:val="auto"/>
          <w:shd w:val="clear" w:color="auto" w:fill="auto"/>
        </w:rPr>
        <w:t>施工船舶（主要是打桩船）将在码头施工现场连续作业，船舶水上施工按</w:t>
      </w:r>
      <w:r>
        <w:rPr>
          <w:rFonts w:hint="eastAsia"/>
          <w:color w:val="auto"/>
          <w:shd w:val="clear" w:color="auto" w:fill="auto"/>
          <w:lang w:val="en-US" w:eastAsia="zh-CN"/>
        </w:rPr>
        <w:t>8</w:t>
      </w:r>
      <w:r>
        <w:rPr>
          <w:color w:val="auto"/>
          <w:shd w:val="clear" w:color="auto" w:fill="auto"/>
        </w:rPr>
        <w:t>0</w:t>
      </w:r>
      <w:r>
        <w:rPr>
          <w:rFonts w:hint="eastAsia"/>
          <w:color w:val="auto"/>
          <w:shd w:val="clear" w:color="auto" w:fill="auto"/>
        </w:rPr>
        <w:t>天计。根据工程污染分析结果，</w:t>
      </w:r>
      <w:r>
        <w:rPr>
          <w:color w:val="auto"/>
          <w:shd w:val="clear" w:color="auto" w:fill="auto"/>
        </w:rPr>
        <w:t>施工船舶舱底油污水</w:t>
      </w:r>
      <w:r>
        <w:rPr>
          <w:rFonts w:hint="eastAsia"/>
          <w:color w:val="auto"/>
          <w:shd w:val="clear" w:color="auto" w:fill="auto"/>
        </w:rPr>
        <w:t>发生</w:t>
      </w:r>
      <w:r>
        <w:rPr>
          <w:color w:val="auto"/>
          <w:shd w:val="clear" w:color="auto" w:fill="auto"/>
        </w:rPr>
        <w:t>量为</w:t>
      </w:r>
      <w:r>
        <w:rPr>
          <w:rFonts w:hint="eastAsia"/>
          <w:color w:val="auto"/>
          <w:shd w:val="clear" w:color="auto" w:fill="auto"/>
        </w:rPr>
        <w:t>0.</w:t>
      </w:r>
      <w:r>
        <w:rPr>
          <w:rFonts w:hint="eastAsia"/>
          <w:color w:val="auto"/>
          <w:shd w:val="clear" w:color="auto" w:fill="auto"/>
          <w:lang w:val="en-US" w:eastAsia="zh-CN"/>
        </w:rPr>
        <w:t>54</w:t>
      </w:r>
      <w:r>
        <w:rPr>
          <w:color w:val="auto"/>
          <w:shd w:val="clear" w:color="auto" w:fill="auto"/>
        </w:rPr>
        <w:t>t/d</w:t>
      </w:r>
      <w:r>
        <w:rPr>
          <w:rFonts w:hint="eastAsia"/>
          <w:color w:val="auto"/>
          <w:shd w:val="clear" w:color="auto" w:fill="auto"/>
        </w:rPr>
        <w:t>，</w:t>
      </w:r>
      <w:r>
        <w:rPr>
          <w:color w:val="auto"/>
          <w:shd w:val="clear" w:color="auto" w:fill="auto"/>
        </w:rPr>
        <w:t>船舶上工作人员产生的船舶生活污水量为</w:t>
      </w:r>
      <w:r>
        <w:rPr>
          <w:rFonts w:hint="eastAsia"/>
          <w:color w:val="auto"/>
          <w:shd w:val="clear" w:color="auto" w:fill="auto"/>
          <w:lang w:val="en-US" w:eastAsia="zh-CN"/>
        </w:rPr>
        <w:t>1.92</w:t>
      </w:r>
      <w:r>
        <w:rPr>
          <w:color w:val="auto"/>
          <w:shd w:val="clear" w:color="auto" w:fill="auto"/>
        </w:rPr>
        <w:t>t/d</w:t>
      </w:r>
      <w:r>
        <w:rPr>
          <w:rFonts w:hint="eastAsia"/>
          <w:color w:val="auto"/>
          <w:shd w:val="clear" w:color="auto" w:fill="auto"/>
        </w:rPr>
        <w:t>。</w:t>
      </w:r>
    </w:p>
    <w:p>
      <w:pPr>
        <w:ind w:firstLine="480"/>
        <w:rPr>
          <w:rFonts w:hint="eastAsia" w:eastAsia="宋体"/>
          <w:color w:val="auto"/>
          <w:shd w:val="clear" w:color="auto" w:fill="auto"/>
          <w:lang w:eastAsia="zh-CN"/>
        </w:rPr>
      </w:pPr>
      <w:r>
        <w:rPr>
          <w:rFonts w:hint="eastAsia"/>
          <w:color w:val="auto"/>
          <w:shd w:val="clear" w:color="auto" w:fill="auto"/>
        </w:rPr>
        <w:t>施工船舶生活污水、油污水</w:t>
      </w:r>
      <w:r>
        <w:rPr>
          <w:rFonts w:hint="eastAsia"/>
          <w:color w:val="auto"/>
          <w:shd w:val="clear" w:color="auto" w:fill="auto"/>
          <w:lang w:eastAsia="zh-CN"/>
        </w:rPr>
        <w:t>分别</w:t>
      </w:r>
      <w:r>
        <w:rPr>
          <w:rFonts w:hint="eastAsia"/>
          <w:color w:val="auto"/>
          <w:shd w:val="clear" w:color="auto" w:fill="auto"/>
        </w:rPr>
        <w:t>由船舶生活污水收集罐车</w:t>
      </w:r>
      <w:r>
        <w:rPr>
          <w:rFonts w:hint="eastAsia"/>
          <w:color w:val="auto"/>
          <w:shd w:val="clear" w:color="auto" w:fill="auto"/>
          <w:lang w:eastAsia="zh-CN"/>
        </w:rPr>
        <w:t>、</w:t>
      </w:r>
      <w:r>
        <w:rPr>
          <w:rFonts w:hint="eastAsia"/>
          <w:color w:val="auto"/>
          <w:shd w:val="clear" w:color="auto" w:fill="auto"/>
        </w:rPr>
        <w:t>船舶油污水收集罐车收集后，定期外运至有资质接收处理单位</w:t>
      </w:r>
      <w:r>
        <w:rPr>
          <w:rFonts w:hint="eastAsia"/>
          <w:color w:val="auto"/>
          <w:shd w:val="clear" w:color="auto" w:fill="auto"/>
          <w:lang w:eastAsia="zh-CN"/>
        </w:rPr>
        <w:t>。</w:t>
      </w:r>
    </w:p>
    <w:p>
      <w:pPr>
        <w:pStyle w:val="5"/>
        <w:rPr>
          <w:color w:val="auto"/>
          <w:shd w:val="clear" w:color="auto" w:fill="auto"/>
        </w:rPr>
      </w:pP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.3 施工期噪声环境影响分析</w:t>
      </w:r>
    </w:p>
    <w:p>
      <w:pPr>
        <w:ind w:firstLine="480"/>
        <w:rPr>
          <w:color w:val="auto"/>
          <w:shd w:val="clear" w:color="auto" w:fill="auto"/>
        </w:rPr>
      </w:pPr>
      <w:r>
        <w:rPr>
          <w:color w:val="auto"/>
          <w:shd w:val="clear" w:color="auto" w:fill="auto"/>
        </w:rPr>
        <w:t>（1）噪声源</w:t>
      </w:r>
    </w:p>
    <w:p>
      <w:pPr>
        <w:ind w:firstLine="480"/>
        <w:rPr>
          <w:rFonts w:hint="eastAsia"/>
          <w:color w:val="auto"/>
          <w:shd w:val="clear" w:color="auto" w:fill="auto"/>
        </w:rPr>
      </w:pPr>
      <w:r>
        <w:rPr>
          <w:rFonts w:hint="eastAsia"/>
          <w:color w:val="auto"/>
          <w:shd w:val="clear" w:color="auto" w:fill="auto"/>
        </w:rPr>
        <w:t>工程施工的噪声源主要有施工机械固定噪声源和运输车辆流动噪声源等，工程所用机械及其产生的噪声污染源强见表</w:t>
      </w: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-4。</w:t>
      </w:r>
    </w:p>
    <w:p>
      <w:pPr>
        <w:pStyle w:val="43"/>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ascii="Times New Roman" w:hAnsi="Times New Roman" w:eastAsia="黑体" w:cs="Times New Roman"/>
          <w:color w:val="auto"/>
          <w:kern w:val="0"/>
          <w:sz w:val="21"/>
          <w:szCs w:val="21"/>
          <w:shd w:val="clear" w:color="auto" w:fill="auto"/>
          <w:lang w:val="en-US" w:eastAsia="zh-CN" w:bidi="ar-SA"/>
        </w:rPr>
      </w:pPr>
      <w:r>
        <w:rPr>
          <w:rFonts w:hint="eastAsia" w:ascii="Times New Roman" w:hAnsi="Times New Roman" w:eastAsia="黑体" w:cs="Times New Roman"/>
          <w:color w:val="auto"/>
          <w:kern w:val="0"/>
          <w:sz w:val="21"/>
          <w:szCs w:val="21"/>
          <w:shd w:val="clear" w:color="auto" w:fill="auto"/>
          <w:lang w:val="en-US" w:eastAsia="zh-CN" w:bidi="ar-SA"/>
        </w:rPr>
        <w:t>表4.2-4 施工期主要噪声源</w:t>
      </w:r>
    </w:p>
    <w:tbl>
      <w:tblPr>
        <w:tblStyle w:val="26"/>
        <w:tblW w:w="831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61"/>
        <w:gridCol w:w="2289"/>
        <w:gridCol w:w="2371"/>
        <w:gridCol w:w="18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施工阶段</w:t>
            </w: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设备名称</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测点距声源距离（m）</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声压级dB（A）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restart"/>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土石方开挖</w:t>
            </w: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平地机</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continue"/>
            <w:vAlign w:val="center"/>
          </w:tcPr>
          <w:p>
            <w:pPr>
              <w:spacing w:line="240" w:lineRule="auto"/>
              <w:ind w:firstLine="0" w:firstLineChars="0"/>
              <w:jc w:val="center"/>
              <w:rPr>
                <w:rFonts w:hint="eastAsia"/>
                <w:color w:val="auto"/>
                <w:sz w:val="21"/>
                <w:szCs w:val="21"/>
                <w:shd w:val="clear" w:color="auto" w:fill="auto"/>
                <w:lang w:val="en-US" w:eastAsia="zh-CN"/>
              </w:rPr>
            </w:pP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挖掘机</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continue"/>
            <w:vAlign w:val="center"/>
          </w:tcPr>
          <w:p>
            <w:pPr>
              <w:spacing w:line="240" w:lineRule="auto"/>
              <w:ind w:firstLine="0" w:firstLineChars="0"/>
              <w:jc w:val="center"/>
              <w:rPr>
                <w:rFonts w:hint="eastAsia"/>
                <w:color w:val="auto"/>
                <w:sz w:val="21"/>
                <w:szCs w:val="21"/>
                <w:shd w:val="clear" w:color="auto" w:fill="auto"/>
                <w:lang w:val="en-US" w:eastAsia="zh-CN"/>
              </w:rPr>
            </w:pP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推土机</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continue"/>
            <w:vAlign w:val="center"/>
          </w:tcPr>
          <w:p>
            <w:pPr>
              <w:spacing w:line="240" w:lineRule="auto"/>
              <w:ind w:firstLine="0" w:firstLineChars="0"/>
              <w:jc w:val="center"/>
              <w:rPr>
                <w:rFonts w:hint="eastAsia"/>
                <w:color w:val="auto"/>
                <w:sz w:val="21"/>
                <w:szCs w:val="21"/>
                <w:shd w:val="clear" w:color="auto" w:fill="auto"/>
                <w:lang w:val="en-US" w:eastAsia="zh-CN"/>
              </w:rPr>
            </w:pP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自卸汽车</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10</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restart"/>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桩基工程</w:t>
            </w: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钻井机</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1</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continue"/>
            <w:vAlign w:val="center"/>
          </w:tcPr>
          <w:p>
            <w:pPr>
              <w:spacing w:line="240" w:lineRule="auto"/>
              <w:ind w:firstLine="0" w:firstLineChars="0"/>
              <w:jc w:val="center"/>
              <w:rPr>
                <w:rFonts w:hint="eastAsia"/>
                <w:color w:val="auto"/>
                <w:sz w:val="21"/>
                <w:szCs w:val="21"/>
                <w:shd w:val="clear" w:color="auto" w:fill="auto"/>
                <w:lang w:val="en-US" w:eastAsia="zh-CN"/>
              </w:rPr>
            </w:pP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循环钻机</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restart"/>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木工、钢筋加工</w:t>
            </w: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钢筋剪切机</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continue"/>
            <w:vAlign w:val="center"/>
          </w:tcPr>
          <w:p>
            <w:pPr>
              <w:spacing w:line="240" w:lineRule="auto"/>
              <w:ind w:firstLine="0" w:firstLineChars="0"/>
              <w:jc w:val="center"/>
              <w:rPr>
                <w:rFonts w:hint="eastAsia"/>
                <w:color w:val="auto"/>
                <w:sz w:val="21"/>
                <w:szCs w:val="21"/>
                <w:shd w:val="clear" w:color="auto" w:fill="auto"/>
                <w:lang w:val="en-US" w:eastAsia="zh-CN"/>
              </w:rPr>
            </w:pP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切割锯</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restart"/>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混凝土浇筑</w:t>
            </w: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砼输送泵</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Merge w:val="continue"/>
            <w:vAlign w:val="center"/>
          </w:tcPr>
          <w:p>
            <w:pPr>
              <w:spacing w:line="240" w:lineRule="auto"/>
              <w:ind w:firstLine="0" w:firstLineChars="0"/>
              <w:jc w:val="center"/>
              <w:rPr>
                <w:rFonts w:hint="eastAsia"/>
                <w:color w:val="auto"/>
                <w:sz w:val="21"/>
                <w:szCs w:val="21"/>
                <w:shd w:val="clear" w:color="auto" w:fill="auto"/>
                <w:lang w:val="en-US" w:eastAsia="zh-CN"/>
              </w:rPr>
            </w:pP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混凝土搅拌运输车</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10</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6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港池疏浚</w:t>
            </w:r>
          </w:p>
        </w:tc>
        <w:tc>
          <w:tcPr>
            <w:tcW w:w="2289"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抓斗式挖泥船</w:t>
            </w:r>
          </w:p>
        </w:tc>
        <w:tc>
          <w:tcPr>
            <w:tcW w:w="2371"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15</w:t>
            </w:r>
          </w:p>
        </w:tc>
        <w:tc>
          <w:tcPr>
            <w:tcW w:w="1895" w:type="dxa"/>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89</w:t>
            </w:r>
          </w:p>
        </w:tc>
      </w:tr>
    </w:tbl>
    <w:p>
      <w:pPr>
        <w:bidi w:val="0"/>
        <w:rPr>
          <w:color w:val="auto"/>
          <w:shd w:val="clear" w:color="auto" w:fill="auto"/>
        </w:rPr>
      </w:pPr>
      <w:r>
        <w:rPr>
          <w:rFonts w:hAnsi="宋体"/>
          <w:color w:val="auto"/>
          <w:shd w:val="clear" w:color="auto" w:fill="auto"/>
        </w:rPr>
        <w:t>（</w:t>
      </w:r>
      <w:r>
        <w:rPr>
          <w:rFonts w:hint="eastAsia"/>
          <w:color w:val="auto"/>
          <w:shd w:val="clear" w:color="auto" w:fill="auto"/>
          <w:lang w:val="en-US" w:eastAsia="zh-CN"/>
        </w:rPr>
        <w:t>2</w:t>
      </w:r>
      <w:r>
        <w:rPr>
          <w:rFonts w:hAnsi="宋体"/>
          <w:color w:val="auto"/>
          <w:shd w:val="clear" w:color="auto" w:fill="auto"/>
        </w:rPr>
        <w:t>）施工期环境噪声预测</w:t>
      </w:r>
    </w:p>
    <w:p>
      <w:pPr>
        <w:spacing w:line="360" w:lineRule="auto"/>
        <w:ind w:firstLine="480"/>
        <w:rPr>
          <w:rFonts w:hint="eastAsia" w:hAnsi="宋体" w:eastAsia="宋体"/>
          <w:color w:val="auto"/>
          <w:shd w:val="clear" w:color="auto" w:fill="auto"/>
          <w:lang w:eastAsia="zh-CN"/>
        </w:rPr>
      </w:pPr>
      <w:r>
        <w:rPr>
          <w:rFonts w:hAnsi="宋体" w:eastAsia="宋体"/>
          <w:color w:val="auto"/>
          <w:shd w:val="clear" w:color="auto" w:fill="auto"/>
        </w:rPr>
        <w:t>①预测</w:t>
      </w:r>
      <w:r>
        <w:rPr>
          <w:rFonts w:hint="eastAsia" w:hAnsi="宋体" w:eastAsia="宋体"/>
          <w:color w:val="auto"/>
          <w:shd w:val="clear" w:color="auto" w:fill="auto"/>
          <w:lang w:eastAsia="zh-CN"/>
        </w:rPr>
        <w:t>模式</w:t>
      </w:r>
    </w:p>
    <w:p>
      <w:pPr>
        <w:spacing w:line="360" w:lineRule="auto"/>
        <w:ind w:firstLine="480"/>
        <w:rPr>
          <w:rFonts w:hAnsi="宋体" w:eastAsia="宋体"/>
          <w:color w:val="auto"/>
          <w:shd w:val="clear" w:color="auto" w:fill="auto"/>
        </w:rPr>
      </w:pPr>
      <w:r>
        <w:rPr>
          <w:rFonts w:hAnsi="宋体" w:eastAsia="宋体"/>
          <w:color w:val="auto"/>
          <w:shd w:val="clear" w:color="auto" w:fill="auto"/>
        </w:rPr>
        <w:t>根据《环境影响评价技术导则声环境》（HJ2.4-2009）有关要求，采用下列预测公式 进行预测，并选取各设备最大源强参与计算。</w:t>
      </w:r>
    </w:p>
    <w:p>
      <w:pPr>
        <w:spacing w:line="360" w:lineRule="auto"/>
        <w:ind w:firstLine="480"/>
        <w:rPr>
          <w:rFonts w:hAnsi="宋体" w:eastAsia="宋体"/>
          <w:color w:val="auto"/>
          <w:shd w:val="clear" w:color="auto" w:fill="auto"/>
        </w:rPr>
      </w:pPr>
      <w:r>
        <w:rPr>
          <w:rFonts w:hint="eastAsia" w:hAnsi="宋体"/>
          <w:color w:val="auto"/>
          <w:shd w:val="clear" w:color="auto" w:fill="auto"/>
          <w:lang w:val="en-US" w:eastAsia="zh-CN"/>
        </w:rPr>
        <w:t>A.</w:t>
      </w:r>
      <w:r>
        <w:rPr>
          <w:rFonts w:hAnsi="宋体" w:eastAsia="宋体"/>
          <w:color w:val="auto"/>
          <w:shd w:val="clear" w:color="auto" w:fill="auto"/>
        </w:rPr>
        <w:t>点声源衰减模式如下：</w:t>
      </w:r>
    </w:p>
    <w:p>
      <w:pPr>
        <w:pStyle w:val="12"/>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Ansi="宋体" w:eastAsia="宋体"/>
          <w:color w:val="auto"/>
          <w:shd w:val="clear" w:color="auto" w:fill="auto"/>
        </w:rPr>
      </w:pPr>
      <w:r>
        <w:rPr>
          <w:color w:val="auto"/>
          <w:shd w:val="clear" w:color="auto" w:fill="auto"/>
        </w:rPr>
        <w:drawing>
          <wp:anchor distT="0" distB="0" distL="0" distR="0" simplePos="0" relativeHeight="149332992" behindDoc="0" locked="0" layoutInCell="1" allowOverlap="1">
            <wp:simplePos x="0" y="0"/>
            <wp:positionH relativeFrom="page">
              <wp:posOffset>2809875</wp:posOffset>
            </wp:positionH>
            <wp:positionV relativeFrom="paragraph">
              <wp:posOffset>113030</wp:posOffset>
            </wp:positionV>
            <wp:extent cx="2366010" cy="507365"/>
            <wp:effectExtent l="0" t="0" r="15240" b="6985"/>
            <wp:wrapTopAndBottom/>
            <wp:docPr id="2"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5.png"/>
                    <pic:cNvPicPr>
                      <a:picLocks noChangeAspect="1"/>
                    </pic:cNvPicPr>
                  </pic:nvPicPr>
                  <pic:blipFill>
                    <a:blip r:embed="rId53"/>
                    <a:stretch>
                      <a:fillRect/>
                    </a:stretch>
                  </pic:blipFill>
                  <pic:spPr>
                    <a:xfrm>
                      <a:off x="0" y="0"/>
                      <a:ext cx="2366010" cy="507365"/>
                    </a:xfrm>
                    <a:prstGeom prst="rect">
                      <a:avLst/>
                    </a:prstGeom>
                    <a:noFill/>
                    <a:ln>
                      <a:noFill/>
                    </a:ln>
                  </pic:spPr>
                </pic:pic>
              </a:graphicData>
            </a:graphic>
          </wp:anchor>
        </w:drawing>
      </w:r>
      <w:r>
        <w:rPr>
          <w:rFonts w:hAnsi="宋体" w:eastAsia="宋体"/>
          <w:color w:val="auto"/>
          <w:shd w:val="clear" w:color="auto" w:fill="auto"/>
        </w:rPr>
        <w:t>式中：LA（r）——距声源r处的声级，dB（A）；</w:t>
      </w:r>
    </w:p>
    <w:p>
      <w:pPr>
        <w:spacing w:line="360" w:lineRule="auto"/>
        <w:ind w:firstLine="480"/>
        <w:rPr>
          <w:rFonts w:hAnsi="宋体" w:eastAsia="宋体"/>
          <w:color w:val="auto"/>
          <w:shd w:val="clear" w:color="auto" w:fill="auto"/>
        </w:rPr>
      </w:pPr>
      <w:r>
        <w:rPr>
          <w:rFonts w:hAnsi="宋体" w:eastAsia="宋体"/>
          <w:color w:val="auto"/>
          <w:shd w:val="clear" w:color="auto" w:fill="auto"/>
        </w:rPr>
        <w:t xml:space="preserve"> LA（r</w:t>
      </w:r>
      <w:r>
        <w:rPr>
          <w:rFonts w:hAnsi="宋体" w:eastAsia="宋体"/>
          <w:color w:val="auto"/>
          <w:shd w:val="clear" w:color="auto" w:fill="auto"/>
          <w:vertAlign w:val="subscript"/>
        </w:rPr>
        <w:t>0</w:t>
      </w:r>
      <w:r>
        <w:rPr>
          <w:rFonts w:hAnsi="宋体" w:eastAsia="宋体"/>
          <w:color w:val="auto"/>
          <w:shd w:val="clear" w:color="auto" w:fill="auto"/>
        </w:rPr>
        <w:t>）——参考位置 r</w:t>
      </w:r>
      <w:r>
        <w:rPr>
          <w:rFonts w:hAnsi="宋体" w:eastAsia="宋体"/>
          <w:color w:val="auto"/>
          <w:shd w:val="clear" w:color="auto" w:fill="auto"/>
          <w:vertAlign w:val="subscript"/>
        </w:rPr>
        <w:t xml:space="preserve">0 </w:t>
      </w:r>
      <w:r>
        <w:rPr>
          <w:rFonts w:hAnsi="宋体" w:eastAsia="宋体"/>
          <w:color w:val="auto"/>
          <w:shd w:val="clear" w:color="auto" w:fill="auto"/>
        </w:rPr>
        <w:t>处的声级，dB（A）；</w:t>
      </w:r>
    </w:p>
    <w:p>
      <w:pPr>
        <w:spacing w:line="360" w:lineRule="auto"/>
        <w:ind w:firstLine="480"/>
        <w:rPr>
          <w:rFonts w:hAnsi="宋体" w:eastAsia="宋体"/>
          <w:color w:val="auto"/>
          <w:shd w:val="clear" w:color="auto" w:fill="auto"/>
        </w:rPr>
      </w:pPr>
      <w:r>
        <w:rPr>
          <w:rFonts w:hAnsi="宋体" w:eastAsia="宋体"/>
          <w:color w:val="auto"/>
          <w:shd w:val="clear" w:color="auto" w:fill="auto"/>
        </w:rPr>
        <w:t xml:space="preserve"> r——预测点与点声源之间的距离（</w:t>
      </w:r>
      <w:r>
        <w:rPr>
          <w:rFonts w:hint="eastAsia" w:hAnsi="宋体"/>
          <w:color w:val="auto"/>
          <w:shd w:val="clear" w:color="auto" w:fill="auto"/>
          <w:lang w:eastAsia="zh-CN"/>
        </w:rPr>
        <w:t>m</w:t>
      </w:r>
      <w:r>
        <w:rPr>
          <w:rFonts w:hAnsi="宋体" w:eastAsia="宋体"/>
          <w:color w:val="auto"/>
          <w:shd w:val="clear" w:color="auto" w:fill="auto"/>
        </w:rPr>
        <w:t>）；</w:t>
      </w:r>
    </w:p>
    <w:p>
      <w:pPr>
        <w:spacing w:line="360" w:lineRule="auto"/>
        <w:ind w:firstLine="480"/>
        <w:rPr>
          <w:rFonts w:hAnsi="宋体" w:eastAsia="宋体"/>
          <w:color w:val="auto"/>
          <w:shd w:val="clear" w:color="auto" w:fill="auto"/>
        </w:rPr>
      </w:pPr>
      <w:r>
        <w:rPr>
          <w:rFonts w:hAnsi="宋体" w:eastAsia="宋体"/>
          <w:color w:val="auto"/>
          <w:shd w:val="clear" w:color="auto" w:fill="auto"/>
        </w:rPr>
        <w:t xml:space="preserve"> r</w:t>
      </w:r>
      <w:r>
        <w:rPr>
          <w:rFonts w:hAnsi="宋体" w:eastAsia="宋体"/>
          <w:color w:val="auto"/>
          <w:shd w:val="clear" w:color="auto" w:fill="auto"/>
          <w:vertAlign w:val="subscript"/>
        </w:rPr>
        <w:t>0</w:t>
      </w:r>
      <w:r>
        <w:rPr>
          <w:rFonts w:hAnsi="宋体" w:eastAsia="宋体"/>
          <w:color w:val="auto"/>
          <w:shd w:val="clear" w:color="auto" w:fill="auto"/>
        </w:rPr>
        <w:t>——参考位置与点声源之间的距离（</w:t>
      </w:r>
      <w:r>
        <w:rPr>
          <w:rFonts w:hint="eastAsia" w:hAnsi="宋体"/>
          <w:color w:val="auto"/>
          <w:shd w:val="clear" w:color="auto" w:fill="auto"/>
          <w:lang w:eastAsia="zh-CN"/>
        </w:rPr>
        <w:t>m</w:t>
      </w:r>
      <w:r>
        <w:rPr>
          <w:rFonts w:hAnsi="宋体" w:eastAsia="宋体"/>
          <w:color w:val="auto"/>
          <w:shd w:val="clear" w:color="auto" w:fill="auto"/>
        </w:rPr>
        <w:t>）；</w:t>
      </w:r>
    </w:p>
    <w:p>
      <w:pPr>
        <w:spacing w:line="360" w:lineRule="auto"/>
        <w:ind w:firstLine="480"/>
        <w:rPr>
          <w:rFonts w:hAnsi="宋体" w:eastAsia="宋体"/>
          <w:color w:val="auto"/>
          <w:shd w:val="clear" w:color="auto" w:fill="auto"/>
        </w:rPr>
      </w:pPr>
      <w:r>
        <w:rPr>
          <w:rFonts w:hint="eastAsia" w:hAnsi="宋体"/>
          <w:color w:val="auto"/>
          <w:shd w:val="clear" w:color="auto" w:fill="auto"/>
          <w:lang w:val="en-US" w:eastAsia="zh-CN"/>
        </w:rPr>
        <w:t>B.</w:t>
      </w:r>
      <w:r>
        <w:rPr>
          <w:rFonts w:hAnsi="宋体" w:eastAsia="宋体"/>
          <w:color w:val="auto"/>
          <w:shd w:val="clear" w:color="auto" w:fill="auto"/>
        </w:rPr>
        <w:t>对于多台施工机械同时作业时对某个预测点的影响，应按下式进行声级迭加：</w:t>
      </w:r>
    </w:p>
    <w:p>
      <w:pPr>
        <w:bidi w:val="0"/>
        <w:rPr>
          <w:color w:val="auto"/>
          <w:shd w:val="clear" w:color="auto" w:fill="auto"/>
        </w:rPr>
      </w:pPr>
      <w:r>
        <w:rPr>
          <w:rFonts w:hint="default"/>
          <w:color w:val="auto"/>
          <w:shd w:val="clear" w:color="auto" w:fill="auto"/>
          <w:lang w:val="en-US"/>
        </w:rPr>
        <w:drawing>
          <wp:anchor distT="0" distB="0" distL="0" distR="0" simplePos="0" relativeHeight="149332992" behindDoc="0" locked="0" layoutInCell="1" allowOverlap="1">
            <wp:simplePos x="0" y="0"/>
            <wp:positionH relativeFrom="page">
              <wp:posOffset>2797810</wp:posOffset>
            </wp:positionH>
            <wp:positionV relativeFrom="paragraph">
              <wp:posOffset>40005</wp:posOffset>
            </wp:positionV>
            <wp:extent cx="2087880" cy="511810"/>
            <wp:effectExtent l="0" t="0" r="7620" b="2540"/>
            <wp:wrapTopAndBottom/>
            <wp:docPr id="3"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6.jpeg"/>
                    <pic:cNvPicPr>
                      <a:picLocks noChangeAspect="1"/>
                    </pic:cNvPicPr>
                  </pic:nvPicPr>
                  <pic:blipFill>
                    <a:blip r:embed="rId54"/>
                    <a:stretch>
                      <a:fillRect/>
                    </a:stretch>
                  </pic:blipFill>
                  <pic:spPr>
                    <a:xfrm>
                      <a:off x="0" y="0"/>
                      <a:ext cx="2087880" cy="511810"/>
                    </a:xfrm>
                    <a:prstGeom prst="rect">
                      <a:avLst/>
                    </a:prstGeom>
                    <a:noFill/>
                    <a:ln>
                      <a:noFill/>
                    </a:ln>
                  </pic:spPr>
                </pic:pic>
              </a:graphicData>
            </a:graphic>
          </wp:anchor>
        </w:drawing>
      </w:r>
      <w:r>
        <w:rPr>
          <w:rFonts w:hint="eastAsia"/>
          <w:color w:val="auto"/>
          <w:shd w:val="clear" w:color="auto" w:fill="auto"/>
          <w:lang w:val="en-US" w:eastAsia="zh-CN"/>
        </w:rPr>
        <w:t>C.</w:t>
      </w:r>
      <w:r>
        <w:rPr>
          <w:color w:val="auto"/>
          <w:shd w:val="clear" w:color="auto" w:fill="auto"/>
        </w:rPr>
        <w:t>预测点的预测等效声级</w:t>
      </w:r>
      <w:r>
        <w:rPr>
          <w:rFonts w:ascii="Times New Roman" w:eastAsia="Times New Roman"/>
          <w:color w:val="auto"/>
          <w:shd w:val="clear" w:color="auto" w:fill="auto"/>
        </w:rPr>
        <w:t>(Leq )</w:t>
      </w:r>
      <w:r>
        <w:rPr>
          <w:color w:val="auto"/>
          <w:shd w:val="clear" w:color="auto" w:fill="auto"/>
        </w:rPr>
        <w:t>计算公式</w:t>
      </w:r>
    </w:p>
    <w:p>
      <w:pPr>
        <w:pStyle w:val="12"/>
        <w:rPr>
          <w:color w:val="auto"/>
          <w:sz w:val="20"/>
          <w:shd w:val="clear" w:color="auto" w:fill="auto"/>
        </w:rPr>
      </w:pPr>
      <w:r>
        <w:rPr>
          <w:rFonts w:hint="eastAsia"/>
          <w:color w:val="auto"/>
          <w:sz w:val="20"/>
          <w:shd w:val="clear" w:color="auto" w:fill="auto"/>
          <w:lang w:val="en-US" w:eastAsia="zh-CN"/>
        </w:rPr>
        <w:t xml:space="preserve">                      </w:t>
      </w:r>
      <w:r>
        <w:rPr>
          <w:color w:val="auto"/>
          <w:sz w:val="20"/>
          <w:shd w:val="clear" w:color="auto" w:fill="auto"/>
        </w:rPr>
        <w:drawing>
          <wp:inline distT="0" distB="0" distL="0" distR="0">
            <wp:extent cx="2058670" cy="400050"/>
            <wp:effectExtent l="0" t="0" r="17780" b="0"/>
            <wp:docPr id="2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47.jpeg"/>
                    <pic:cNvPicPr>
                      <a:picLocks noChangeAspect="1"/>
                    </pic:cNvPicPr>
                  </pic:nvPicPr>
                  <pic:blipFill>
                    <a:blip r:embed="rId55"/>
                    <a:stretch>
                      <a:fillRect/>
                    </a:stretch>
                  </pic:blipFill>
                  <pic:spPr>
                    <a:xfrm>
                      <a:off x="0" y="0"/>
                      <a:ext cx="2058670" cy="400050"/>
                    </a:xfrm>
                    <a:prstGeom prst="rect">
                      <a:avLst/>
                    </a:prstGeom>
                    <a:noFill/>
                    <a:ln>
                      <a:noFill/>
                    </a:ln>
                  </pic:spPr>
                </pic:pic>
              </a:graphicData>
            </a:graphic>
          </wp:inline>
        </w:drawing>
      </w:r>
    </w:p>
    <w:p>
      <w:pPr>
        <w:spacing w:line="360" w:lineRule="auto"/>
        <w:ind w:firstLine="480"/>
        <w:rPr>
          <w:rFonts w:hAnsi="宋体" w:eastAsia="宋体"/>
          <w:color w:val="auto"/>
          <w:shd w:val="clear" w:color="auto" w:fill="auto"/>
        </w:rPr>
      </w:pPr>
      <w:r>
        <w:rPr>
          <w:rFonts w:hAnsi="宋体" w:eastAsia="宋体"/>
          <w:color w:val="auto"/>
          <w:shd w:val="clear" w:color="auto" w:fill="auto"/>
        </w:rPr>
        <w:t>式中：L</w:t>
      </w:r>
      <w:r>
        <w:rPr>
          <w:rFonts w:hAnsi="宋体" w:eastAsia="宋体"/>
          <w:color w:val="auto"/>
          <w:shd w:val="clear" w:color="auto" w:fill="auto"/>
          <w:vertAlign w:val="subscript"/>
        </w:rPr>
        <w:t xml:space="preserve">eqg </w:t>
      </w:r>
      <w:r>
        <w:rPr>
          <w:rFonts w:hAnsi="宋体" w:eastAsia="宋体"/>
          <w:color w:val="auto"/>
          <w:shd w:val="clear" w:color="auto" w:fill="auto"/>
        </w:rPr>
        <w:t>—建设项目声源在预测点的等效声级贡献值，dB(A)；</w:t>
      </w:r>
    </w:p>
    <w:p>
      <w:pPr>
        <w:spacing w:line="360" w:lineRule="auto"/>
        <w:ind w:firstLine="480"/>
        <w:rPr>
          <w:rFonts w:hAnsi="宋体" w:eastAsia="宋体"/>
          <w:color w:val="auto"/>
          <w:shd w:val="clear" w:color="auto" w:fill="auto"/>
        </w:rPr>
      </w:pPr>
      <w:r>
        <w:rPr>
          <w:rFonts w:hAnsi="宋体" w:eastAsia="宋体"/>
          <w:color w:val="auto"/>
          <w:shd w:val="clear" w:color="auto" w:fill="auto"/>
        </w:rPr>
        <w:t xml:space="preserve"> </w:t>
      </w:r>
      <w:r>
        <w:rPr>
          <w:rFonts w:hint="eastAsia" w:hAnsi="宋体" w:eastAsia="宋体"/>
          <w:color w:val="auto"/>
          <w:shd w:val="clear" w:color="auto" w:fill="auto"/>
          <w:lang w:val="en-US" w:eastAsia="zh-CN"/>
        </w:rPr>
        <w:t xml:space="preserve">     </w:t>
      </w:r>
      <w:r>
        <w:rPr>
          <w:rFonts w:hAnsi="宋体" w:eastAsia="宋体"/>
          <w:color w:val="auto"/>
          <w:shd w:val="clear" w:color="auto" w:fill="auto"/>
        </w:rPr>
        <w:t>L</w:t>
      </w:r>
      <w:r>
        <w:rPr>
          <w:rFonts w:hAnsi="宋体" w:eastAsia="宋体"/>
          <w:color w:val="auto"/>
          <w:shd w:val="clear" w:color="auto" w:fill="auto"/>
          <w:vertAlign w:val="subscript"/>
        </w:rPr>
        <w:t>eqb</w:t>
      </w:r>
      <w:r>
        <w:rPr>
          <w:rFonts w:hAnsi="宋体" w:eastAsia="宋体"/>
          <w:color w:val="auto"/>
          <w:shd w:val="clear" w:color="auto" w:fill="auto"/>
        </w:rPr>
        <w:t xml:space="preserve"> —预测点的背景值，dB(A)</w:t>
      </w:r>
    </w:p>
    <w:p>
      <w:pPr>
        <w:rPr>
          <w:color w:val="auto"/>
          <w:shd w:val="clear" w:color="auto" w:fill="auto"/>
        </w:rPr>
      </w:pPr>
      <w:r>
        <w:rPr>
          <w:rFonts w:hAnsi="宋体"/>
          <w:color w:val="auto"/>
          <w:shd w:val="clear" w:color="auto" w:fill="auto"/>
        </w:rPr>
        <w:t>②施</w:t>
      </w:r>
      <w:r>
        <w:rPr>
          <w:color w:val="auto"/>
          <w:shd w:val="clear" w:color="auto" w:fill="auto"/>
        </w:rPr>
        <w:t>工噪声影响预测</w:t>
      </w:r>
    </w:p>
    <w:p>
      <w:pPr>
        <w:bidi w:val="0"/>
      </w:pPr>
      <w:r>
        <w:t>根据《建筑施工场界环境噪声排放标准》（GB12523-2011）的要求</w:t>
      </w:r>
      <w:r>
        <w:rPr>
          <w:rFonts w:hint="eastAsia"/>
          <w:lang w:eastAsia="zh-CN"/>
        </w:rPr>
        <w:t>，</w:t>
      </w:r>
      <w:r>
        <w:t>单台</w:t>
      </w:r>
      <w:r>
        <w:rPr>
          <w:rFonts w:hint="eastAsia"/>
          <w:lang w:eastAsia="zh-CN"/>
        </w:rPr>
        <w:t>设备</w:t>
      </w:r>
      <w:r>
        <w:t>预</w:t>
      </w:r>
      <w:r>
        <w:rPr>
          <w:lang w:val="en-US" w:eastAsia="zh-CN"/>
        </w:rPr>
        <w:t>测施工噪声扩散传播衰减值计算结果</w:t>
      </w:r>
      <w:r>
        <w:rPr>
          <w:rFonts w:hint="eastAsia"/>
          <w:lang w:val="en-US" w:eastAsia="zh-CN"/>
        </w:rPr>
        <w:t>和</w:t>
      </w:r>
      <w:r>
        <w:rPr>
          <w:lang w:val="en-US" w:eastAsia="zh-CN"/>
        </w:rPr>
        <w:t>施工</w:t>
      </w:r>
      <w:r>
        <w:rPr>
          <w:rFonts w:hint="eastAsia"/>
          <w:lang w:val="en-US" w:eastAsia="zh-CN"/>
        </w:rPr>
        <w:t>期噪声源组合在不同距离的噪声预测值</w:t>
      </w:r>
      <w:r>
        <w:rPr>
          <w:lang w:val="en-US" w:eastAsia="zh-CN"/>
        </w:rPr>
        <w:t>见表</w:t>
      </w:r>
      <w:r>
        <w:rPr>
          <w:rFonts w:hint="eastAsia"/>
          <w:lang w:val="en-US" w:eastAsia="zh-CN"/>
        </w:rPr>
        <w:t>4.2-5、表4.2-6</w:t>
      </w:r>
      <w:r>
        <w:rPr>
          <w:lang w:val="en-US" w:eastAsia="zh-CN"/>
        </w:rPr>
        <w:t>。</w:t>
      </w:r>
    </w:p>
    <w:p>
      <w:pPr>
        <w:pStyle w:val="43"/>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ascii="Times New Roman" w:hAnsi="Times New Roman" w:eastAsia="黑体" w:cs="Times New Roman"/>
          <w:color w:val="auto"/>
          <w:kern w:val="0"/>
          <w:sz w:val="21"/>
          <w:szCs w:val="21"/>
          <w:shd w:val="clear" w:color="auto" w:fill="auto"/>
          <w:lang w:val="en-US" w:eastAsia="zh-CN" w:bidi="ar-SA"/>
        </w:rPr>
      </w:pPr>
      <w:r>
        <w:rPr>
          <w:rFonts w:hint="eastAsia" w:ascii="Times New Roman" w:hAnsi="Times New Roman" w:eastAsia="黑体" w:cs="Times New Roman"/>
          <w:color w:val="auto"/>
          <w:kern w:val="0"/>
          <w:sz w:val="21"/>
          <w:szCs w:val="21"/>
          <w:shd w:val="clear" w:color="auto" w:fill="auto"/>
          <w:lang w:val="en-US" w:eastAsia="zh-CN" w:bidi="ar-SA"/>
        </w:rPr>
        <w:t>表4.2-</w:t>
      </w:r>
      <w:r>
        <w:rPr>
          <w:rFonts w:hint="eastAsia" w:cs="Times New Roman"/>
          <w:color w:val="auto"/>
          <w:kern w:val="0"/>
          <w:sz w:val="21"/>
          <w:szCs w:val="21"/>
          <w:shd w:val="clear" w:color="auto" w:fill="auto"/>
          <w:lang w:val="en-US" w:eastAsia="zh-CN" w:bidi="ar-SA"/>
        </w:rPr>
        <w:t>5</w:t>
      </w:r>
      <w:r>
        <w:rPr>
          <w:rFonts w:hint="eastAsia" w:ascii="Times New Roman" w:hAnsi="Times New Roman" w:eastAsia="黑体" w:cs="Times New Roman"/>
          <w:color w:val="auto"/>
          <w:kern w:val="0"/>
          <w:sz w:val="21"/>
          <w:szCs w:val="21"/>
          <w:shd w:val="clear" w:color="auto" w:fill="auto"/>
          <w:lang w:val="en-US" w:eastAsia="zh-CN" w:bidi="ar-SA"/>
        </w:rPr>
        <w:t xml:space="preserve"> 单台设备施工噪声影响预测结果  单位：dB(A)</w:t>
      </w:r>
    </w:p>
    <w:tbl>
      <w:tblPr>
        <w:tblStyle w:val="26"/>
        <w:tblW w:w="831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06"/>
        <w:gridCol w:w="1509"/>
        <w:gridCol w:w="981"/>
        <w:gridCol w:w="438"/>
        <w:gridCol w:w="557"/>
        <w:gridCol w:w="565"/>
        <w:gridCol w:w="558"/>
        <w:gridCol w:w="557"/>
        <w:gridCol w:w="565"/>
        <w:gridCol w:w="558"/>
        <w:gridCol w:w="558"/>
        <w:gridCol w:w="56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6" w:type="dxa"/>
            <w:vMerge w:val="restart"/>
            <w:vAlign w:val="center"/>
          </w:tcPr>
          <w:p>
            <w:pPr>
              <w:pStyle w:val="44"/>
              <w:spacing w:line="240" w:lineRule="auto"/>
              <w:rPr>
                <w:rFonts w:hint="eastAsia" w:eastAsia="宋体"/>
                <w:color w:val="auto"/>
                <w:shd w:val="clear" w:color="auto" w:fill="auto"/>
              </w:rPr>
            </w:pPr>
          </w:p>
          <w:p>
            <w:pPr>
              <w:pStyle w:val="44"/>
              <w:spacing w:line="240" w:lineRule="auto"/>
              <w:rPr>
                <w:rFonts w:hint="eastAsia" w:eastAsia="宋体"/>
                <w:color w:val="auto"/>
                <w:shd w:val="clear" w:color="auto" w:fill="auto"/>
              </w:rPr>
            </w:pPr>
            <w:r>
              <w:rPr>
                <w:rFonts w:hint="eastAsia" w:eastAsia="宋体"/>
                <w:color w:val="auto"/>
                <w:shd w:val="clear" w:color="auto" w:fill="auto"/>
              </w:rPr>
              <w:t>施工阶段</w:t>
            </w:r>
          </w:p>
        </w:tc>
        <w:tc>
          <w:tcPr>
            <w:tcW w:w="1509" w:type="dxa"/>
            <w:vMerge w:val="restart"/>
            <w:vAlign w:val="center"/>
          </w:tcPr>
          <w:p>
            <w:pPr>
              <w:pStyle w:val="44"/>
              <w:spacing w:line="240" w:lineRule="auto"/>
              <w:rPr>
                <w:rFonts w:hint="eastAsia" w:eastAsia="宋体"/>
                <w:color w:val="auto"/>
                <w:shd w:val="clear" w:color="auto" w:fill="auto"/>
              </w:rPr>
            </w:pPr>
          </w:p>
          <w:p>
            <w:pPr>
              <w:pStyle w:val="44"/>
              <w:spacing w:line="240" w:lineRule="auto"/>
              <w:rPr>
                <w:rFonts w:hint="eastAsia" w:eastAsia="宋体"/>
                <w:color w:val="auto"/>
                <w:shd w:val="clear" w:color="auto" w:fill="auto"/>
              </w:rPr>
            </w:pPr>
            <w:r>
              <w:rPr>
                <w:rFonts w:hint="eastAsia" w:eastAsia="宋体"/>
                <w:color w:val="auto"/>
                <w:shd w:val="clear" w:color="auto" w:fill="auto"/>
              </w:rPr>
              <w:t>声源</w:t>
            </w:r>
          </w:p>
        </w:tc>
        <w:tc>
          <w:tcPr>
            <w:tcW w:w="981" w:type="dxa"/>
            <w:vMerge w:val="restart"/>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测点距声 源距离（</w:t>
            </w:r>
            <w:r>
              <w:rPr>
                <w:rFonts w:hint="eastAsia"/>
                <w:color w:val="auto"/>
                <w:shd w:val="clear" w:color="auto" w:fill="auto"/>
                <w:lang w:eastAsia="zh-CN"/>
              </w:rPr>
              <w:t>m</w:t>
            </w:r>
            <w:r>
              <w:rPr>
                <w:rFonts w:hint="eastAsia" w:eastAsia="宋体"/>
                <w:color w:val="auto"/>
                <w:shd w:val="clear" w:color="auto" w:fill="auto"/>
              </w:rPr>
              <w:t>）</w:t>
            </w:r>
          </w:p>
        </w:tc>
        <w:tc>
          <w:tcPr>
            <w:tcW w:w="438" w:type="dxa"/>
            <w:vMerge w:val="restart"/>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源 强</w:t>
            </w:r>
          </w:p>
        </w:tc>
        <w:tc>
          <w:tcPr>
            <w:tcW w:w="3360" w:type="dxa"/>
            <w:gridSpan w:val="6"/>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离声源不同距离的噪声预测值</w:t>
            </w:r>
          </w:p>
        </w:tc>
        <w:tc>
          <w:tcPr>
            <w:tcW w:w="1122" w:type="dxa"/>
            <w:gridSpan w:val="2"/>
            <w:vAlign w:val="center"/>
          </w:tcPr>
          <w:p>
            <w:pPr>
              <w:pStyle w:val="44"/>
              <w:spacing w:line="240" w:lineRule="auto"/>
              <w:rPr>
                <w:rFonts w:hint="eastAsia" w:eastAsia="宋体"/>
                <w:color w:val="auto"/>
                <w:shd w:val="clear" w:color="auto" w:fill="auto"/>
                <w:lang w:val="en-US" w:eastAsia="zh-CN"/>
              </w:rPr>
            </w:pPr>
            <w:r>
              <w:rPr>
                <w:rFonts w:hint="eastAsia" w:eastAsia="宋体"/>
                <w:color w:val="auto"/>
                <w:shd w:val="clear" w:color="auto" w:fill="auto"/>
              </w:rPr>
              <w:t>达标距离</w:t>
            </w:r>
            <w:r>
              <w:rPr>
                <w:rFonts w:hint="eastAsia"/>
                <w:color w:val="auto"/>
                <w:shd w:val="clear" w:color="auto" w:fill="auto"/>
                <w:lang w:eastAsia="zh-CN"/>
              </w:rPr>
              <w:t>（</w:t>
            </w:r>
            <w:r>
              <w:rPr>
                <w:rFonts w:hint="eastAsia"/>
                <w:color w:val="auto"/>
                <w:shd w:val="clear" w:color="auto" w:fill="auto"/>
                <w:lang w:val="en-US" w:eastAsia="zh-CN"/>
              </w:rPr>
              <w:t>m</w:t>
            </w:r>
            <w:r>
              <w:rPr>
                <w:rFonts w:hint="eastAsia"/>
                <w:color w:val="auto"/>
                <w:shd w:val="clear" w:color="auto" w:fill="auto"/>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6" w:type="dxa"/>
            <w:vMerge w:val="continue"/>
            <w:vAlign w:val="center"/>
          </w:tcPr>
          <w:p>
            <w:pPr>
              <w:pStyle w:val="44"/>
              <w:spacing w:line="240" w:lineRule="auto"/>
              <w:rPr>
                <w:rFonts w:hint="eastAsia" w:eastAsia="宋体"/>
                <w:color w:val="auto"/>
                <w:shd w:val="clear" w:color="auto" w:fill="auto"/>
              </w:rPr>
            </w:pPr>
          </w:p>
        </w:tc>
        <w:tc>
          <w:tcPr>
            <w:tcW w:w="1509" w:type="dxa"/>
            <w:vMerge w:val="continue"/>
            <w:vAlign w:val="center"/>
          </w:tcPr>
          <w:p>
            <w:pPr>
              <w:pStyle w:val="44"/>
              <w:spacing w:line="240" w:lineRule="auto"/>
              <w:rPr>
                <w:rFonts w:hint="eastAsia" w:eastAsia="宋体"/>
                <w:color w:val="auto"/>
                <w:shd w:val="clear" w:color="auto" w:fill="auto"/>
              </w:rPr>
            </w:pPr>
          </w:p>
        </w:tc>
        <w:tc>
          <w:tcPr>
            <w:tcW w:w="981" w:type="dxa"/>
            <w:vMerge w:val="continue"/>
            <w:vAlign w:val="center"/>
          </w:tcPr>
          <w:p>
            <w:pPr>
              <w:pStyle w:val="44"/>
              <w:spacing w:line="240" w:lineRule="auto"/>
              <w:rPr>
                <w:rFonts w:hint="eastAsia" w:eastAsia="宋体"/>
                <w:color w:val="auto"/>
                <w:shd w:val="clear" w:color="auto" w:fill="auto"/>
              </w:rPr>
            </w:pPr>
          </w:p>
        </w:tc>
        <w:tc>
          <w:tcPr>
            <w:tcW w:w="438" w:type="dxa"/>
            <w:vMerge w:val="continue"/>
            <w:vAlign w:val="center"/>
          </w:tcPr>
          <w:p>
            <w:pPr>
              <w:pStyle w:val="44"/>
              <w:spacing w:line="240" w:lineRule="auto"/>
              <w:rPr>
                <w:rFonts w:hint="eastAsia" w:eastAsia="宋体"/>
                <w:color w:val="auto"/>
                <w:shd w:val="clear" w:color="auto" w:fill="auto"/>
              </w:rPr>
            </w:pPr>
          </w:p>
        </w:tc>
        <w:tc>
          <w:tcPr>
            <w:tcW w:w="557" w:type="dxa"/>
            <w:vAlign w:val="center"/>
          </w:tcPr>
          <w:p>
            <w:pPr>
              <w:pStyle w:val="44"/>
              <w:spacing w:line="240" w:lineRule="auto"/>
              <w:rPr>
                <w:rFonts w:hint="eastAsia" w:eastAsia="宋体"/>
                <w:color w:val="auto"/>
                <w:shd w:val="clear" w:color="auto" w:fill="auto"/>
                <w:lang w:eastAsia="zh-CN"/>
              </w:rPr>
            </w:pPr>
            <w:r>
              <w:rPr>
                <w:rFonts w:hint="eastAsia" w:eastAsia="宋体"/>
                <w:color w:val="auto"/>
                <w:shd w:val="clear" w:color="auto" w:fill="auto"/>
              </w:rPr>
              <w:t>20</w:t>
            </w:r>
            <w:r>
              <w:rPr>
                <w:rFonts w:hint="eastAsia"/>
                <w:color w:val="auto"/>
                <w:shd w:val="clear" w:color="auto" w:fill="auto"/>
                <w:lang w:eastAsia="zh-CN"/>
              </w:rPr>
              <w:t>m</w:t>
            </w:r>
          </w:p>
        </w:tc>
        <w:tc>
          <w:tcPr>
            <w:tcW w:w="565" w:type="dxa"/>
            <w:vAlign w:val="center"/>
          </w:tcPr>
          <w:p>
            <w:pPr>
              <w:pStyle w:val="44"/>
              <w:spacing w:line="240" w:lineRule="auto"/>
              <w:rPr>
                <w:rFonts w:hint="eastAsia" w:eastAsia="宋体"/>
                <w:color w:val="auto"/>
                <w:shd w:val="clear" w:color="auto" w:fill="auto"/>
                <w:lang w:eastAsia="zh-CN"/>
              </w:rPr>
            </w:pPr>
            <w:r>
              <w:rPr>
                <w:rFonts w:hint="eastAsia" w:eastAsia="宋体"/>
                <w:color w:val="auto"/>
                <w:shd w:val="clear" w:color="auto" w:fill="auto"/>
              </w:rPr>
              <w:t>40</w:t>
            </w:r>
            <w:r>
              <w:rPr>
                <w:rFonts w:hint="eastAsia"/>
                <w:color w:val="auto"/>
                <w:shd w:val="clear" w:color="auto" w:fill="auto"/>
                <w:lang w:eastAsia="zh-CN"/>
              </w:rPr>
              <w:t>m</w:t>
            </w:r>
          </w:p>
        </w:tc>
        <w:tc>
          <w:tcPr>
            <w:tcW w:w="558" w:type="dxa"/>
            <w:vAlign w:val="center"/>
          </w:tcPr>
          <w:p>
            <w:pPr>
              <w:pStyle w:val="44"/>
              <w:spacing w:line="240" w:lineRule="auto"/>
              <w:rPr>
                <w:rFonts w:hint="eastAsia" w:eastAsia="宋体"/>
                <w:color w:val="auto"/>
                <w:shd w:val="clear" w:color="auto" w:fill="auto"/>
                <w:lang w:eastAsia="zh-CN"/>
              </w:rPr>
            </w:pPr>
            <w:r>
              <w:rPr>
                <w:rFonts w:hint="eastAsia" w:eastAsia="宋体"/>
                <w:color w:val="auto"/>
                <w:shd w:val="clear" w:color="auto" w:fill="auto"/>
              </w:rPr>
              <w:t>80</w:t>
            </w:r>
            <w:r>
              <w:rPr>
                <w:rFonts w:hint="eastAsia"/>
                <w:color w:val="auto"/>
                <w:shd w:val="clear" w:color="auto" w:fill="auto"/>
                <w:lang w:eastAsia="zh-CN"/>
              </w:rPr>
              <w:t>m</w:t>
            </w:r>
          </w:p>
        </w:tc>
        <w:tc>
          <w:tcPr>
            <w:tcW w:w="557" w:type="dxa"/>
            <w:vAlign w:val="center"/>
          </w:tcPr>
          <w:p>
            <w:pPr>
              <w:pStyle w:val="44"/>
              <w:spacing w:line="240" w:lineRule="auto"/>
              <w:rPr>
                <w:rFonts w:hint="eastAsia" w:eastAsia="宋体"/>
                <w:color w:val="auto"/>
                <w:shd w:val="clear" w:color="auto" w:fill="auto"/>
                <w:lang w:eastAsia="zh-CN"/>
              </w:rPr>
            </w:pPr>
            <w:r>
              <w:rPr>
                <w:rFonts w:hint="eastAsia" w:eastAsia="宋体"/>
                <w:color w:val="auto"/>
                <w:shd w:val="clear" w:color="auto" w:fill="auto"/>
              </w:rPr>
              <w:t>160</w:t>
            </w:r>
            <w:r>
              <w:rPr>
                <w:rFonts w:hint="eastAsia"/>
                <w:color w:val="auto"/>
                <w:shd w:val="clear" w:color="auto" w:fill="auto"/>
                <w:lang w:eastAsia="zh-CN"/>
              </w:rPr>
              <w:t>m</w:t>
            </w:r>
          </w:p>
        </w:tc>
        <w:tc>
          <w:tcPr>
            <w:tcW w:w="565" w:type="dxa"/>
            <w:vAlign w:val="center"/>
          </w:tcPr>
          <w:p>
            <w:pPr>
              <w:pStyle w:val="44"/>
              <w:spacing w:line="240" w:lineRule="auto"/>
              <w:rPr>
                <w:rFonts w:hint="eastAsia" w:eastAsia="宋体"/>
                <w:color w:val="auto"/>
                <w:shd w:val="clear" w:color="auto" w:fill="auto"/>
                <w:lang w:eastAsia="zh-CN"/>
              </w:rPr>
            </w:pPr>
            <w:r>
              <w:rPr>
                <w:rFonts w:hint="eastAsia" w:eastAsia="宋体"/>
                <w:color w:val="auto"/>
                <w:shd w:val="clear" w:color="auto" w:fill="auto"/>
              </w:rPr>
              <w:t>320</w:t>
            </w:r>
            <w:r>
              <w:rPr>
                <w:rFonts w:hint="eastAsia"/>
                <w:color w:val="auto"/>
                <w:shd w:val="clear" w:color="auto" w:fill="auto"/>
                <w:lang w:eastAsia="zh-CN"/>
              </w:rPr>
              <w:t>m</w:t>
            </w:r>
          </w:p>
        </w:tc>
        <w:tc>
          <w:tcPr>
            <w:tcW w:w="558" w:type="dxa"/>
            <w:vAlign w:val="center"/>
          </w:tcPr>
          <w:p>
            <w:pPr>
              <w:pStyle w:val="44"/>
              <w:spacing w:line="240" w:lineRule="auto"/>
              <w:rPr>
                <w:rFonts w:hint="eastAsia" w:eastAsia="宋体"/>
                <w:color w:val="auto"/>
                <w:shd w:val="clear" w:color="auto" w:fill="auto"/>
                <w:lang w:eastAsia="zh-CN"/>
              </w:rPr>
            </w:pPr>
            <w:r>
              <w:rPr>
                <w:rFonts w:hint="eastAsia" w:eastAsia="宋体"/>
                <w:color w:val="auto"/>
                <w:shd w:val="clear" w:color="auto" w:fill="auto"/>
              </w:rPr>
              <w:t>640</w:t>
            </w:r>
            <w:r>
              <w:rPr>
                <w:rFonts w:hint="eastAsia"/>
                <w:color w:val="auto"/>
                <w:shd w:val="clear" w:color="auto" w:fill="auto"/>
                <w:lang w:eastAsia="zh-CN"/>
              </w:rPr>
              <w:t>m</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昼间</w:t>
            </w:r>
          </w:p>
        </w:tc>
        <w:tc>
          <w:tcPr>
            <w:tcW w:w="564"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6" w:type="dxa"/>
            <w:vMerge w:val="restart"/>
            <w:vAlign w:val="center"/>
          </w:tcPr>
          <w:p>
            <w:pPr>
              <w:pStyle w:val="44"/>
              <w:spacing w:line="240" w:lineRule="auto"/>
              <w:jc w:val="center"/>
              <w:rPr>
                <w:rFonts w:hint="eastAsia" w:eastAsia="宋体"/>
                <w:color w:val="auto"/>
                <w:shd w:val="clear" w:color="auto" w:fill="auto"/>
              </w:rPr>
            </w:pPr>
            <w:r>
              <w:rPr>
                <w:rFonts w:hint="eastAsia" w:eastAsia="宋体"/>
                <w:color w:val="auto"/>
                <w:shd w:val="clear" w:color="auto" w:fill="auto"/>
              </w:rPr>
              <w:t>土石方开 挖</w:t>
            </w:r>
          </w:p>
        </w:tc>
        <w:tc>
          <w:tcPr>
            <w:tcW w:w="1509"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平地机</w:t>
            </w:r>
          </w:p>
        </w:tc>
        <w:tc>
          <w:tcPr>
            <w:tcW w:w="981"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w:t>
            </w:r>
          </w:p>
        </w:tc>
        <w:tc>
          <w:tcPr>
            <w:tcW w:w="43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90</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78</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72</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66</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60</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54</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48</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50</w:t>
            </w:r>
          </w:p>
        </w:tc>
        <w:tc>
          <w:tcPr>
            <w:tcW w:w="564"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281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6" w:type="dxa"/>
            <w:vMerge w:val="continue"/>
            <w:vAlign w:val="center"/>
          </w:tcPr>
          <w:p>
            <w:pPr>
              <w:pStyle w:val="44"/>
              <w:spacing w:line="240" w:lineRule="auto"/>
              <w:rPr>
                <w:rFonts w:hint="eastAsia" w:eastAsia="宋体"/>
                <w:color w:val="auto"/>
                <w:shd w:val="clear" w:color="auto" w:fill="auto"/>
              </w:rPr>
            </w:pPr>
          </w:p>
        </w:tc>
        <w:tc>
          <w:tcPr>
            <w:tcW w:w="1509"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挖掘机</w:t>
            </w:r>
          </w:p>
        </w:tc>
        <w:tc>
          <w:tcPr>
            <w:tcW w:w="981"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w:t>
            </w:r>
          </w:p>
        </w:tc>
        <w:tc>
          <w:tcPr>
            <w:tcW w:w="43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84</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72</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66</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60</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54</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48</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42</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25</w:t>
            </w:r>
          </w:p>
        </w:tc>
        <w:tc>
          <w:tcPr>
            <w:tcW w:w="564"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141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6" w:type="dxa"/>
            <w:vMerge w:val="continue"/>
            <w:vAlign w:val="center"/>
          </w:tcPr>
          <w:p>
            <w:pPr>
              <w:pStyle w:val="44"/>
              <w:spacing w:line="240" w:lineRule="auto"/>
              <w:rPr>
                <w:rFonts w:hint="eastAsia" w:eastAsia="宋体"/>
                <w:color w:val="auto"/>
                <w:shd w:val="clear" w:color="auto" w:fill="auto"/>
              </w:rPr>
            </w:pPr>
          </w:p>
        </w:tc>
        <w:tc>
          <w:tcPr>
            <w:tcW w:w="1509"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推土机</w:t>
            </w:r>
          </w:p>
        </w:tc>
        <w:tc>
          <w:tcPr>
            <w:tcW w:w="981"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w:t>
            </w:r>
          </w:p>
        </w:tc>
        <w:tc>
          <w:tcPr>
            <w:tcW w:w="43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85</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73</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67</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61</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55</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49</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43</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28</w:t>
            </w:r>
          </w:p>
        </w:tc>
        <w:tc>
          <w:tcPr>
            <w:tcW w:w="564"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160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6" w:type="dxa"/>
            <w:vMerge w:val="continue"/>
            <w:vAlign w:val="center"/>
          </w:tcPr>
          <w:p>
            <w:pPr>
              <w:pStyle w:val="44"/>
              <w:spacing w:line="240" w:lineRule="auto"/>
              <w:rPr>
                <w:rFonts w:hint="eastAsia" w:eastAsia="宋体"/>
                <w:color w:val="auto"/>
                <w:shd w:val="clear" w:color="auto" w:fill="auto"/>
              </w:rPr>
            </w:pPr>
          </w:p>
        </w:tc>
        <w:tc>
          <w:tcPr>
            <w:tcW w:w="1509"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自卸汽车</w:t>
            </w:r>
          </w:p>
        </w:tc>
        <w:tc>
          <w:tcPr>
            <w:tcW w:w="981"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10</w:t>
            </w:r>
          </w:p>
        </w:tc>
        <w:tc>
          <w:tcPr>
            <w:tcW w:w="43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85</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79</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73</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67</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61</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55</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49</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56</w:t>
            </w:r>
          </w:p>
        </w:tc>
        <w:tc>
          <w:tcPr>
            <w:tcW w:w="564"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320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6" w:type="dxa"/>
            <w:vMerge w:val="restart"/>
            <w:vAlign w:val="center"/>
          </w:tcPr>
          <w:p>
            <w:pPr>
              <w:pStyle w:val="44"/>
              <w:spacing w:line="240" w:lineRule="auto"/>
              <w:jc w:val="center"/>
              <w:rPr>
                <w:rFonts w:hint="eastAsia" w:eastAsia="宋体"/>
                <w:color w:val="auto"/>
                <w:shd w:val="clear" w:color="auto" w:fill="auto"/>
              </w:rPr>
            </w:pPr>
            <w:r>
              <w:rPr>
                <w:rFonts w:hint="eastAsia" w:eastAsia="宋体"/>
                <w:color w:val="auto"/>
                <w:shd w:val="clear" w:color="auto" w:fill="auto"/>
              </w:rPr>
              <w:t>桩基工程</w:t>
            </w:r>
          </w:p>
        </w:tc>
        <w:tc>
          <w:tcPr>
            <w:tcW w:w="1509"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钻井机</w:t>
            </w:r>
          </w:p>
        </w:tc>
        <w:tc>
          <w:tcPr>
            <w:tcW w:w="981"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1</w:t>
            </w:r>
          </w:p>
        </w:tc>
        <w:tc>
          <w:tcPr>
            <w:tcW w:w="43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87</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61</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55</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49</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43</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37</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31</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7</w:t>
            </w:r>
          </w:p>
        </w:tc>
        <w:tc>
          <w:tcPr>
            <w:tcW w:w="564"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6" w:type="dxa"/>
            <w:vMerge w:val="continue"/>
            <w:vAlign w:val="center"/>
          </w:tcPr>
          <w:p>
            <w:pPr>
              <w:pStyle w:val="44"/>
              <w:spacing w:line="240" w:lineRule="auto"/>
              <w:rPr>
                <w:rFonts w:hint="eastAsia" w:eastAsia="宋体"/>
                <w:color w:val="auto"/>
                <w:shd w:val="clear" w:color="auto" w:fill="auto"/>
              </w:rPr>
            </w:pPr>
          </w:p>
        </w:tc>
        <w:tc>
          <w:tcPr>
            <w:tcW w:w="1509"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循环钻机</w:t>
            </w:r>
          </w:p>
        </w:tc>
        <w:tc>
          <w:tcPr>
            <w:tcW w:w="981"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w:t>
            </w:r>
          </w:p>
        </w:tc>
        <w:tc>
          <w:tcPr>
            <w:tcW w:w="43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88</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76</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70</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64</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58</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52</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46</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40</w:t>
            </w:r>
          </w:p>
        </w:tc>
        <w:tc>
          <w:tcPr>
            <w:tcW w:w="564"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223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6" w:type="dxa"/>
            <w:vMerge w:val="restart"/>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木工、钢筋加工</w:t>
            </w:r>
          </w:p>
        </w:tc>
        <w:tc>
          <w:tcPr>
            <w:tcW w:w="1509"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钢筋剪切机</w:t>
            </w:r>
          </w:p>
        </w:tc>
        <w:tc>
          <w:tcPr>
            <w:tcW w:w="981"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w:t>
            </w:r>
          </w:p>
        </w:tc>
        <w:tc>
          <w:tcPr>
            <w:tcW w:w="43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80</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68</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62</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56</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50</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44</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38</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16</w:t>
            </w:r>
          </w:p>
        </w:tc>
        <w:tc>
          <w:tcPr>
            <w:tcW w:w="564"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6" w:type="dxa"/>
            <w:vMerge w:val="continue"/>
            <w:vAlign w:val="center"/>
          </w:tcPr>
          <w:p>
            <w:pPr>
              <w:pStyle w:val="44"/>
              <w:spacing w:line="240" w:lineRule="auto"/>
              <w:rPr>
                <w:rFonts w:hint="eastAsia" w:eastAsia="宋体"/>
                <w:color w:val="auto"/>
                <w:shd w:val="clear" w:color="auto" w:fill="auto"/>
              </w:rPr>
            </w:pPr>
          </w:p>
        </w:tc>
        <w:tc>
          <w:tcPr>
            <w:tcW w:w="1509"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切割锯</w:t>
            </w:r>
          </w:p>
        </w:tc>
        <w:tc>
          <w:tcPr>
            <w:tcW w:w="981"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w:t>
            </w:r>
          </w:p>
        </w:tc>
        <w:tc>
          <w:tcPr>
            <w:tcW w:w="43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85</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73</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67</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61</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55</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49</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43</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28</w:t>
            </w:r>
          </w:p>
        </w:tc>
        <w:tc>
          <w:tcPr>
            <w:tcW w:w="564"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160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6" w:type="dxa"/>
            <w:vMerge w:val="restart"/>
            <w:vAlign w:val="center"/>
          </w:tcPr>
          <w:p>
            <w:pPr>
              <w:pStyle w:val="44"/>
              <w:spacing w:line="240" w:lineRule="auto"/>
              <w:jc w:val="center"/>
              <w:rPr>
                <w:rFonts w:hint="eastAsia" w:eastAsia="宋体"/>
                <w:color w:val="auto"/>
                <w:shd w:val="clear" w:color="auto" w:fill="auto"/>
              </w:rPr>
            </w:pPr>
            <w:r>
              <w:rPr>
                <w:rFonts w:hint="eastAsia" w:eastAsia="宋体"/>
                <w:color w:val="auto"/>
                <w:shd w:val="clear" w:color="auto" w:fill="auto"/>
              </w:rPr>
              <w:t>混凝土浇 筑</w:t>
            </w:r>
          </w:p>
        </w:tc>
        <w:tc>
          <w:tcPr>
            <w:tcW w:w="1509"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砼输送泵</w:t>
            </w:r>
          </w:p>
        </w:tc>
        <w:tc>
          <w:tcPr>
            <w:tcW w:w="981"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w:t>
            </w:r>
          </w:p>
        </w:tc>
        <w:tc>
          <w:tcPr>
            <w:tcW w:w="43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80</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68</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62</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56</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50</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44</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38</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16</w:t>
            </w:r>
          </w:p>
        </w:tc>
        <w:tc>
          <w:tcPr>
            <w:tcW w:w="564"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6" w:type="dxa"/>
            <w:vMerge w:val="continue"/>
            <w:vAlign w:val="center"/>
          </w:tcPr>
          <w:p>
            <w:pPr>
              <w:pStyle w:val="44"/>
              <w:spacing w:line="240" w:lineRule="auto"/>
              <w:rPr>
                <w:rFonts w:hint="eastAsia" w:eastAsia="宋体"/>
                <w:color w:val="auto"/>
                <w:shd w:val="clear" w:color="auto" w:fill="auto"/>
              </w:rPr>
            </w:pPr>
          </w:p>
        </w:tc>
        <w:tc>
          <w:tcPr>
            <w:tcW w:w="1509"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混凝土搅拌运输车</w:t>
            </w:r>
          </w:p>
        </w:tc>
        <w:tc>
          <w:tcPr>
            <w:tcW w:w="981"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10</w:t>
            </w:r>
          </w:p>
        </w:tc>
        <w:tc>
          <w:tcPr>
            <w:tcW w:w="43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86</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80</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74</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68</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62</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56</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50</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63</w:t>
            </w:r>
          </w:p>
        </w:tc>
        <w:tc>
          <w:tcPr>
            <w:tcW w:w="564"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355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6" w:type="dxa"/>
            <w:vAlign w:val="center"/>
          </w:tcPr>
          <w:p>
            <w:pPr>
              <w:pStyle w:val="44"/>
              <w:spacing w:line="240" w:lineRule="auto"/>
              <w:rPr>
                <w:rFonts w:hint="eastAsia" w:eastAsia="宋体"/>
                <w:color w:val="auto"/>
                <w:shd w:val="clear" w:color="auto" w:fill="auto"/>
              </w:rPr>
            </w:pPr>
            <w:r>
              <w:rPr>
                <w:rFonts w:hint="eastAsia"/>
                <w:color w:val="auto"/>
                <w:shd w:val="clear" w:color="auto" w:fill="auto"/>
                <w:lang w:eastAsia="zh-CN"/>
              </w:rPr>
              <w:t>港池</w:t>
            </w:r>
            <w:r>
              <w:rPr>
                <w:rFonts w:hint="eastAsia" w:eastAsia="宋体"/>
                <w:color w:val="auto"/>
                <w:shd w:val="clear" w:color="auto" w:fill="auto"/>
              </w:rPr>
              <w:t>疏浚</w:t>
            </w:r>
          </w:p>
        </w:tc>
        <w:tc>
          <w:tcPr>
            <w:tcW w:w="1509"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挖泥船</w:t>
            </w:r>
          </w:p>
        </w:tc>
        <w:tc>
          <w:tcPr>
            <w:tcW w:w="981"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15</w:t>
            </w:r>
          </w:p>
        </w:tc>
        <w:tc>
          <w:tcPr>
            <w:tcW w:w="43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58</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55.5</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49.5</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43.5</w:t>
            </w:r>
          </w:p>
        </w:tc>
        <w:tc>
          <w:tcPr>
            <w:tcW w:w="557"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37.5</w:t>
            </w:r>
          </w:p>
        </w:tc>
        <w:tc>
          <w:tcPr>
            <w:tcW w:w="565"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31.5</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25.5</w:t>
            </w:r>
          </w:p>
        </w:tc>
        <w:tc>
          <w:tcPr>
            <w:tcW w:w="558"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4</w:t>
            </w:r>
          </w:p>
        </w:tc>
        <w:tc>
          <w:tcPr>
            <w:tcW w:w="564" w:type="dxa"/>
            <w:vAlign w:val="center"/>
          </w:tcPr>
          <w:p>
            <w:pPr>
              <w:pStyle w:val="44"/>
              <w:spacing w:line="240" w:lineRule="auto"/>
              <w:rPr>
                <w:rFonts w:hint="eastAsia" w:eastAsia="宋体"/>
                <w:color w:val="auto"/>
                <w:shd w:val="clear" w:color="auto" w:fill="auto"/>
              </w:rPr>
            </w:pPr>
            <w:r>
              <w:rPr>
                <w:rFonts w:hint="eastAsia" w:eastAsia="宋体"/>
                <w:color w:val="auto"/>
                <w:shd w:val="clear" w:color="auto" w:fill="auto"/>
              </w:rPr>
              <w:t>21</w:t>
            </w:r>
          </w:p>
        </w:tc>
      </w:tr>
    </w:tbl>
    <w:p>
      <w:pPr>
        <w:spacing w:line="480" w:lineRule="exact"/>
        <w:ind w:left="0" w:leftChars="0" w:firstLine="0" w:firstLineChars="0"/>
        <w:jc w:val="center"/>
        <w:rPr>
          <w:rFonts w:hint="eastAsia" w:ascii="Times New Roman" w:hAnsi="Times New Roman" w:eastAsia="黑体" w:cs="Times New Roman"/>
          <w:color w:val="auto"/>
          <w:kern w:val="0"/>
          <w:sz w:val="21"/>
          <w:szCs w:val="21"/>
          <w:shd w:val="clear" w:color="auto" w:fill="auto"/>
          <w:lang w:val="en-US" w:eastAsia="zh-CN" w:bidi="ar-SA"/>
        </w:rPr>
      </w:pPr>
      <w:r>
        <w:rPr>
          <w:rFonts w:hint="eastAsia" w:ascii="Times New Roman" w:hAnsi="Times New Roman" w:eastAsia="黑体" w:cs="Times New Roman"/>
          <w:color w:val="auto"/>
          <w:kern w:val="0"/>
          <w:sz w:val="21"/>
          <w:szCs w:val="21"/>
          <w:shd w:val="clear" w:color="auto" w:fill="auto"/>
          <w:lang w:val="en-US" w:eastAsia="zh-CN" w:bidi="ar-SA"/>
        </w:rPr>
        <w:t>表4.2-6 施工期噪声源组合在不同距离的噪声预测值  单位：dB(A)</w:t>
      </w:r>
    </w:p>
    <w:tbl>
      <w:tblPr>
        <w:tblStyle w:val="26"/>
        <w:tblW w:w="831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25"/>
        <w:gridCol w:w="739"/>
        <w:gridCol w:w="811"/>
        <w:gridCol w:w="810"/>
        <w:gridCol w:w="800"/>
        <w:gridCol w:w="810"/>
        <w:gridCol w:w="811"/>
        <w:gridCol w:w="800"/>
        <w:gridCol w:w="8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25" w:type="dxa"/>
            <w:vMerge w:val="restart"/>
            <w:vAlign w:val="center"/>
          </w:tcPr>
          <w:p>
            <w:pPr>
              <w:pStyle w:val="44"/>
              <w:jc w:val="center"/>
              <w:rPr>
                <w:rFonts w:eastAsia="宋体"/>
                <w:color w:val="auto"/>
                <w:shd w:val="clear" w:color="auto" w:fill="auto"/>
              </w:rPr>
            </w:pPr>
            <w:r>
              <w:rPr>
                <w:rFonts w:eastAsia="宋体"/>
                <w:color w:val="auto"/>
                <w:shd w:val="clear" w:color="auto" w:fill="auto"/>
              </w:rPr>
              <w:t>施工阶段</w:t>
            </w:r>
          </w:p>
        </w:tc>
        <w:tc>
          <w:tcPr>
            <w:tcW w:w="739" w:type="dxa"/>
            <w:vMerge w:val="restart"/>
            <w:vAlign w:val="center"/>
          </w:tcPr>
          <w:p>
            <w:pPr>
              <w:pStyle w:val="44"/>
              <w:jc w:val="center"/>
              <w:rPr>
                <w:rFonts w:hint="eastAsia" w:eastAsia="宋体"/>
                <w:color w:val="auto"/>
                <w:shd w:val="clear" w:color="auto" w:fill="auto"/>
                <w:lang w:val="en-US" w:eastAsia="zh-CN"/>
              </w:rPr>
            </w:pPr>
            <w:r>
              <w:rPr>
                <w:rFonts w:eastAsia="宋体"/>
                <w:color w:val="auto"/>
                <w:shd w:val="clear" w:color="auto" w:fill="auto"/>
              </w:rPr>
              <w:t>20</w:t>
            </w:r>
            <w:r>
              <w:rPr>
                <w:rFonts w:hint="eastAsia"/>
                <w:color w:val="auto"/>
                <w:shd w:val="clear" w:color="auto" w:fill="auto"/>
                <w:lang w:val="en-US" w:eastAsia="zh-CN"/>
              </w:rPr>
              <w:t>m</w:t>
            </w:r>
          </w:p>
        </w:tc>
        <w:tc>
          <w:tcPr>
            <w:tcW w:w="811" w:type="dxa"/>
            <w:vMerge w:val="restart"/>
            <w:vAlign w:val="center"/>
          </w:tcPr>
          <w:p>
            <w:pPr>
              <w:pStyle w:val="44"/>
              <w:jc w:val="center"/>
              <w:rPr>
                <w:rFonts w:hint="eastAsia" w:eastAsia="宋体"/>
                <w:color w:val="auto"/>
                <w:shd w:val="clear" w:color="auto" w:fill="auto"/>
                <w:lang w:eastAsia="zh-CN"/>
              </w:rPr>
            </w:pPr>
            <w:r>
              <w:rPr>
                <w:rFonts w:eastAsia="宋体"/>
                <w:color w:val="auto"/>
                <w:shd w:val="clear" w:color="auto" w:fill="auto"/>
              </w:rPr>
              <w:t>40</w:t>
            </w:r>
            <w:r>
              <w:rPr>
                <w:rFonts w:hint="eastAsia"/>
                <w:color w:val="auto"/>
                <w:shd w:val="clear" w:color="auto" w:fill="auto"/>
                <w:lang w:eastAsia="zh-CN"/>
              </w:rPr>
              <w:t>m</w:t>
            </w:r>
          </w:p>
        </w:tc>
        <w:tc>
          <w:tcPr>
            <w:tcW w:w="810" w:type="dxa"/>
            <w:vMerge w:val="restart"/>
            <w:vAlign w:val="center"/>
          </w:tcPr>
          <w:p>
            <w:pPr>
              <w:pStyle w:val="44"/>
              <w:jc w:val="center"/>
              <w:rPr>
                <w:rFonts w:hint="eastAsia" w:eastAsia="宋体"/>
                <w:color w:val="auto"/>
                <w:shd w:val="clear" w:color="auto" w:fill="auto"/>
                <w:lang w:eastAsia="zh-CN"/>
              </w:rPr>
            </w:pPr>
            <w:r>
              <w:rPr>
                <w:rFonts w:eastAsia="宋体"/>
                <w:color w:val="auto"/>
                <w:shd w:val="clear" w:color="auto" w:fill="auto"/>
              </w:rPr>
              <w:t>80</w:t>
            </w:r>
            <w:r>
              <w:rPr>
                <w:rFonts w:hint="eastAsia"/>
                <w:color w:val="auto"/>
                <w:shd w:val="clear" w:color="auto" w:fill="auto"/>
                <w:lang w:eastAsia="zh-CN"/>
              </w:rPr>
              <w:t>m</w:t>
            </w:r>
          </w:p>
        </w:tc>
        <w:tc>
          <w:tcPr>
            <w:tcW w:w="800" w:type="dxa"/>
            <w:vMerge w:val="restart"/>
            <w:vAlign w:val="center"/>
          </w:tcPr>
          <w:p>
            <w:pPr>
              <w:pStyle w:val="44"/>
              <w:jc w:val="center"/>
              <w:rPr>
                <w:rFonts w:hint="eastAsia" w:eastAsia="宋体"/>
                <w:color w:val="auto"/>
                <w:shd w:val="clear" w:color="auto" w:fill="auto"/>
                <w:lang w:eastAsia="zh-CN"/>
              </w:rPr>
            </w:pPr>
            <w:r>
              <w:rPr>
                <w:rFonts w:eastAsia="宋体"/>
                <w:color w:val="auto"/>
                <w:shd w:val="clear" w:color="auto" w:fill="auto"/>
              </w:rPr>
              <w:t>160</w:t>
            </w:r>
            <w:r>
              <w:rPr>
                <w:rFonts w:hint="eastAsia"/>
                <w:color w:val="auto"/>
                <w:shd w:val="clear" w:color="auto" w:fill="auto"/>
                <w:lang w:eastAsia="zh-CN"/>
              </w:rPr>
              <w:t>m</w:t>
            </w:r>
          </w:p>
        </w:tc>
        <w:tc>
          <w:tcPr>
            <w:tcW w:w="810" w:type="dxa"/>
            <w:vMerge w:val="restart"/>
            <w:vAlign w:val="center"/>
          </w:tcPr>
          <w:p>
            <w:pPr>
              <w:pStyle w:val="44"/>
              <w:jc w:val="center"/>
              <w:rPr>
                <w:rFonts w:hint="eastAsia" w:eastAsia="宋体"/>
                <w:color w:val="auto"/>
                <w:shd w:val="clear" w:color="auto" w:fill="auto"/>
                <w:lang w:eastAsia="zh-CN"/>
              </w:rPr>
            </w:pPr>
            <w:r>
              <w:rPr>
                <w:rFonts w:eastAsia="宋体"/>
                <w:color w:val="auto"/>
                <w:shd w:val="clear" w:color="auto" w:fill="auto"/>
              </w:rPr>
              <w:t>320</w:t>
            </w:r>
            <w:r>
              <w:rPr>
                <w:rFonts w:hint="eastAsia"/>
                <w:color w:val="auto"/>
                <w:shd w:val="clear" w:color="auto" w:fill="auto"/>
                <w:lang w:eastAsia="zh-CN"/>
              </w:rPr>
              <w:t>m</w:t>
            </w:r>
          </w:p>
        </w:tc>
        <w:tc>
          <w:tcPr>
            <w:tcW w:w="811" w:type="dxa"/>
            <w:vMerge w:val="restart"/>
            <w:vAlign w:val="center"/>
          </w:tcPr>
          <w:p>
            <w:pPr>
              <w:pStyle w:val="44"/>
              <w:jc w:val="center"/>
              <w:rPr>
                <w:rFonts w:hint="eastAsia" w:eastAsia="宋体"/>
                <w:color w:val="auto"/>
                <w:shd w:val="clear" w:color="auto" w:fill="auto"/>
                <w:lang w:eastAsia="zh-CN"/>
              </w:rPr>
            </w:pPr>
            <w:r>
              <w:rPr>
                <w:rFonts w:eastAsia="宋体"/>
                <w:color w:val="auto"/>
                <w:shd w:val="clear" w:color="auto" w:fill="auto"/>
              </w:rPr>
              <w:t>640</w:t>
            </w:r>
            <w:r>
              <w:rPr>
                <w:rFonts w:hint="eastAsia"/>
                <w:color w:val="auto"/>
                <w:shd w:val="clear" w:color="auto" w:fill="auto"/>
                <w:lang w:eastAsia="zh-CN"/>
              </w:rPr>
              <w:t>m</w:t>
            </w:r>
          </w:p>
        </w:tc>
        <w:tc>
          <w:tcPr>
            <w:tcW w:w="1610" w:type="dxa"/>
            <w:gridSpan w:val="2"/>
            <w:vAlign w:val="center"/>
          </w:tcPr>
          <w:p>
            <w:pPr>
              <w:pStyle w:val="44"/>
              <w:jc w:val="center"/>
              <w:rPr>
                <w:rFonts w:eastAsia="宋体"/>
                <w:color w:val="auto"/>
                <w:shd w:val="clear" w:color="auto" w:fill="auto"/>
              </w:rPr>
            </w:pPr>
            <w:r>
              <w:rPr>
                <w:rFonts w:eastAsia="宋体"/>
                <w:color w:val="auto"/>
                <w:shd w:val="clear" w:color="auto" w:fill="auto"/>
              </w:rPr>
              <w:t>达标距离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25" w:type="dxa"/>
            <w:vMerge w:val="continue"/>
            <w:vAlign w:val="center"/>
          </w:tcPr>
          <w:p>
            <w:pPr>
              <w:pStyle w:val="44"/>
              <w:jc w:val="center"/>
              <w:rPr>
                <w:rFonts w:eastAsia="宋体"/>
                <w:color w:val="auto"/>
                <w:shd w:val="clear" w:color="auto" w:fill="auto"/>
              </w:rPr>
            </w:pPr>
          </w:p>
        </w:tc>
        <w:tc>
          <w:tcPr>
            <w:tcW w:w="739" w:type="dxa"/>
            <w:vMerge w:val="continue"/>
            <w:vAlign w:val="center"/>
          </w:tcPr>
          <w:p>
            <w:pPr>
              <w:pStyle w:val="44"/>
              <w:jc w:val="center"/>
              <w:rPr>
                <w:rFonts w:eastAsia="宋体"/>
                <w:color w:val="auto"/>
                <w:shd w:val="clear" w:color="auto" w:fill="auto"/>
              </w:rPr>
            </w:pPr>
          </w:p>
        </w:tc>
        <w:tc>
          <w:tcPr>
            <w:tcW w:w="811" w:type="dxa"/>
            <w:vMerge w:val="continue"/>
            <w:vAlign w:val="center"/>
          </w:tcPr>
          <w:p>
            <w:pPr>
              <w:pStyle w:val="44"/>
              <w:jc w:val="center"/>
              <w:rPr>
                <w:rFonts w:eastAsia="宋体"/>
                <w:color w:val="auto"/>
                <w:shd w:val="clear" w:color="auto" w:fill="auto"/>
              </w:rPr>
            </w:pPr>
          </w:p>
        </w:tc>
        <w:tc>
          <w:tcPr>
            <w:tcW w:w="810" w:type="dxa"/>
            <w:vMerge w:val="continue"/>
            <w:vAlign w:val="center"/>
          </w:tcPr>
          <w:p>
            <w:pPr>
              <w:pStyle w:val="44"/>
              <w:jc w:val="center"/>
              <w:rPr>
                <w:rFonts w:eastAsia="宋体"/>
                <w:color w:val="auto"/>
                <w:shd w:val="clear" w:color="auto" w:fill="auto"/>
              </w:rPr>
            </w:pPr>
          </w:p>
        </w:tc>
        <w:tc>
          <w:tcPr>
            <w:tcW w:w="800" w:type="dxa"/>
            <w:vMerge w:val="continue"/>
            <w:vAlign w:val="center"/>
          </w:tcPr>
          <w:p>
            <w:pPr>
              <w:pStyle w:val="44"/>
              <w:jc w:val="center"/>
              <w:rPr>
                <w:rFonts w:eastAsia="宋体"/>
                <w:color w:val="auto"/>
                <w:shd w:val="clear" w:color="auto" w:fill="auto"/>
              </w:rPr>
            </w:pPr>
          </w:p>
        </w:tc>
        <w:tc>
          <w:tcPr>
            <w:tcW w:w="810" w:type="dxa"/>
            <w:vMerge w:val="continue"/>
            <w:vAlign w:val="center"/>
          </w:tcPr>
          <w:p>
            <w:pPr>
              <w:pStyle w:val="44"/>
              <w:jc w:val="center"/>
              <w:rPr>
                <w:rFonts w:eastAsia="宋体"/>
                <w:color w:val="auto"/>
                <w:shd w:val="clear" w:color="auto" w:fill="auto"/>
              </w:rPr>
            </w:pPr>
          </w:p>
        </w:tc>
        <w:tc>
          <w:tcPr>
            <w:tcW w:w="811" w:type="dxa"/>
            <w:vMerge w:val="continue"/>
            <w:vAlign w:val="center"/>
          </w:tcPr>
          <w:p>
            <w:pPr>
              <w:pStyle w:val="44"/>
              <w:jc w:val="center"/>
              <w:rPr>
                <w:rFonts w:eastAsia="宋体"/>
                <w:color w:val="auto"/>
                <w:shd w:val="clear" w:color="auto" w:fill="auto"/>
              </w:rPr>
            </w:pPr>
          </w:p>
        </w:tc>
        <w:tc>
          <w:tcPr>
            <w:tcW w:w="800" w:type="dxa"/>
            <w:vAlign w:val="center"/>
          </w:tcPr>
          <w:p>
            <w:pPr>
              <w:pStyle w:val="44"/>
              <w:jc w:val="center"/>
              <w:rPr>
                <w:rFonts w:eastAsia="宋体"/>
                <w:color w:val="auto"/>
                <w:shd w:val="clear" w:color="auto" w:fill="auto"/>
              </w:rPr>
            </w:pPr>
            <w:r>
              <w:rPr>
                <w:rFonts w:eastAsia="宋体"/>
                <w:color w:val="auto"/>
                <w:shd w:val="clear" w:color="auto" w:fill="auto"/>
              </w:rPr>
              <w:t>昼间</w:t>
            </w:r>
          </w:p>
        </w:tc>
        <w:tc>
          <w:tcPr>
            <w:tcW w:w="810" w:type="dxa"/>
            <w:vAlign w:val="center"/>
          </w:tcPr>
          <w:p>
            <w:pPr>
              <w:pStyle w:val="44"/>
              <w:rPr>
                <w:rFonts w:eastAsia="宋体"/>
                <w:color w:val="auto"/>
                <w:shd w:val="clear" w:color="auto" w:fill="auto"/>
              </w:rPr>
            </w:pPr>
            <w:r>
              <w:rPr>
                <w:rFonts w:eastAsia="宋体"/>
                <w:color w:val="auto"/>
                <w:shd w:val="clear" w:color="auto" w:fill="auto"/>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25" w:type="dxa"/>
            <w:vAlign w:val="center"/>
          </w:tcPr>
          <w:p>
            <w:pPr>
              <w:pStyle w:val="44"/>
              <w:rPr>
                <w:rFonts w:eastAsia="宋体"/>
                <w:color w:val="auto"/>
                <w:shd w:val="clear" w:color="auto" w:fill="auto"/>
              </w:rPr>
            </w:pPr>
            <w:r>
              <w:rPr>
                <w:rFonts w:eastAsia="宋体"/>
                <w:color w:val="auto"/>
                <w:shd w:val="clear" w:color="auto" w:fill="auto"/>
              </w:rPr>
              <w:t>土石方开挖</w:t>
            </w:r>
          </w:p>
        </w:tc>
        <w:tc>
          <w:tcPr>
            <w:tcW w:w="739" w:type="dxa"/>
            <w:vAlign w:val="center"/>
          </w:tcPr>
          <w:p>
            <w:pPr>
              <w:pStyle w:val="44"/>
              <w:rPr>
                <w:rFonts w:eastAsia="宋体"/>
                <w:color w:val="auto"/>
                <w:shd w:val="clear" w:color="auto" w:fill="auto"/>
              </w:rPr>
            </w:pPr>
            <w:r>
              <w:rPr>
                <w:rFonts w:eastAsia="宋体"/>
                <w:color w:val="auto"/>
                <w:shd w:val="clear" w:color="auto" w:fill="auto"/>
              </w:rPr>
              <w:t>80.2</w:t>
            </w:r>
          </w:p>
        </w:tc>
        <w:tc>
          <w:tcPr>
            <w:tcW w:w="811" w:type="dxa"/>
            <w:vAlign w:val="center"/>
          </w:tcPr>
          <w:p>
            <w:pPr>
              <w:pStyle w:val="44"/>
              <w:rPr>
                <w:rFonts w:eastAsia="宋体"/>
                <w:color w:val="auto"/>
                <w:shd w:val="clear" w:color="auto" w:fill="auto"/>
              </w:rPr>
            </w:pPr>
            <w:r>
              <w:rPr>
                <w:rFonts w:eastAsia="宋体"/>
                <w:color w:val="auto"/>
                <w:shd w:val="clear" w:color="auto" w:fill="auto"/>
              </w:rPr>
              <w:t>74.2</w:t>
            </w:r>
          </w:p>
        </w:tc>
        <w:tc>
          <w:tcPr>
            <w:tcW w:w="810" w:type="dxa"/>
            <w:vAlign w:val="center"/>
          </w:tcPr>
          <w:p>
            <w:pPr>
              <w:pStyle w:val="44"/>
              <w:rPr>
                <w:rFonts w:eastAsia="宋体"/>
                <w:color w:val="auto"/>
                <w:shd w:val="clear" w:color="auto" w:fill="auto"/>
              </w:rPr>
            </w:pPr>
            <w:r>
              <w:rPr>
                <w:rFonts w:eastAsia="宋体"/>
                <w:color w:val="auto"/>
                <w:shd w:val="clear" w:color="auto" w:fill="auto"/>
              </w:rPr>
              <w:t>68.2</w:t>
            </w:r>
          </w:p>
        </w:tc>
        <w:tc>
          <w:tcPr>
            <w:tcW w:w="800" w:type="dxa"/>
            <w:vAlign w:val="center"/>
          </w:tcPr>
          <w:p>
            <w:pPr>
              <w:pStyle w:val="44"/>
              <w:rPr>
                <w:rFonts w:eastAsia="宋体"/>
                <w:color w:val="auto"/>
                <w:shd w:val="clear" w:color="auto" w:fill="auto"/>
              </w:rPr>
            </w:pPr>
            <w:r>
              <w:rPr>
                <w:rFonts w:eastAsia="宋体"/>
                <w:color w:val="auto"/>
                <w:shd w:val="clear" w:color="auto" w:fill="auto"/>
              </w:rPr>
              <w:t>62.2</w:t>
            </w:r>
          </w:p>
        </w:tc>
        <w:tc>
          <w:tcPr>
            <w:tcW w:w="810" w:type="dxa"/>
            <w:vAlign w:val="center"/>
          </w:tcPr>
          <w:p>
            <w:pPr>
              <w:pStyle w:val="44"/>
              <w:rPr>
                <w:rFonts w:eastAsia="宋体"/>
                <w:color w:val="auto"/>
                <w:shd w:val="clear" w:color="auto" w:fill="auto"/>
              </w:rPr>
            </w:pPr>
            <w:r>
              <w:rPr>
                <w:rFonts w:eastAsia="宋体"/>
                <w:color w:val="auto"/>
                <w:shd w:val="clear" w:color="auto" w:fill="auto"/>
              </w:rPr>
              <w:t>56.2</w:t>
            </w:r>
          </w:p>
        </w:tc>
        <w:tc>
          <w:tcPr>
            <w:tcW w:w="811" w:type="dxa"/>
            <w:vAlign w:val="center"/>
          </w:tcPr>
          <w:p>
            <w:pPr>
              <w:pStyle w:val="44"/>
              <w:rPr>
                <w:rFonts w:eastAsia="宋体"/>
                <w:color w:val="auto"/>
                <w:shd w:val="clear" w:color="auto" w:fill="auto"/>
              </w:rPr>
            </w:pPr>
            <w:r>
              <w:rPr>
                <w:rFonts w:eastAsia="宋体"/>
                <w:color w:val="auto"/>
                <w:shd w:val="clear" w:color="auto" w:fill="auto"/>
              </w:rPr>
              <w:t>50.2</w:t>
            </w:r>
          </w:p>
        </w:tc>
        <w:tc>
          <w:tcPr>
            <w:tcW w:w="800" w:type="dxa"/>
            <w:vAlign w:val="center"/>
          </w:tcPr>
          <w:p>
            <w:pPr>
              <w:pStyle w:val="44"/>
              <w:rPr>
                <w:rFonts w:eastAsia="宋体"/>
                <w:color w:val="auto"/>
                <w:shd w:val="clear" w:color="auto" w:fill="auto"/>
              </w:rPr>
            </w:pPr>
            <w:r>
              <w:rPr>
                <w:rFonts w:eastAsia="宋体"/>
                <w:color w:val="auto"/>
                <w:shd w:val="clear" w:color="auto" w:fill="auto"/>
              </w:rPr>
              <w:t>65</w:t>
            </w:r>
          </w:p>
        </w:tc>
        <w:tc>
          <w:tcPr>
            <w:tcW w:w="810" w:type="dxa"/>
            <w:vAlign w:val="center"/>
          </w:tcPr>
          <w:p>
            <w:pPr>
              <w:pStyle w:val="44"/>
              <w:rPr>
                <w:rFonts w:eastAsia="宋体"/>
                <w:color w:val="auto"/>
                <w:shd w:val="clear" w:color="auto" w:fill="auto"/>
              </w:rPr>
            </w:pPr>
            <w:r>
              <w:rPr>
                <w:rFonts w:eastAsia="宋体"/>
                <w:color w:val="auto"/>
                <w:shd w:val="clear" w:color="auto" w:fill="auto"/>
              </w:rPr>
              <w:t>364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25" w:type="dxa"/>
            <w:vAlign w:val="center"/>
          </w:tcPr>
          <w:p>
            <w:pPr>
              <w:pStyle w:val="44"/>
              <w:rPr>
                <w:rFonts w:eastAsia="宋体"/>
                <w:color w:val="auto"/>
                <w:shd w:val="clear" w:color="auto" w:fill="auto"/>
              </w:rPr>
            </w:pPr>
            <w:r>
              <w:rPr>
                <w:rFonts w:eastAsia="宋体"/>
                <w:color w:val="auto"/>
                <w:shd w:val="clear" w:color="auto" w:fill="auto"/>
              </w:rPr>
              <w:t>桩基工程</w:t>
            </w:r>
          </w:p>
        </w:tc>
        <w:tc>
          <w:tcPr>
            <w:tcW w:w="739" w:type="dxa"/>
            <w:vAlign w:val="center"/>
          </w:tcPr>
          <w:p>
            <w:pPr>
              <w:pStyle w:val="44"/>
              <w:rPr>
                <w:rFonts w:eastAsia="宋体"/>
                <w:color w:val="auto"/>
                <w:shd w:val="clear" w:color="auto" w:fill="auto"/>
              </w:rPr>
            </w:pPr>
            <w:r>
              <w:rPr>
                <w:rFonts w:eastAsia="宋体"/>
                <w:color w:val="auto"/>
                <w:shd w:val="clear" w:color="auto" w:fill="auto"/>
              </w:rPr>
              <w:t>78.6</w:t>
            </w:r>
          </w:p>
        </w:tc>
        <w:tc>
          <w:tcPr>
            <w:tcW w:w="811" w:type="dxa"/>
            <w:vAlign w:val="center"/>
          </w:tcPr>
          <w:p>
            <w:pPr>
              <w:pStyle w:val="44"/>
              <w:rPr>
                <w:rFonts w:eastAsia="宋体"/>
                <w:color w:val="auto"/>
                <w:shd w:val="clear" w:color="auto" w:fill="auto"/>
              </w:rPr>
            </w:pPr>
            <w:r>
              <w:rPr>
                <w:rFonts w:eastAsia="宋体"/>
                <w:color w:val="auto"/>
                <w:shd w:val="clear" w:color="auto" w:fill="auto"/>
              </w:rPr>
              <w:t>72.6</w:t>
            </w:r>
          </w:p>
        </w:tc>
        <w:tc>
          <w:tcPr>
            <w:tcW w:w="810" w:type="dxa"/>
            <w:vAlign w:val="center"/>
          </w:tcPr>
          <w:p>
            <w:pPr>
              <w:pStyle w:val="44"/>
              <w:rPr>
                <w:rFonts w:eastAsia="宋体"/>
                <w:color w:val="auto"/>
                <w:shd w:val="clear" w:color="auto" w:fill="auto"/>
              </w:rPr>
            </w:pPr>
            <w:r>
              <w:rPr>
                <w:rFonts w:eastAsia="宋体"/>
                <w:color w:val="auto"/>
                <w:shd w:val="clear" w:color="auto" w:fill="auto"/>
              </w:rPr>
              <w:t>66.6</w:t>
            </w:r>
          </w:p>
        </w:tc>
        <w:tc>
          <w:tcPr>
            <w:tcW w:w="800" w:type="dxa"/>
            <w:vAlign w:val="center"/>
          </w:tcPr>
          <w:p>
            <w:pPr>
              <w:pStyle w:val="44"/>
              <w:rPr>
                <w:rFonts w:eastAsia="宋体"/>
                <w:color w:val="auto"/>
                <w:shd w:val="clear" w:color="auto" w:fill="auto"/>
              </w:rPr>
            </w:pPr>
            <w:r>
              <w:rPr>
                <w:rFonts w:eastAsia="宋体"/>
                <w:color w:val="auto"/>
                <w:shd w:val="clear" w:color="auto" w:fill="auto"/>
              </w:rPr>
              <w:t>60.6</w:t>
            </w:r>
          </w:p>
        </w:tc>
        <w:tc>
          <w:tcPr>
            <w:tcW w:w="810" w:type="dxa"/>
            <w:vAlign w:val="center"/>
          </w:tcPr>
          <w:p>
            <w:pPr>
              <w:pStyle w:val="44"/>
              <w:rPr>
                <w:rFonts w:eastAsia="宋体"/>
                <w:color w:val="auto"/>
                <w:shd w:val="clear" w:color="auto" w:fill="auto"/>
              </w:rPr>
            </w:pPr>
            <w:r>
              <w:rPr>
                <w:rFonts w:eastAsia="宋体"/>
                <w:color w:val="auto"/>
                <w:shd w:val="clear" w:color="auto" w:fill="auto"/>
              </w:rPr>
              <w:t>54.6</w:t>
            </w:r>
          </w:p>
        </w:tc>
        <w:tc>
          <w:tcPr>
            <w:tcW w:w="811" w:type="dxa"/>
            <w:vAlign w:val="center"/>
          </w:tcPr>
          <w:p>
            <w:pPr>
              <w:pStyle w:val="44"/>
              <w:rPr>
                <w:rFonts w:eastAsia="宋体"/>
                <w:color w:val="auto"/>
                <w:shd w:val="clear" w:color="auto" w:fill="auto"/>
              </w:rPr>
            </w:pPr>
            <w:r>
              <w:rPr>
                <w:rFonts w:eastAsia="宋体"/>
                <w:color w:val="auto"/>
                <w:shd w:val="clear" w:color="auto" w:fill="auto"/>
              </w:rPr>
              <w:t>48.6</w:t>
            </w:r>
          </w:p>
        </w:tc>
        <w:tc>
          <w:tcPr>
            <w:tcW w:w="800" w:type="dxa"/>
            <w:vAlign w:val="center"/>
          </w:tcPr>
          <w:p>
            <w:pPr>
              <w:pStyle w:val="44"/>
              <w:rPr>
                <w:rFonts w:eastAsia="宋体"/>
                <w:color w:val="auto"/>
                <w:shd w:val="clear" w:color="auto" w:fill="auto"/>
              </w:rPr>
            </w:pPr>
            <w:r>
              <w:rPr>
                <w:rFonts w:eastAsia="宋体"/>
                <w:color w:val="auto"/>
                <w:shd w:val="clear" w:color="auto" w:fill="auto"/>
              </w:rPr>
              <w:t>54</w:t>
            </w:r>
          </w:p>
        </w:tc>
        <w:tc>
          <w:tcPr>
            <w:tcW w:w="810" w:type="dxa"/>
            <w:vAlign w:val="center"/>
          </w:tcPr>
          <w:p>
            <w:pPr>
              <w:pStyle w:val="44"/>
              <w:rPr>
                <w:rFonts w:eastAsia="宋体"/>
                <w:color w:val="auto"/>
                <w:shd w:val="clear" w:color="auto" w:fill="auto"/>
              </w:rPr>
            </w:pPr>
            <w:r>
              <w:rPr>
                <w:rFonts w:eastAsia="宋体"/>
                <w:color w:val="auto"/>
                <w:shd w:val="clear" w:color="auto" w:fill="auto"/>
              </w:rPr>
              <w:t>303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25" w:type="dxa"/>
            <w:vAlign w:val="center"/>
          </w:tcPr>
          <w:p>
            <w:pPr>
              <w:pStyle w:val="44"/>
              <w:rPr>
                <w:rFonts w:eastAsia="宋体"/>
                <w:color w:val="auto"/>
                <w:shd w:val="clear" w:color="auto" w:fill="auto"/>
              </w:rPr>
            </w:pPr>
            <w:r>
              <w:rPr>
                <w:rFonts w:eastAsia="宋体"/>
                <w:color w:val="auto"/>
                <w:shd w:val="clear" w:color="auto" w:fill="auto"/>
              </w:rPr>
              <w:t>木工、钢筋加工</w:t>
            </w:r>
          </w:p>
        </w:tc>
        <w:tc>
          <w:tcPr>
            <w:tcW w:w="739" w:type="dxa"/>
            <w:vAlign w:val="center"/>
          </w:tcPr>
          <w:p>
            <w:pPr>
              <w:pStyle w:val="44"/>
              <w:rPr>
                <w:rFonts w:eastAsia="宋体"/>
                <w:color w:val="auto"/>
                <w:shd w:val="clear" w:color="auto" w:fill="auto"/>
              </w:rPr>
            </w:pPr>
            <w:r>
              <w:rPr>
                <w:rFonts w:eastAsia="宋体"/>
                <w:color w:val="auto"/>
                <w:shd w:val="clear" w:color="auto" w:fill="auto"/>
              </w:rPr>
              <w:t>74.8</w:t>
            </w:r>
          </w:p>
        </w:tc>
        <w:tc>
          <w:tcPr>
            <w:tcW w:w="811" w:type="dxa"/>
            <w:vAlign w:val="center"/>
          </w:tcPr>
          <w:p>
            <w:pPr>
              <w:pStyle w:val="44"/>
              <w:rPr>
                <w:rFonts w:eastAsia="宋体"/>
                <w:color w:val="auto"/>
                <w:shd w:val="clear" w:color="auto" w:fill="auto"/>
              </w:rPr>
            </w:pPr>
            <w:r>
              <w:rPr>
                <w:rFonts w:eastAsia="宋体"/>
                <w:color w:val="auto"/>
                <w:shd w:val="clear" w:color="auto" w:fill="auto"/>
              </w:rPr>
              <w:t>68.8</w:t>
            </w:r>
          </w:p>
        </w:tc>
        <w:tc>
          <w:tcPr>
            <w:tcW w:w="810" w:type="dxa"/>
            <w:vAlign w:val="center"/>
          </w:tcPr>
          <w:p>
            <w:pPr>
              <w:pStyle w:val="44"/>
              <w:rPr>
                <w:rFonts w:eastAsia="宋体"/>
                <w:color w:val="auto"/>
                <w:shd w:val="clear" w:color="auto" w:fill="auto"/>
              </w:rPr>
            </w:pPr>
            <w:r>
              <w:rPr>
                <w:rFonts w:eastAsia="宋体"/>
                <w:color w:val="auto"/>
                <w:shd w:val="clear" w:color="auto" w:fill="auto"/>
              </w:rPr>
              <w:t>62.8</w:t>
            </w:r>
          </w:p>
        </w:tc>
        <w:tc>
          <w:tcPr>
            <w:tcW w:w="800" w:type="dxa"/>
            <w:vAlign w:val="center"/>
          </w:tcPr>
          <w:p>
            <w:pPr>
              <w:pStyle w:val="44"/>
              <w:rPr>
                <w:rFonts w:eastAsia="宋体"/>
                <w:color w:val="auto"/>
                <w:shd w:val="clear" w:color="auto" w:fill="auto"/>
              </w:rPr>
            </w:pPr>
            <w:r>
              <w:rPr>
                <w:rFonts w:eastAsia="宋体"/>
                <w:color w:val="auto"/>
                <w:shd w:val="clear" w:color="auto" w:fill="auto"/>
              </w:rPr>
              <w:t>56.8</w:t>
            </w:r>
          </w:p>
        </w:tc>
        <w:tc>
          <w:tcPr>
            <w:tcW w:w="810" w:type="dxa"/>
            <w:vAlign w:val="center"/>
          </w:tcPr>
          <w:p>
            <w:pPr>
              <w:pStyle w:val="44"/>
              <w:rPr>
                <w:rFonts w:eastAsia="宋体"/>
                <w:color w:val="auto"/>
                <w:shd w:val="clear" w:color="auto" w:fill="auto"/>
              </w:rPr>
            </w:pPr>
            <w:r>
              <w:rPr>
                <w:rFonts w:eastAsia="宋体"/>
                <w:color w:val="auto"/>
                <w:shd w:val="clear" w:color="auto" w:fill="auto"/>
              </w:rPr>
              <w:t>50.8</w:t>
            </w:r>
          </w:p>
        </w:tc>
        <w:tc>
          <w:tcPr>
            <w:tcW w:w="811" w:type="dxa"/>
            <w:vAlign w:val="center"/>
          </w:tcPr>
          <w:p>
            <w:pPr>
              <w:pStyle w:val="44"/>
              <w:rPr>
                <w:rFonts w:eastAsia="宋体"/>
                <w:color w:val="auto"/>
                <w:shd w:val="clear" w:color="auto" w:fill="auto"/>
              </w:rPr>
            </w:pPr>
            <w:r>
              <w:rPr>
                <w:rFonts w:eastAsia="宋体"/>
                <w:color w:val="auto"/>
                <w:shd w:val="clear" w:color="auto" w:fill="auto"/>
              </w:rPr>
              <w:t>44.8</w:t>
            </w:r>
          </w:p>
        </w:tc>
        <w:tc>
          <w:tcPr>
            <w:tcW w:w="800" w:type="dxa"/>
            <w:vAlign w:val="center"/>
          </w:tcPr>
          <w:p>
            <w:pPr>
              <w:pStyle w:val="44"/>
              <w:rPr>
                <w:rFonts w:eastAsia="宋体"/>
                <w:color w:val="auto"/>
                <w:shd w:val="clear" w:color="auto" w:fill="auto"/>
              </w:rPr>
            </w:pPr>
            <w:r>
              <w:rPr>
                <w:rFonts w:eastAsia="宋体"/>
                <w:color w:val="auto"/>
                <w:shd w:val="clear" w:color="auto" w:fill="auto"/>
              </w:rPr>
              <w:t>35</w:t>
            </w:r>
          </w:p>
        </w:tc>
        <w:tc>
          <w:tcPr>
            <w:tcW w:w="810" w:type="dxa"/>
            <w:vAlign w:val="center"/>
          </w:tcPr>
          <w:p>
            <w:pPr>
              <w:pStyle w:val="44"/>
              <w:rPr>
                <w:rFonts w:eastAsia="宋体"/>
                <w:color w:val="auto"/>
                <w:shd w:val="clear" w:color="auto" w:fill="auto"/>
              </w:rPr>
            </w:pPr>
            <w:r>
              <w:rPr>
                <w:rFonts w:eastAsia="宋体"/>
                <w:color w:val="auto"/>
                <w:shd w:val="clear" w:color="auto" w:fill="auto"/>
              </w:rPr>
              <w:t>195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25" w:type="dxa"/>
            <w:vAlign w:val="center"/>
          </w:tcPr>
          <w:p>
            <w:pPr>
              <w:pStyle w:val="44"/>
              <w:rPr>
                <w:rFonts w:eastAsia="宋体"/>
                <w:color w:val="auto"/>
                <w:shd w:val="clear" w:color="auto" w:fill="auto"/>
              </w:rPr>
            </w:pPr>
            <w:r>
              <w:rPr>
                <w:rFonts w:eastAsia="宋体"/>
                <w:color w:val="auto"/>
                <w:shd w:val="clear" w:color="auto" w:fill="auto"/>
              </w:rPr>
              <w:t>混凝土浇筑</w:t>
            </w:r>
          </w:p>
        </w:tc>
        <w:tc>
          <w:tcPr>
            <w:tcW w:w="739" w:type="dxa"/>
            <w:vAlign w:val="center"/>
          </w:tcPr>
          <w:p>
            <w:pPr>
              <w:pStyle w:val="44"/>
              <w:rPr>
                <w:rFonts w:eastAsia="宋体"/>
                <w:color w:val="auto"/>
                <w:shd w:val="clear" w:color="auto" w:fill="auto"/>
              </w:rPr>
            </w:pPr>
            <w:r>
              <w:rPr>
                <w:rFonts w:eastAsia="宋体"/>
                <w:color w:val="auto"/>
                <w:shd w:val="clear" w:color="auto" w:fill="auto"/>
              </w:rPr>
              <w:t>80.3</w:t>
            </w:r>
          </w:p>
        </w:tc>
        <w:tc>
          <w:tcPr>
            <w:tcW w:w="811" w:type="dxa"/>
            <w:vAlign w:val="center"/>
          </w:tcPr>
          <w:p>
            <w:pPr>
              <w:pStyle w:val="44"/>
              <w:rPr>
                <w:rFonts w:eastAsia="宋体"/>
                <w:color w:val="auto"/>
                <w:shd w:val="clear" w:color="auto" w:fill="auto"/>
              </w:rPr>
            </w:pPr>
            <w:r>
              <w:rPr>
                <w:rFonts w:eastAsia="宋体"/>
                <w:color w:val="auto"/>
                <w:shd w:val="clear" w:color="auto" w:fill="auto"/>
              </w:rPr>
              <w:t>74.3</w:t>
            </w:r>
          </w:p>
        </w:tc>
        <w:tc>
          <w:tcPr>
            <w:tcW w:w="810" w:type="dxa"/>
            <w:vAlign w:val="center"/>
          </w:tcPr>
          <w:p>
            <w:pPr>
              <w:pStyle w:val="44"/>
              <w:rPr>
                <w:rFonts w:eastAsia="宋体"/>
                <w:color w:val="auto"/>
                <w:shd w:val="clear" w:color="auto" w:fill="auto"/>
              </w:rPr>
            </w:pPr>
            <w:r>
              <w:rPr>
                <w:rFonts w:eastAsia="宋体"/>
                <w:color w:val="auto"/>
                <w:shd w:val="clear" w:color="auto" w:fill="auto"/>
              </w:rPr>
              <w:t>68.3</w:t>
            </w:r>
          </w:p>
        </w:tc>
        <w:tc>
          <w:tcPr>
            <w:tcW w:w="800" w:type="dxa"/>
            <w:vAlign w:val="center"/>
          </w:tcPr>
          <w:p>
            <w:pPr>
              <w:pStyle w:val="44"/>
              <w:rPr>
                <w:rFonts w:eastAsia="宋体"/>
                <w:color w:val="auto"/>
                <w:shd w:val="clear" w:color="auto" w:fill="auto"/>
              </w:rPr>
            </w:pPr>
            <w:r>
              <w:rPr>
                <w:rFonts w:eastAsia="宋体"/>
                <w:color w:val="auto"/>
                <w:shd w:val="clear" w:color="auto" w:fill="auto"/>
              </w:rPr>
              <w:t>62.3</w:t>
            </w:r>
          </w:p>
        </w:tc>
        <w:tc>
          <w:tcPr>
            <w:tcW w:w="810" w:type="dxa"/>
            <w:vAlign w:val="center"/>
          </w:tcPr>
          <w:p>
            <w:pPr>
              <w:pStyle w:val="44"/>
              <w:rPr>
                <w:rFonts w:eastAsia="宋体"/>
                <w:color w:val="auto"/>
                <w:shd w:val="clear" w:color="auto" w:fill="auto"/>
              </w:rPr>
            </w:pPr>
            <w:r>
              <w:rPr>
                <w:rFonts w:eastAsia="宋体"/>
                <w:color w:val="auto"/>
                <w:shd w:val="clear" w:color="auto" w:fill="auto"/>
              </w:rPr>
              <w:t>56.3</w:t>
            </w:r>
          </w:p>
        </w:tc>
        <w:tc>
          <w:tcPr>
            <w:tcW w:w="811" w:type="dxa"/>
            <w:vAlign w:val="center"/>
          </w:tcPr>
          <w:p>
            <w:pPr>
              <w:pStyle w:val="44"/>
              <w:rPr>
                <w:rFonts w:eastAsia="宋体"/>
                <w:color w:val="auto"/>
                <w:shd w:val="clear" w:color="auto" w:fill="auto"/>
              </w:rPr>
            </w:pPr>
            <w:r>
              <w:rPr>
                <w:rFonts w:eastAsia="宋体"/>
                <w:color w:val="auto"/>
                <w:shd w:val="clear" w:color="auto" w:fill="auto"/>
              </w:rPr>
              <w:t>50.3</w:t>
            </w:r>
          </w:p>
        </w:tc>
        <w:tc>
          <w:tcPr>
            <w:tcW w:w="800" w:type="dxa"/>
            <w:vAlign w:val="center"/>
          </w:tcPr>
          <w:p>
            <w:pPr>
              <w:pStyle w:val="44"/>
              <w:rPr>
                <w:rFonts w:eastAsia="宋体"/>
                <w:color w:val="auto"/>
                <w:shd w:val="clear" w:color="auto" w:fill="auto"/>
              </w:rPr>
            </w:pPr>
            <w:r>
              <w:rPr>
                <w:rFonts w:eastAsia="宋体"/>
                <w:color w:val="auto"/>
                <w:shd w:val="clear" w:color="auto" w:fill="auto"/>
              </w:rPr>
              <w:t>65</w:t>
            </w:r>
          </w:p>
        </w:tc>
        <w:tc>
          <w:tcPr>
            <w:tcW w:w="810" w:type="dxa"/>
            <w:vAlign w:val="center"/>
          </w:tcPr>
          <w:p>
            <w:pPr>
              <w:pStyle w:val="44"/>
              <w:rPr>
                <w:rFonts w:eastAsia="宋体"/>
                <w:color w:val="auto"/>
                <w:shd w:val="clear" w:color="auto" w:fill="auto"/>
              </w:rPr>
            </w:pPr>
            <w:r>
              <w:rPr>
                <w:rFonts w:eastAsia="宋体"/>
                <w:color w:val="auto"/>
                <w:shd w:val="clear" w:color="auto" w:fill="auto"/>
              </w:rPr>
              <w:t>368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25" w:type="dxa"/>
            <w:vAlign w:val="center"/>
          </w:tcPr>
          <w:p>
            <w:pPr>
              <w:pStyle w:val="44"/>
              <w:rPr>
                <w:rFonts w:eastAsia="宋体"/>
                <w:color w:val="auto"/>
                <w:shd w:val="clear" w:color="auto" w:fill="auto"/>
              </w:rPr>
            </w:pPr>
            <w:r>
              <w:rPr>
                <w:rFonts w:hint="eastAsia"/>
                <w:color w:val="auto"/>
                <w:shd w:val="clear" w:color="auto" w:fill="auto"/>
                <w:lang w:eastAsia="zh-CN"/>
              </w:rPr>
              <w:t>港池</w:t>
            </w:r>
            <w:r>
              <w:rPr>
                <w:rFonts w:eastAsia="宋体"/>
                <w:color w:val="auto"/>
                <w:shd w:val="clear" w:color="auto" w:fill="auto"/>
              </w:rPr>
              <w:t>疏浚</w:t>
            </w:r>
          </w:p>
        </w:tc>
        <w:tc>
          <w:tcPr>
            <w:tcW w:w="739" w:type="dxa"/>
            <w:vAlign w:val="center"/>
          </w:tcPr>
          <w:p>
            <w:pPr>
              <w:pStyle w:val="44"/>
              <w:rPr>
                <w:rFonts w:eastAsia="宋体"/>
                <w:color w:val="auto"/>
                <w:shd w:val="clear" w:color="auto" w:fill="auto"/>
              </w:rPr>
            </w:pPr>
            <w:r>
              <w:rPr>
                <w:rFonts w:eastAsia="宋体"/>
                <w:color w:val="auto"/>
                <w:shd w:val="clear" w:color="auto" w:fill="auto"/>
              </w:rPr>
              <w:t>72.1</w:t>
            </w:r>
          </w:p>
        </w:tc>
        <w:tc>
          <w:tcPr>
            <w:tcW w:w="811" w:type="dxa"/>
            <w:vAlign w:val="center"/>
          </w:tcPr>
          <w:p>
            <w:pPr>
              <w:pStyle w:val="44"/>
              <w:rPr>
                <w:rFonts w:eastAsia="宋体"/>
                <w:color w:val="auto"/>
                <w:shd w:val="clear" w:color="auto" w:fill="auto"/>
              </w:rPr>
            </w:pPr>
            <w:r>
              <w:rPr>
                <w:rFonts w:eastAsia="宋体"/>
                <w:color w:val="auto"/>
                <w:shd w:val="clear" w:color="auto" w:fill="auto"/>
              </w:rPr>
              <w:t>66.1</w:t>
            </w:r>
          </w:p>
        </w:tc>
        <w:tc>
          <w:tcPr>
            <w:tcW w:w="810" w:type="dxa"/>
            <w:vAlign w:val="center"/>
          </w:tcPr>
          <w:p>
            <w:pPr>
              <w:pStyle w:val="44"/>
              <w:rPr>
                <w:rFonts w:eastAsia="宋体"/>
                <w:color w:val="auto"/>
                <w:shd w:val="clear" w:color="auto" w:fill="auto"/>
              </w:rPr>
            </w:pPr>
            <w:r>
              <w:rPr>
                <w:rFonts w:eastAsia="宋体"/>
                <w:color w:val="auto"/>
                <w:shd w:val="clear" w:color="auto" w:fill="auto"/>
              </w:rPr>
              <w:t>60.1</w:t>
            </w:r>
          </w:p>
        </w:tc>
        <w:tc>
          <w:tcPr>
            <w:tcW w:w="800" w:type="dxa"/>
            <w:vAlign w:val="center"/>
          </w:tcPr>
          <w:p>
            <w:pPr>
              <w:pStyle w:val="44"/>
              <w:rPr>
                <w:rFonts w:eastAsia="宋体"/>
                <w:color w:val="auto"/>
                <w:shd w:val="clear" w:color="auto" w:fill="auto"/>
              </w:rPr>
            </w:pPr>
            <w:r>
              <w:rPr>
                <w:rFonts w:eastAsia="宋体"/>
                <w:color w:val="auto"/>
                <w:shd w:val="clear" w:color="auto" w:fill="auto"/>
              </w:rPr>
              <w:t>54.1</w:t>
            </w:r>
          </w:p>
        </w:tc>
        <w:tc>
          <w:tcPr>
            <w:tcW w:w="810" w:type="dxa"/>
            <w:vAlign w:val="center"/>
          </w:tcPr>
          <w:p>
            <w:pPr>
              <w:pStyle w:val="44"/>
              <w:rPr>
                <w:rFonts w:eastAsia="宋体"/>
                <w:color w:val="auto"/>
                <w:shd w:val="clear" w:color="auto" w:fill="auto"/>
              </w:rPr>
            </w:pPr>
            <w:r>
              <w:rPr>
                <w:rFonts w:eastAsia="宋体"/>
                <w:color w:val="auto"/>
                <w:shd w:val="clear" w:color="auto" w:fill="auto"/>
              </w:rPr>
              <w:t>48.1</w:t>
            </w:r>
          </w:p>
        </w:tc>
        <w:tc>
          <w:tcPr>
            <w:tcW w:w="811" w:type="dxa"/>
            <w:vAlign w:val="center"/>
          </w:tcPr>
          <w:p>
            <w:pPr>
              <w:pStyle w:val="44"/>
              <w:rPr>
                <w:rFonts w:eastAsia="宋体"/>
                <w:color w:val="auto"/>
                <w:shd w:val="clear" w:color="auto" w:fill="auto"/>
              </w:rPr>
            </w:pPr>
            <w:r>
              <w:rPr>
                <w:rFonts w:eastAsia="宋体"/>
                <w:color w:val="auto"/>
                <w:shd w:val="clear" w:color="auto" w:fill="auto"/>
              </w:rPr>
              <w:t>42.1</w:t>
            </w:r>
          </w:p>
        </w:tc>
        <w:tc>
          <w:tcPr>
            <w:tcW w:w="800" w:type="dxa"/>
            <w:vAlign w:val="center"/>
          </w:tcPr>
          <w:p>
            <w:pPr>
              <w:pStyle w:val="44"/>
              <w:rPr>
                <w:rFonts w:eastAsia="宋体"/>
                <w:color w:val="auto"/>
                <w:shd w:val="clear" w:color="auto" w:fill="auto"/>
              </w:rPr>
            </w:pPr>
            <w:r>
              <w:rPr>
                <w:rFonts w:eastAsia="宋体"/>
                <w:color w:val="auto"/>
                <w:shd w:val="clear" w:color="auto" w:fill="auto"/>
              </w:rPr>
              <w:t>25</w:t>
            </w:r>
          </w:p>
        </w:tc>
        <w:tc>
          <w:tcPr>
            <w:tcW w:w="810" w:type="dxa"/>
            <w:vAlign w:val="center"/>
          </w:tcPr>
          <w:p>
            <w:pPr>
              <w:pStyle w:val="44"/>
              <w:rPr>
                <w:rFonts w:eastAsia="宋体"/>
                <w:color w:val="auto"/>
                <w:shd w:val="clear" w:color="auto" w:fill="auto"/>
              </w:rPr>
            </w:pPr>
            <w:r>
              <w:rPr>
                <w:rFonts w:eastAsia="宋体"/>
                <w:color w:val="auto"/>
                <w:shd w:val="clear" w:color="auto" w:fill="auto"/>
              </w:rPr>
              <w:t>143</w:t>
            </w:r>
          </w:p>
        </w:tc>
      </w:tr>
    </w:tbl>
    <w:p>
      <w:pPr>
        <w:spacing w:before="36" w:line="240" w:lineRule="auto"/>
        <w:ind w:right="0"/>
        <w:jc w:val="left"/>
        <w:rPr>
          <w:rFonts w:hint="eastAsia" w:eastAsia="宋体"/>
          <w:color w:val="auto"/>
          <w:sz w:val="21"/>
          <w:szCs w:val="21"/>
          <w:shd w:val="clear" w:color="auto" w:fill="auto"/>
          <w:lang w:eastAsia="zh-CN"/>
        </w:rPr>
      </w:pPr>
      <w:r>
        <w:rPr>
          <w:b/>
          <w:bCs/>
          <w:color w:val="auto"/>
          <w:sz w:val="21"/>
          <w:szCs w:val="21"/>
          <w:shd w:val="clear" w:color="auto" w:fill="auto"/>
        </w:rPr>
        <w:t>注：不同施工阶段选取代表性机械组合</w:t>
      </w:r>
      <w:r>
        <w:rPr>
          <w:rFonts w:hint="eastAsia"/>
          <w:b/>
          <w:bCs/>
          <w:color w:val="auto"/>
          <w:sz w:val="21"/>
          <w:szCs w:val="21"/>
          <w:shd w:val="clear" w:color="auto" w:fill="auto"/>
          <w:lang w:eastAsia="zh-CN"/>
        </w:rPr>
        <w:t>。</w:t>
      </w:r>
    </w:p>
    <w:p>
      <w:pPr>
        <w:spacing w:line="520" w:lineRule="exact"/>
        <w:ind w:left="0" w:leftChars="0" w:firstLine="480" w:firstLineChars="200"/>
        <w:rPr>
          <w:color w:val="auto"/>
          <w:shd w:val="clear" w:color="auto" w:fill="auto"/>
        </w:rPr>
      </w:pPr>
      <w:r>
        <w:rPr>
          <w:color w:val="auto"/>
          <w:shd w:val="clear" w:color="auto" w:fill="auto"/>
        </w:rPr>
        <w:t>③</w:t>
      </w:r>
      <w:r>
        <w:rPr>
          <w:rFonts w:hAnsi="宋体"/>
          <w:color w:val="auto"/>
          <w:shd w:val="clear" w:color="auto" w:fill="auto"/>
        </w:rPr>
        <w:t>施工噪声环境影响分析</w:t>
      </w:r>
    </w:p>
    <w:p>
      <w:pPr>
        <w:pageBreakBefore w:val="0"/>
        <w:kinsoku/>
        <w:wordWrap/>
        <w:overflowPunct/>
        <w:topLinePunct w:val="0"/>
        <w:autoSpaceDE/>
        <w:autoSpaceDN/>
        <w:bidi w:val="0"/>
        <w:spacing w:line="360" w:lineRule="auto"/>
        <w:jc w:val="left"/>
        <w:textAlignment w:val="auto"/>
        <w:rPr>
          <w:rFonts w:hint="eastAsia" w:hAnsi="宋体" w:eastAsia="宋体"/>
          <w:color w:val="auto"/>
          <w:shd w:val="clear" w:color="auto" w:fill="auto"/>
          <w:lang w:val="en-US" w:eastAsia="zh-CN"/>
        </w:rPr>
      </w:pPr>
      <w:r>
        <w:rPr>
          <w:rFonts w:hint="eastAsia" w:hAnsi="宋体"/>
          <w:color w:val="auto"/>
          <w:shd w:val="clear" w:color="auto" w:fill="auto"/>
          <w:lang w:val="en-US" w:eastAsia="zh-CN"/>
        </w:rPr>
        <w:t>根据</w:t>
      </w:r>
      <w:r>
        <w:rPr>
          <w:rFonts w:hint="eastAsia" w:hAnsi="宋体" w:eastAsia="宋体"/>
          <w:color w:val="auto"/>
          <w:shd w:val="clear" w:color="auto" w:fill="auto"/>
          <w:lang w:val="en-US" w:eastAsia="zh-CN"/>
        </w:rPr>
        <w:t>预测结果，对照《建筑施工场界环境噪声排放标准》（GB12523-2011），可知多台施工机械同时施工时，昼间在65</w:t>
      </w:r>
      <w:r>
        <w:rPr>
          <w:rFonts w:hint="eastAsia" w:hAnsi="宋体"/>
          <w:color w:val="auto"/>
          <w:shd w:val="clear" w:color="auto" w:fill="auto"/>
          <w:lang w:val="en-US" w:eastAsia="zh-CN"/>
        </w:rPr>
        <w:t>m</w:t>
      </w:r>
      <w:r>
        <w:rPr>
          <w:rFonts w:hint="eastAsia" w:hAnsi="宋体" w:eastAsia="宋体"/>
          <w:color w:val="auto"/>
          <w:shd w:val="clear" w:color="auto" w:fill="auto"/>
          <w:lang w:val="en-US" w:eastAsia="zh-CN"/>
        </w:rPr>
        <w:t>处，夜间在368</w:t>
      </w:r>
      <w:r>
        <w:rPr>
          <w:rFonts w:hint="eastAsia" w:hAnsi="宋体"/>
          <w:color w:val="auto"/>
          <w:shd w:val="clear" w:color="auto" w:fill="auto"/>
          <w:lang w:val="en-US" w:eastAsia="zh-CN"/>
        </w:rPr>
        <w:t>m</w:t>
      </w:r>
      <w:r>
        <w:rPr>
          <w:rFonts w:hint="eastAsia" w:hAnsi="宋体" w:eastAsia="宋体"/>
          <w:color w:val="auto"/>
          <w:shd w:val="clear" w:color="auto" w:fill="auto"/>
          <w:lang w:val="en-US" w:eastAsia="zh-CN"/>
        </w:rPr>
        <w:t>处可满足标准要求，可见，夜间施工噪声影响很大。</w:t>
      </w:r>
    </w:p>
    <w:p>
      <w:pPr>
        <w:pageBreakBefore w:val="0"/>
        <w:kinsoku/>
        <w:wordWrap/>
        <w:overflowPunct/>
        <w:topLinePunct w:val="0"/>
        <w:autoSpaceDE/>
        <w:autoSpaceDN/>
        <w:bidi w:val="0"/>
        <w:spacing w:line="360" w:lineRule="auto"/>
        <w:jc w:val="left"/>
        <w:textAlignment w:val="auto"/>
        <w:rPr>
          <w:rFonts w:hint="eastAsia" w:hAnsi="宋体" w:eastAsia="宋体"/>
          <w:color w:val="auto"/>
          <w:shd w:val="clear" w:color="auto" w:fill="auto"/>
          <w:lang w:val="en-US" w:eastAsia="zh-CN"/>
        </w:rPr>
      </w:pPr>
      <w:r>
        <w:rPr>
          <w:rFonts w:hint="eastAsia" w:hAnsi="宋体"/>
          <w:color w:val="auto"/>
          <w:shd w:val="clear" w:color="auto" w:fill="auto"/>
        </w:rPr>
        <w:t>由于项目施工期噪声影响范围内有2处声环境敏感点（</w:t>
      </w:r>
      <w:r>
        <w:rPr>
          <w:rFonts w:hint="eastAsia" w:hAnsi="宋体"/>
          <w:color w:val="auto"/>
          <w:shd w:val="clear" w:color="auto" w:fill="auto"/>
          <w:lang w:eastAsia="zh-CN"/>
        </w:rPr>
        <w:t>后陶桥70m</w:t>
      </w:r>
      <w:r>
        <w:rPr>
          <w:rFonts w:hint="eastAsia" w:hAnsi="宋体"/>
          <w:color w:val="auto"/>
          <w:shd w:val="clear" w:color="auto" w:fill="auto"/>
        </w:rPr>
        <w:t>、</w:t>
      </w:r>
      <w:r>
        <w:rPr>
          <w:rFonts w:hint="eastAsia" w:hAnsi="宋体"/>
          <w:color w:val="auto"/>
          <w:shd w:val="clear" w:color="auto" w:fill="auto"/>
          <w:lang w:eastAsia="zh-CN"/>
        </w:rPr>
        <w:t>玫瑰园</w:t>
      </w:r>
      <w:r>
        <w:rPr>
          <w:rFonts w:hint="eastAsia" w:hAnsi="宋体"/>
          <w:color w:val="auto"/>
          <w:shd w:val="clear" w:color="auto" w:fill="auto"/>
        </w:rPr>
        <w:t>沿</w:t>
      </w:r>
      <w:r>
        <w:rPr>
          <w:rFonts w:hint="eastAsia" w:hAnsi="宋体"/>
          <w:color w:val="auto"/>
          <w:shd w:val="clear" w:color="auto" w:fill="auto"/>
          <w:lang w:val="en-US" w:eastAsia="zh-CN"/>
        </w:rPr>
        <w:t>76</w:t>
      </w:r>
      <w:r>
        <w:rPr>
          <w:rFonts w:hint="eastAsia" w:hAnsi="宋体"/>
          <w:color w:val="auto"/>
          <w:shd w:val="clear" w:color="auto" w:fill="auto"/>
          <w:lang w:eastAsia="zh-CN"/>
        </w:rPr>
        <w:t>m</w:t>
      </w:r>
      <w:r>
        <w:rPr>
          <w:rFonts w:hint="eastAsia" w:hAnsi="宋体"/>
          <w:color w:val="auto"/>
          <w:shd w:val="clear" w:color="auto" w:fill="auto"/>
        </w:rPr>
        <w:t>）</w:t>
      </w:r>
      <w:r>
        <w:rPr>
          <w:rFonts w:hint="eastAsia" w:hAnsi="宋体" w:eastAsia="宋体"/>
          <w:color w:val="auto"/>
          <w:shd w:val="clear" w:color="auto" w:fill="auto"/>
        </w:rPr>
        <w:t>。主要施工阶段对该敏感点噪声影响预测结果见表</w:t>
      </w:r>
      <w:r>
        <w:rPr>
          <w:rFonts w:hint="eastAsia" w:hAnsi="宋体" w:eastAsia="宋体"/>
          <w:color w:val="auto"/>
          <w:shd w:val="clear" w:color="auto" w:fill="auto"/>
          <w:lang w:val="en-US" w:eastAsia="zh-CN"/>
        </w:rPr>
        <w:t>4.</w:t>
      </w:r>
      <w:r>
        <w:rPr>
          <w:rFonts w:hint="eastAsia" w:hAnsi="宋体"/>
          <w:color w:val="auto"/>
          <w:shd w:val="clear" w:color="auto" w:fill="auto"/>
          <w:lang w:val="en-US" w:eastAsia="zh-CN"/>
        </w:rPr>
        <w:t>2</w:t>
      </w:r>
      <w:r>
        <w:rPr>
          <w:rFonts w:hint="eastAsia" w:hAnsi="宋体" w:eastAsia="宋体"/>
          <w:color w:val="auto"/>
          <w:shd w:val="clear" w:color="auto" w:fill="auto"/>
          <w:lang w:val="en-US" w:eastAsia="zh-CN"/>
        </w:rPr>
        <w:t>-</w:t>
      </w:r>
      <w:r>
        <w:rPr>
          <w:rFonts w:hint="eastAsia" w:hAnsi="宋体"/>
          <w:color w:val="auto"/>
          <w:shd w:val="clear" w:color="auto" w:fill="auto"/>
          <w:lang w:val="en-US" w:eastAsia="zh-CN"/>
        </w:rPr>
        <w:t>7</w:t>
      </w:r>
      <w:r>
        <w:rPr>
          <w:rFonts w:hint="eastAsia" w:hAnsi="宋体" w:eastAsia="宋体"/>
          <w:color w:val="auto"/>
          <w:shd w:val="clear" w:color="auto" w:fill="auto"/>
          <w:lang w:val="en-US" w:eastAsia="zh-CN"/>
        </w:rPr>
        <w:t>。</w:t>
      </w:r>
    </w:p>
    <w:p>
      <w:pPr>
        <w:spacing w:line="480" w:lineRule="exact"/>
        <w:ind w:left="0" w:leftChars="0" w:firstLine="0" w:firstLineChars="0"/>
        <w:jc w:val="center"/>
        <w:rPr>
          <w:rFonts w:hint="eastAsia" w:ascii="Times New Roman" w:hAnsi="Times New Roman" w:eastAsia="黑体" w:cs="Times New Roman"/>
          <w:color w:val="auto"/>
          <w:kern w:val="0"/>
          <w:sz w:val="21"/>
          <w:szCs w:val="21"/>
          <w:shd w:val="clear" w:color="auto" w:fill="auto"/>
          <w:lang w:val="en-US" w:eastAsia="zh-CN" w:bidi="ar-SA"/>
        </w:rPr>
      </w:pPr>
      <w:r>
        <w:rPr>
          <w:rFonts w:hint="eastAsia" w:ascii="Times New Roman" w:hAnsi="Times New Roman" w:eastAsia="黑体" w:cs="Times New Roman"/>
          <w:color w:val="auto"/>
          <w:kern w:val="0"/>
          <w:sz w:val="21"/>
          <w:szCs w:val="21"/>
          <w:shd w:val="clear" w:color="auto" w:fill="auto"/>
          <w:lang w:val="en-US" w:eastAsia="zh-CN" w:bidi="ar-SA"/>
        </w:rPr>
        <w:t>表 4.2-7  主要施工阶段对敏感点声环境影响预测值</w:t>
      </w:r>
      <w:r>
        <w:rPr>
          <w:rFonts w:hint="eastAsia" w:ascii="Times New Roman" w:hAnsi="Times New Roman" w:eastAsia="黑体" w:cs="Times New Roman"/>
          <w:color w:val="auto"/>
          <w:kern w:val="0"/>
          <w:sz w:val="21"/>
          <w:szCs w:val="21"/>
          <w:shd w:val="clear" w:color="auto" w:fill="auto"/>
          <w:lang w:val="en-US" w:eastAsia="zh-CN" w:bidi="ar-SA"/>
        </w:rPr>
        <w:tab/>
      </w:r>
      <w:r>
        <w:rPr>
          <w:rFonts w:hint="eastAsia" w:ascii="Times New Roman" w:hAnsi="Times New Roman" w:eastAsia="黑体" w:cs="Times New Roman"/>
          <w:color w:val="auto"/>
          <w:kern w:val="0"/>
          <w:sz w:val="21"/>
          <w:szCs w:val="21"/>
          <w:shd w:val="clear" w:color="auto" w:fill="auto"/>
          <w:lang w:val="en-US" w:eastAsia="zh-CN" w:bidi="ar-SA"/>
        </w:rPr>
        <w:t>单位：dB(A)</w:t>
      </w:r>
    </w:p>
    <w:tbl>
      <w:tblPr>
        <w:tblStyle w:val="26"/>
        <w:tblW w:w="831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45"/>
        <w:gridCol w:w="2032"/>
        <w:gridCol w:w="1979"/>
        <w:gridCol w:w="952"/>
        <w:gridCol w:w="1286"/>
        <w:gridCol w:w="9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45" w:type="dxa"/>
            <w:vAlign w:val="center"/>
          </w:tcPr>
          <w:p>
            <w:pPr>
              <w:pStyle w:val="44"/>
              <w:rPr>
                <w:rFonts w:eastAsia="宋体"/>
                <w:color w:val="auto"/>
                <w:shd w:val="clear" w:color="auto" w:fill="auto"/>
              </w:rPr>
            </w:pPr>
            <w:r>
              <w:rPr>
                <w:rFonts w:eastAsia="宋体"/>
                <w:color w:val="auto"/>
                <w:shd w:val="clear" w:color="auto" w:fill="auto"/>
              </w:rPr>
              <w:t>敏感点</w:t>
            </w:r>
          </w:p>
        </w:tc>
        <w:tc>
          <w:tcPr>
            <w:tcW w:w="2032" w:type="dxa"/>
            <w:vAlign w:val="center"/>
          </w:tcPr>
          <w:p>
            <w:pPr>
              <w:pStyle w:val="44"/>
              <w:rPr>
                <w:rFonts w:eastAsia="宋体"/>
                <w:color w:val="auto"/>
                <w:shd w:val="clear" w:color="auto" w:fill="auto"/>
              </w:rPr>
            </w:pPr>
            <w:r>
              <w:rPr>
                <w:rFonts w:eastAsia="宋体"/>
                <w:color w:val="auto"/>
                <w:shd w:val="clear" w:color="auto" w:fill="auto"/>
              </w:rPr>
              <w:t>主要受影响施工阶段</w:t>
            </w:r>
          </w:p>
        </w:tc>
        <w:tc>
          <w:tcPr>
            <w:tcW w:w="1979" w:type="dxa"/>
            <w:vAlign w:val="center"/>
          </w:tcPr>
          <w:p>
            <w:pPr>
              <w:pStyle w:val="44"/>
              <w:rPr>
                <w:rFonts w:eastAsia="宋体"/>
                <w:color w:val="auto"/>
                <w:shd w:val="clear" w:color="auto" w:fill="auto"/>
              </w:rPr>
            </w:pPr>
            <w:r>
              <w:rPr>
                <w:rFonts w:eastAsia="宋体"/>
                <w:color w:val="auto"/>
                <w:shd w:val="clear" w:color="auto" w:fill="auto"/>
              </w:rPr>
              <w:t>施工现场距离（</w:t>
            </w:r>
            <w:r>
              <w:rPr>
                <w:rFonts w:hint="eastAsia"/>
                <w:color w:val="auto"/>
                <w:shd w:val="clear" w:color="auto" w:fill="auto"/>
                <w:lang w:eastAsia="zh-CN"/>
              </w:rPr>
              <w:t>m</w:t>
            </w:r>
            <w:r>
              <w:rPr>
                <w:rFonts w:eastAsia="宋体"/>
                <w:color w:val="auto"/>
                <w:shd w:val="clear" w:color="auto" w:fill="auto"/>
              </w:rPr>
              <w:t>）</w:t>
            </w:r>
          </w:p>
        </w:tc>
        <w:tc>
          <w:tcPr>
            <w:tcW w:w="952" w:type="dxa"/>
            <w:vAlign w:val="center"/>
          </w:tcPr>
          <w:p>
            <w:pPr>
              <w:pStyle w:val="44"/>
              <w:rPr>
                <w:rFonts w:eastAsia="宋体"/>
                <w:color w:val="auto"/>
                <w:shd w:val="clear" w:color="auto" w:fill="auto"/>
              </w:rPr>
            </w:pPr>
            <w:r>
              <w:rPr>
                <w:rFonts w:eastAsia="宋体"/>
                <w:color w:val="auto"/>
                <w:shd w:val="clear" w:color="auto" w:fill="auto"/>
              </w:rPr>
              <w:t>贡献值</w:t>
            </w:r>
          </w:p>
        </w:tc>
        <w:tc>
          <w:tcPr>
            <w:tcW w:w="1286" w:type="dxa"/>
            <w:vAlign w:val="center"/>
          </w:tcPr>
          <w:p>
            <w:pPr>
              <w:pStyle w:val="44"/>
              <w:rPr>
                <w:rFonts w:eastAsia="宋体"/>
                <w:color w:val="auto"/>
                <w:shd w:val="clear" w:color="auto" w:fill="auto"/>
              </w:rPr>
            </w:pPr>
            <w:r>
              <w:rPr>
                <w:rFonts w:eastAsia="宋体"/>
                <w:color w:val="auto"/>
                <w:shd w:val="clear" w:color="auto" w:fill="auto"/>
              </w:rPr>
              <w:t>昼间背景值</w:t>
            </w:r>
          </w:p>
        </w:tc>
        <w:tc>
          <w:tcPr>
            <w:tcW w:w="922" w:type="dxa"/>
            <w:vAlign w:val="center"/>
          </w:tcPr>
          <w:p>
            <w:pPr>
              <w:pStyle w:val="44"/>
              <w:rPr>
                <w:rFonts w:eastAsia="宋体"/>
                <w:color w:val="auto"/>
                <w:shd w:val="clear" w:color="auto" w:fill="auto"/>
              </w:rPr>
            </w:pPr>
            <w:r>
              <w:rPr>
                <w:rFonts w:eastAsia="宋体"/>
                <w:color w:val="auto"/>
                <w:shd w:val="clear" w:color="auto" w:fill="auto"/>
              </w:rPr>
              <w:t>预测值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45" w:type="dxa"/>
            <w:vAlign w:val="center"/>
          </w:tcPr>
          <w:p>
            <w:pPr>
              <w:pStyle w:val="44"/>
              <w:rPr>
                <w:rFonts w:hint="eastAsia" w:eastAsia="宋体"/>
                <w:color w:val="auto"/>
                <w:shd w:val="clear" w:color="auto" w:fill="auto"/>
                <w:lang w:eastAsia="zh-CN"/>
              </w:rPr>
            </w:pPr>
            <w:r>
              <w:rPr>
                <w:rFonts w:hint="eastAsia"/>
                <w:color w:val="auto"/>
                <w:shd w:val="clear" w:color="auto" w:fill="auto"/>
                <w:lang w:eastAsia="zh-CN"/>
              </w:rPr>
              <w:t>后陶桥</w:t>
            </w:r>
          </w:p>
        </w:tc>
        <w:tc>
          <w:tcPr>
            <w:tcW w:w="2032" w:type="dxa"/>
            <w:vAlign w:val="center"/>
          </w:tcPr>
          <w:p>
            <w:pPr>
              <w:pStyle w:val="44"/>
              <w:rPr>
                <w:rFonts w:eastAsia="宋体"/>
                <w:color w:val="auto"/>
                <w:shd w:val="clear" w:color="auto" w:fill="auto"/>
              </w:rPr>
            </w:pPr>
            <w:r>
              <w:rPr>
                <w:rFonts w:eastAsia="宋体"/>
                <w:color w:val="auto"/>
                <w:shd w:val="clear" w:color="auto" w:fill="auto"/>
              </w:rPr>
              <w:t>混凝土浇筑</w:t>
            </w:r>
          </w:p>
        </w:tc>
        <w:tc>
          <w:tcPr>
            <w:tcW w:w="1979" w:type="dxa"/>
            <w:vAlign w:val="center"/>
          </w:tcPr>
          <w:p>
            <w:pPr>
              <w:pStyle w:val="44"/>
              <w:rPr>
                <w:rFonts w:hint="default" w:eastAsia="宋体"/>
                <w:color w:val="auto"/>
                <w:shd w:val="clear" w:color="auto" w:fill="auto"/>
                <w:lang w:val="en-US" w:eastAsia="zh-CN"/>
              </w:rPr>
            </w:pPr>
            <w:r>
              <w:rPr>
                <w:rFonts w:hint="eastAsia"/>
                <w:color w:val="auto"/>
                <w:shd w:val="clear" w:color="auto" w:fill="auto"/>
                <w:lang w:val="en-US" w:eastAsia="zh-CN"/>
              </w:rPr>
              <w:t>70</w:t>
            </w:r>
          </w:p>
        </w:tc>
        <w:tc>
          <w:tcPr>
            <w:tcW w:w="952" w:type="dxa"/>
            <w:vAlign w:val="center"/>
          </w:tcPr>
          <w:p>
            <w:pPr>
              <w:pStyle w:val="44"/>
              <w:rPr>
                <w:rFonts w:hint="default" w:eastAsia="宋体"/>
                <w:color w:val="auto"/>
                <w:shd w:val="clear" w:color="auto" w:fill="auto"/>
                <w:lang w:val="en-US" w:eastAsia="zh-CN"/>
              </w:rPr>
            </w:pPr>
            <w:r>
              <w:rPr>
                <w:rFonts w:hint="eastAsia"/>
                <w:color w:val="auto"/>
                <w:shd w:val="clear" w:color="auto" w:fill="auto"/>
                <w:lang w:val="en-US" w:eastAsia="zh-CN"/>
              </w:rPr>
              <w:t>65.9</w:t>
            </w:r>
          </w:p>
        </w:tc>
        <w:tc>
          <w:tcPr>
            <w:tcW w:w="1286" w:type="dxa"/>
            <w:vAlign w:val="center"/>
          </w:tcPr>
          <w:p>
            <w:pPr>
              <w:pStyle w:val="44"/>
              <w:rPr>
                <w:rFonts w:hint="default" w:eastAsia="宋体"/>
                <w:color w:val="auto"/>
                <w:shd w:val="clear" w:color="auto" w:fill="auto"/>
                <w:lang w:val="en-US" w:eastAsia="zh-CN"/>
              </w:rPr>
            </w:pPr>
            <w:r>
              <w:rPr>
                <w:rFonts w:hint="eastAsia"/>
                <w:color w:val="auto"/>
                <w:shd w:val="clear" w:color="auto" w:fill="auto"/>
                <w:lang w:val="en-US" w:eastAsia="zh-CN"/>
              </w:rPr>
              <w:t>54.5</w:t>
            </w:r>
          </w:p>
        </w:tc>
        <w:tc>
          <w:tcPr>
            <w:tcW w:w="922" w:type="dxa"/>
            <w:vAlign w:val="center"/>
          </w:tcPr>
          <w:p>
            <w:pPr>
              <w:pStyle w:val="44"/>
              <w:rPr>
                <w:rFonts w:hint="default" w:eastAsia="宋体"/>
                <w:color w:val="auto"/>
                <w:shd w:val="clear" w:color="auto" w:fill="auto"/>
                <w:lang w:val="en-US" w:eastAsia="zh-CN"/>
              </w:rPr>
            </w:pPr>
            <w:r>
              <w:rPr>
                <w:rFonts w:hint="eastAsia"/>
                <w:color w:val="auto"/>
                <w:shd w:val="clear" w:color="auto" w:fill="auto"/>
                <w:lang w:val="en-US" w:eastAsia="zh-CN"/>
              </w:rPr>
              <w:t>66.2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45" w:type="dxa"/>
            <w:vAlign w:val="center"/>
          </w:tcPr>
          <w:p>
            <w:pPr>
              <w:pStyle w:val="44"/>
              <w:rPr>
                <w:rFonts w:hint="eastAsia" w:eastAsia="宋体"/>
                <w:color w:val="auto"/>
                <w:shd w:val="clear" w:color="auto" w:fill="auto"/>
                <w:lang w:eastAsia="zh-CN"/>
              </w:rPr>
            </w:pPr>
            <w:r>
              <w:rPr>
                <w:rFonts w:hint="eastAsia"/>
                <w:color w:val="auto"/>
                <w:shd w:val="clear" w:color="auto" w:fill="auto"/>
                <w:lang w:eastAsia="zh-CN"/>
              </w:rPr>
              <w:t>玫瑰园</w:t>
            </w:r>
          </w:p>
        </w:tc>
        <w:tc>
          <w:tcPr>
            <w:tcW w:w="2032" w:type="dxa"/>
            <w:vAlign w:val="center"/>
          </w:tcPr>
          <w:p>
            <w:pPr>
              <w:pStyle w:val="44"/>
              <w:rPr>
                <w:rFonts w:eastAsia="宋体"/>
                <w:color w:val="auto"/>
                <w:shd w:val="clear" w:color="auto" w:fill="auto"/>
              </w:rPr>
            </w:pPr>
            <w:r>
              <w:rPr>
                <w:rFonts w:eastAsia="宋体"/>
                <w:color w:val="auto"/>
                <w:shd w:val="clear" w:color="auto" w:fill="auto"/>
              </w:rPr>
              <w:t>混凝土浇筑</w:t>
            </w:r>
          </w:p>
        </w:tc>
        <w:tc>
          <w:tcPr>
            <w:tcW w:w="1979" w:type="dxa"/>
            <w:vAlign w:val="center"/>
          </w:tcPr>
          <w:p>
            <w:pPr>
              <w:pStyle w:val="44"/>
              <w:rPr>
                <w:rFonts w:hint="default"/>
                <w:color w:val="auto"/>
                <w:shd w:val="clear" w:color="auto" w:fill="auto"/>
                <w:lang w:val="en-US" w:eastAsia="zh-CN"/>
              </w:rPr>
            </w:pPr>
            <w:r>
              <w:rPr>
                <w:rFonts w:hint="eastAsia"/>
                <w:color w:val="auto"/>
                <w:shd w:val="clear" w:color="auto" w:fill="auto"/>
                <w:lang w:val="en-US" w:eastAsia="zh-CN"/>
              </w:rPr>
              <w:t>76</w:t>
            </w:r>
          </w:p>
        </w:tc>
        <w:tc>
          <w:tcPr>
            <w:tcW w:w="952" w:type="dxa"/>
            <w:vAlign w:val="center"/>
          </w:tcPr>
          <w:p>
            <w:pPr>
              <w:pStyle w:val="44"/>
              <w:rPr>
                <w:rFonts w:hint="default"/>
                <w:color w:val="auto"/>
                <w:shd w:val="clear" w:color="auto" w:fill="auto"/>
                <w:lang w:val="en-US" w:eastAsia="zh-CN"/>
              </w:rPr>
            </w:pPr>
            <w:r>
              <w:rPr>
                <w:rFonts w:hint="eastAsia"/>
                <w:color w:val="auto"/>
                <w:shd w:val="clear" w:color="auto" w:fill="auto"/>
                <w:lang w:val="en-US" w:eastAsia="zh-CN"/>
              </w:rPr>
              <w:t>55.5</w:t>
            </w:r>
          </w:p>
        </w:tc>
        <w:tc>
          <w:tcPr>
            <w:tcW w:w="1286" w:type="dxa"/>
            <w:vAlign w:val="center"/>
          </w:tcPr>
          <w:p>
            <w:pPr>
              <w:pStyle w:val="44"/>
              <w:rPr>
                <w:rFonts w:hint="eastAsia"/>
                <w:color w:val="auto"/>
                <w:shd w:val="clear" w:color="auto" w:fill="auto"/>
                <w:lang w:val="en-US" w:eastAsia="zh-CN"/>
              </w:rPr>
            </w:pPr>
            <w:r>
              <w:rPr>
                <w:rFonts w:hint="eastAsia"/>
                <w:color w:val="auto"/>
                <w:shd w:val="clear" w:color="auto" w:fill="auto"/>
                <w:lang w:val="en-US" w:eastAsia="zh-CN"/>
              </w:rPr>
              <w:t>54.5</w:t>
            </w:r>
          </w:p>
        </w:tc>
        <w:tc>
          <w:tcPr>
            <w:tcW w:w="922" w:type="dxa"/>
            <w:vAlign w:val="center"/>
          </w:tcPr>
          <w:p>
            <w:pPr>
              <w:pStyle w:val="44"/>
              <w:rPr>
                <w:rFonts w:hint="default"/>
                <w:color w:val="auto"/>
                <w:shd w:val="clear" w:color="auto" w:fill="auto"/>
                <w:lang w:val="en-US" w:eastAsia="zh-CN"/>
              </w:rPr>
            </w:pPr>
            <w:r>
              <w:rPr>
                <w:rFonts w:hint="eastAsia"/>
                <w:color w:val="auto"/>
                <w:shd w:val="clear" w:color="auto" w:fill="auto"/>
                <w:lang w:val="en-US" w:eastAsia="zh-CN"/>
              </w:rPr>
              <w:t>58.0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316" w:type="dxa"/>
            <w:gridSpan w:val="6"/>
            <w:vAlign w:val="center"/>
          </w:tcPr>
          <w:p>
            <w:pPr>
              <w:pStyle w:val="44"/>
              <w:rPr>
                <w:rFonts w:eastAsia="宋体"/>
                <w:color w:val="auto"/>
                <w:shd w:val="clear" w:color="auto" w:fill="auto"/>
              </w:rPr>
            </w:pPr>
            <w:r>
              <w:rPr>
                <w:rFonts w:eastAsia="宋体"/>
                <w:color w:val="auto"/>
                <w:shd w:val="clear" w:color="auto" w:fill="auto"/>
              </w:rPr>
              <w:t>注：背景值取监测点位N5中最大值。</w:t>
            </w:r>
          </w:p>
        </w:tc>
      </w:tr>
    </w:tbl>
    <w:p>
      <w:pPr>
        <w:bidi w:val="0"/>
        <w:rPr>
          <w:color w:val="auto"/>
          <w:shd w:val="clear" w:color="auto" w:fill="auto"/>
        </w:rPr>
      </w:pPr>
      <w:r>
        <w:rPr>
          <w:rFonts w:hint="eastAsia"/>
          <w:color w:val="auto"/>
          <w:shd w:val="clear" w:color="auto" w:fill="auto"/>
        </w:rPr>
        <w:t>工程施工的周期相对较长、施工机械较多，距本工程较近的居民受基础和结构施工作业噪声的影响将较大，</w:t>
      </w:r>
      <w:r>
        <w:rPr>
          <w:rFonts w:hint="eastAsia"/>
          <w:color w:val="auto"/>
          <w:shd w:val="clear" w:color="auto" w:fill="auto"/>
          <w:lang w:eastAsia="zh-CN"/>
        </w:rPr>
        <w:t>但</w:t>
      </w:r>
      <w:r>
        <w:rPr>
          <w:rFonts w:hint="eastAsia"/>
          <w:color w:val="auto"/>
          <w:shd w:val="clear" w:color="auto" w:fill="auto"/>
        </w:rPr>
        <w:t>这种影响多限于夜间，且具有不连续性，故施工单位尽量减少夜间作业，合理安排高噪作业时间，</w:t>
      </w:r>
      <w:r>
        <w:rPr>
          <w:rFonts w:hint="eastAsia"/>
          <w:color w:val="auto"/>
          <w:shd w:val="clear" w:color="auto" w:fill="auto"/>
          <w:lang w:val="en-US" w:eastAsia="zh-CN"/>
        </w:rPr>
        <w:t>必要时在敏感点一侧设置移动声屏障，</w:t>
      </w:r>
      <w:r>
        <w:rPr>
          <w:rFonts w:hint="eastAsia"/>
          <w:color w:val="auto"/>
          <w:shd w:val="clear" w:color="auto" w:fill="auto"/>
        </w:rPr>
        <w:t>施工期在协调工程建设与周围居民生活的前提下，不会对附近居民生活产生明显影响。</w:t>
      </w:r>
    </w:p>
    <w:p>
      <w:pPr>
        <w:pStyle w:val="5"/>
        <w:rPr>
          <w:color w:val="auto"/>
          <w:shd w:val="clear" w:color="auto" w:fill="auto"/>
        </w:rPr>
      </w:pP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.4 施工期固体废物影响分析</w:t>
      </w:r>
    </w:p>
    <w:p>
      <w:pPr>
        <w:pStyle w:val="2"/>
        <w:ind w:firstLine="480"/>
        <w:rPr>
          <w:rFonts w:hint="eastAsia" w:eastAsia="宋体"/>
          <w:color w:val="auto"/>
          <w:shd w:val="clear" w:color="auto" w:fill="auto"/>
        </w:rPr>
      </w:pPr>
      <w:r>
        <w:rPr>
          <w:rFonts w:hint="eastAsia" w:eastAsia="宋体"/>
          <w:color w:val="auto"/>
          <w:shd w:val="clear" w:color="auto" w:fill="auto"/>
          <w:lang w:val="en-US" w:eastAsia="zh-CN"/>
        </w:rPr>
        <w:t>1、</w:t>
      </w:r>
      <w:r>
        <w:rPr>
          <w:rFonts w:hint="eastAsia" w:eastAsia="宋体"/>
          <w:color w:val="auto"/>
          <w:shd w:val="clear" w:color="auto" w:fill="auto"/>
        </w:rPr>
        <w:t>施工固废处置方案</w:t>
      </w:r>
    </w:p>
    <w:p>
      <w:pPr>
        <w:pStyle w:val="2"/>
        <w:ind w:firstLine="480"/>
        <w:rPr>
          <w:color w:val="auto"/>
          <w:shd w:val="clear" w:color="auto" w:fill="auto"/>
        </w:rPr>
      </w:pPr>
      <w:r>
        <w:rPr>
          <w:rFonts w:hint="eastAsia"/>
          <w:color w:val="auto"/>
          <w:shd w:val="clear" w:color="auto" w:fill="auto"/>
        </w:rPr>
        <w:t>施工活动中产生的固体废物主要有工程弃土、废弃的碎砖、石、砼、冲洗残渣、各类建材的包装箱、袋及生活垃圾等。建设单位应根据《建筑垃圾和工程渣土处置管理规定》要求，于开工前向渣土管理部门申报建筑垃圾和工程渣土处置计划，获批后再进行。施工过程中的建筑垃圾应进行必要的分类，以便回收可以二次利用的废物；不能利用的建筑垃圾要及时清运至专门的建筑垃圾堆放场地堆置，避免任意堆弃影响土地利用及造成二次污染等。</w:t>
      </w:r>
    </w:p>
    <w:p>
      <w:pPr>
        <w:pStyle w:val="2"/>
        <w:spacing w:line="360" w:lineRule="auto"/>
        <w:ind w:firstLine="480"/>
        <w:rPr>
          <w:rFonts w:hint="eastAsia"/>
          <w:color w:val="auto"/>
          <w:shd w:val="clear" w:color="auto" w:fill="auto"/>
        </w:rPr>
      </w:pPr>
      <w:r>
        <w:rPr>
          <w:rFonts w:hint="eastAsia"/>
          <w:color w:val="auto"/>
          <w:shd w:val="clear" w:color="auto" w:fill="auto"/>
        </w:rPr>
        <w:t>施工船舶垃圾包括船舶保养垃圾和生活垃圾，施工船舶保养垃圾废弃机器零件、脱落的漆皮和铁屑、船舶机械设备旁边的沉积物、更新的绳索等，应交由海事局认定的船舶污染物接收</w:t>
      </w:r>
      <w:r>
        <w:rPr>
          <w:rFonts w:hint="eastAsia"/>
          <w:color w:val="auto"/>
          <w:shd w:val="clear" w:color="auto" w:fill="auto"/>
          <w:lang w:eastAsia="zh-CN"/>
        </w:rPr>
        <w:t>单位</w:t>
      </w:r>
      <w:r>
        <w:rPr>
          <w:rFonts w:hint="eastAsia"/>
          <w:color w:val="auto"/>
          <w:shd w:val="clear" w:color="auto" w:fill="auto"/>
        </w:rPr>
        <w:t>接收处理。施工船舶生活垃圾与施工人员生活垃圾一起交由环卫部门处置。</w:t>
      </w:r>
    </w:p>
    <w:p>
      <w:pPr>
        <w:numPr>
          <w:ilvl w:val="0"/>
          <w:numId w:val="5"/>
        </w:numPr>
        <w:bidi w:val="0"/>
        <w:ind w:left="0" w:leftChars="0" w:firstLine="480" w:firstLineChars="200"/>
        <w:rPr>
          <w:color w:val="auto"/>
          <w:shd w:val="clear" w:color="auto" w:fill="auto"/>
          <w:lang w:val="en-US" w:eastAsia="zh-CN"/>
        </w:rPr>
      </w:pPr>
      <w:r>
        <w:rPr>
          <w:color w:val="auto"/>
          <w:shd w:val="clear" w:color="auto" w:fill="auto"/>
          <w:lang w:val="en-US" w:eastAsia="zh-CN"/>
        </w:rPr>
        <w:t>疏浚底泥处理处置方式的可行性和可靠性</w:t>
      </w:r>
    </w:p>
    <w:p>
      <w:pPr>
        <w:pStyle w:val="2"/>
        <w:numPr>
          <w:ilvl w:val="0"/>
          <w:numId w:val="0"/>
        </w:numPr>
        <w:rPr>
          <w:lang w:val="en-US" w:eastAsia="zh-CN"/>
        </w:rPr>
      </w:pPr>
      <w:r>
        <w:drawing>
          <wp:inline distT="0" distB="0" distL="114300" distR="114300">
            <wp:extent cx="5265420" cy="2966720"/>
            <wp:effectExtent l="0" t="0" r="11430" b="5080"/>
            <wp:docPr id="10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4"/>
                    <pic:cNvPicPr>
                      <a:picLocks noChangeAspect="1"/>
                    </pic:cNvPicPr>
                  </pic:nvPicPr>
                  <pic:blipFill>
                    <a:blip r:embed="rId56"/>
                    <a:stretch>
                      <a:fillRect/>
                    </a:stretch>
                  </pic:blipFill>
                  <pic:spPr>
                    <a:xfrm>
                      <a:off x="0" y="0"/>
                      <a:ext cx="5265420" cy="2966720"/>
                    </a:xfrm>
                    <a:prstGeom prst="rect">
                      <a:avLst/>
                    </a:prstGeom>
                    <a:noFill/>
                    <a:ln>
                      <a:noFill/>
                    </a:ln>
                  </pic:spPr>
                </pic:pic>
              </a:graphicData>
            </a:graphic>
          </wp:inline>
        </w:drawing>
      </w:r>
    </w:p>
    <w:p>
      <w:pPr>
        <w:numPr>
          <w:ilvl w:val="0"/>
          <w:numId w:val="0"/>
        </w:numPr>
        <w:spacing w:line="360" w:lineRule="auto"/>
        <w:ind w:firstLine="480" w:firstLineChars="200"/>
        <w:rPr>
          <w:rFonts w:hint="eastAsia" w:ascii="Times New Roman" w:hAnsi="Times New Roman" w:eastAsia="宋体" w:cs="Times New Roman"/>
          <w:color w:val="auto"/>
          <w:kern w:val="2"/>
          <w:sz w:val="24"/>
          <w:szCs w:val="24"/>
          <w:shd w:val="clear" w:color="auto" w:fill="auto"/>
          <w:lang w:val="en-US" w:eastAsia="zh-CN" w:bidi="ar-SA"/>
        </w:rPr>
      </w:pPr>
      <w:r>
        <w:rPr>
          <w:rFonts w:hint="eastAsia" w:ascii="Times New Roman" w:hAnsi="Times New Roman" w:eastAsia="宋体" w:cs="Times New Roman"/>
          <w:color w:val="auto"/>
          <w:kern w:val="2"/>
          <w:sz w:val="24"/>
          <w:szCs w:val="24"/>
          <w:shd w:val="clear" w:color="auto" w:fill="auto"/>
          <w:lang w:val="en-US" w:eastAsia="zh-CN" w:bidi="ar-SA"/>
        </w:rPr>
        <w:t>本项目</w:t>
      </w:r>
      <w:r>
        <w:rPr>
          <w:rFonts w:hint="eastAsia" w:cs="Times New Roman"/>
          <w:color w:val="auto"/>
          <w:kern w:val="2"/>
          <w:sz w:val="24"/>
          <w:szCs w:val="24"/>
          <w:shd w:val="clear" w:color="auto" w:fill="auto"/>
          <w:lang w:val="en-US" w:eastAsia="zh-CN" w:bidi="ar-SA"/>
        </w:rPr>
        <w:t>港池</w:t>
      </w:r>
      <w:r>
        <w:rPr>
          <w:rFonts w:hint="eastAsia" w:ascii="Times New Roman" w:hAnsi="Times New Roman" w:eastAsia="宋体" w:cs="Times New Roman"/>
          <w:color w:val="auto"/>
          <w:kern w:val="2"/>
          <w:sz w:val="24"/>
          <w:szCs w:val="24"/>
          <w:shd w:val="clear" w:color="auto" w:fill="auto"/>
          <w:lang w:val="en-US" w:eastAsia="zh-CN" w:bidi="ar-SA"/>
        </w:rPr>
        <w:t>疏浚产生的淤泥通过</w:t>
      </w:r>
      <w:r>
        <w:rPr>
          <w:rFonts w:hint="eastAsia" w:cs="Times New Roman"/>
          <w:color w:val="auto"/>
          <w:kern w:val="2"/>
          <w:sz w:val="24"/>
          <w:szCs w:val="24"/>
          <w:shd w:val="clear" w:color="auto" w:fill="auto"/>
          <w:lang w:val="en-US" w:eastAsia="zh-CN" w:bidi="ar-SA"/>
        </w:rPr>
        <w:t>抛泥船运输、再经</w:t>
      </w:r>
      <w:r>
        <w:rPr>
          <w:rFonts w:hint="eastAsia" w:ascii="Times New Roman" w:hAnsi="Times New Roman" w:eastAsia="宋体" w:cs="Times New Roman"/>
          <w:color w:val="auto"/>
          <w:kern w:val="2"/>
          <w:sz w:val="24"/>
          <w:szCs w:val="24"/>
          <w:shd w:val="clear" w:color="auto" w:fill="auto"/>
          <w:lang w:val="en-US" w:eastAsia="zh-CN" w:bidi="ar-SA"/>
        </w:rPr>
        <w:t>排泥管连接至弃土区冲填，避免底泥余水二次污染，处置方式可行</w:t>
      </w:r>
      <w:r>
        <w:rPr>
          <w:rFonts w:hint="eastAsia" w:cs="Times New Roman"/>
          <w:color w:val="auto"/>
          <w:kern w:val="2"/>
          <w:sz w:val="24"/>
          <w:szCs w:val="24"/>
          <w:shd w:val="clear" w:color="auto" w:fill="auto"/>
          <w:lang w:val="en-US" w:eastAsia="zh-CN" w:bidi="ar-SA"/>
        </w:rPr>
        <w:t>。抛泥运输路线平均运距1050m，运输距离较短，且水上运输沿线敏感点较少，对周边敏感点的影响较小。</w:t>
      </w:r>
      <w:r>
        <w:rPr>
          <w:rFonts w:hint="eastAsia" w:ascii="Times New Roman" w:hAnsi="Times New Roman" w:eastAsia="宋体" w:cs="Times New Roman"/>
          <w:color w:val="auto"/>
          <w:kern w:val="2"/>
          <w:sz w:val="24"/>
          <w:szCs w:val="24"/>
          <w:shd w:val="clear" w:color="auto" w:fill="auto"/>
          <w:lang w:val="en-US" w:eastAsia="zh-CN" w:bidi="ar-SA"/>
        </w:rPr>
        <w:t>根据码头区底泥现状监测结果，底泥中各</w:t>
      </w:r>
      <w:r>
        <w:rPr>
          <w:rFonts w:hint="eastAsia" w:cs="Times New Roman"/>
          <w:color w:val="auto"/>
          <w:kern w:val="2"/>
          <w:sz w:val="24"/>
          <w:szCs w:val="24"/>
          <w:shd w:val="clear" w:color="auto" w:fill="auto"/>
          <w:lang w:val="en-US" w:eastAsia="zh-CN" w:bidi="ar-SA"/>
        </w:rPr>
        <w:t>监测因子</w:t>
      </w:r>
      <w:r>
        <w:rPr>
          <w:rFonts w:hint="eastAsia" w:ascii="Times New Roman" w:hAnsi="Times New Roman" w:eastAsia="宋体" w:cs="Times New Roman"/>
          <w:color w:val="auto"/>
          <w:kern w:val="2"/>
          <w:sz w:val="24"/>
          <w:szCs w:val="24"/>
          <w:shd w:val="clear" w:color="auto" w:fill="auto"/>
          <w:lang w:val="en-US" w:eastAsia="zh-CN" w:bidi="ar-SA"/>
        </w:rPr>
        <w:t>含量均满足《土壤环境质量 建设用地土壤污染风险管控标准（试行）》（GB36600-2018）中的二级标准要求，因此不会对抛泥区现状土壤造成污染，处置方式可靠。</w:t>
      </w:r>
    </w:p>
    <w:p>
      <w:pPr>
        <w:pStyle w:val="12"/>
        <w:ind w:firstLine="480"/>
        <w:rPr>
          <w:color w:val="auto"/>
          <w:shd w:val="clear" w:color="auto" w:fill="auto"/>
        </w:rPr>
      </w:pPr>
      <w:r>
        <w:rPr>
          <w:color w:val="auto"/>
          <w:shd w:val="clear" w:color="auto" w:fill="auto"/>
        </w:rPr>
        <w:t>采取上述措施后施工期产生的固废对环境的影响较小。</w:t>
      </w:r>
    </w:p>
    <w:p>
      <w:pPr>
        <w:pStyle w:val="5"/>
        <w:rPr>
          <w:color w:val="auto"/>
          <w:shd w:val="clear" w:color="auto" w:fill="auto"/>
        </w:rPr>
      </w:pPr>
      <w:bookmarkStart w:id="299" w:name="_Toc316642041"/>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 xml:space="preserve">.5 </w:t>
      </w:r>
      <w:r>
        <w:rPr>
          <w:color w:val="auto"/>
          <w:shd w:val="clear" w:color="auto" w:fill="auto"/>
        </w:rPr>
        <w:t>施工期生态环境影响</w:t>
      </w:r>
      <w:bookmarkEnd w:id="299"/>
      <w:r>
        <w:rPr>
          <w:rFonts w:hint="eastAsia"/>
          <w:color w:val="auto"/>
          <w:shd w:val="clear" w:color="auto" w:fill="auto"/>
        </w:rPr>
        <w:t>分析</w:t>
      </w:r>
    </w:p>
    <w:p>
      <w:pPr>
        <w:ind w:firstLine="480"/>
        <w:rPr>
          <w:rFonts w:cs="Times New Roman"/>
          <w:color w:val="auto"/>
          <w:shd w:val="clear" w:color="auto" w:fill="auto"/>
        </w:rPr>
      </w:pPr>
      <w:r>
        <w:rPr>
          <w:rFonts w:cs="Times New Roman"/>
          <w:color w:val="auto"/>
          <w:shd w:val="clear" w:color="auto" w:fill="auto"/>
        </w:rPr>
        <w:t>码头建设对生态环境的影响主要来自由于土地利用格局的变化而引发的生态环境问题，由于码头人工建筑的出现，建设所在地土地利用类型发生改变，其土地生产能力、绿地调节控制能力以及生物种群数量、内部异质化程度等均会相应受到影响。本评价将从码头建设对该区域的土地利用、</w:t>
      </w:r>
      <w:r>
        <w:rPr>
          <w:color w:val="auto"/>
          <w:shd w:val="clear" w:color="auto" w:fill="auto"/>
        </w:rPr>
        <w:t>陆域生态</w:t>
      </w:r>
      <w:r>
        <w:rPr>
          <w:rFonts w:cs="Times New Roman"/>
          <w:color w:val="auto"/>
          <w:shd w:val="clear" w:color="auto" w:fill="auto"/>
        </w:rPr>
        <w:t>及</w:t>
      </w:r>
      <w:r>
        <w:rPr>
          <w:color w:val="auto"/>
          <w:shd w:val="clear" w:color="auto" w:fill="auto"/>
        </w:rPr>
        <w:t>水生生态环境与渔业资源</w:t>
      </w:r>
      <w:r>
        <w:rPr>
          <w:rFonts w:cs="Times New Roman"/>
          <w:color w:val="auto"/>
          <w:shd w:val="clear" w:color="auto" w:fill="auto"/>
        </w:rPr>
        <w:t>等几个方面的影响分别进行分析。</w:t>
      </w:r>
    </w:p>
    <w:p>
      <w:pPr>
        <w:pStyle w:val="6"/>
        <w:rPr>
          <w:color w:val="auto"/>
          <w:shd w:val="clear" w:color="auto" w:fill="auto"/>
        </w:rPr>
      </w:pP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 xml:space="preserve">.5.1 </w:t>
      </w:r>
      <w:r>
        <w:rPr>
          <w:color w:val="auto"/>
          <w:shd w:val="clear" w:color="auto" w:fill="auto"/>
        </w:rPr>
        <w:t>土地利用的影响</w:t>
      </w:r>
    </w:p>
    <w:p>
      <w:pPr>
        <w:ind w:firstLine="480"/>
        <w:rPr>
          <w:rFonts w:cs="Times New Roman"/>
          <w:color w:val="auto"/>
          <w:shd w:val="clear" w:color="auto" w:fill="auto"/>
        </w:rPr>
      </w:pPr>
      <w:r>
        <w:rPr>
          <w:rFonts w:cs="Times New Roman"/>
          <w:color w:val="auto"/>
          <w:shd w:val="clear" w:color="auto" w:fill="auto"/>
        </w:rPr>
        <w:t>本项目由于港区、码头的建设，规划实施区域的土地地貌特征将彻底改变，大部分地面将变为不可渗透和不利于植物生长的水泥混凝土地面，改变了原有的生态系统功能和结构，主要表现在：</w:t>
      </w:r>
    </w:p>
    <w:p>
      <w:pPr>
        <w:ind w:firstLine="480"/>
        <w:rPr>
          <w:rFonts w:cs="Times New Roman"/>
          <w:color w:val="auto"/>
          <w:shd w:val="clear" w:color="auto" w:fill="auto"/>
        </w:rPr>
      </w:pPr>
      <w:r>
        <w:rPr>
          <w:rFonts w:cs="Times New Roman"/>
          <w:color w:val="auto"/>
          <w:shd w:val="clear" w:color="auto" w:fill="auto"/>
        </w:rPr>
        <w:t>（1）河滩地将成为建筑用地和其他类型用地。</w:t>
      </w:r>
    </w:p>
    <w:p>
      <w:pPr>
        <w:ind w:firstLine="480"/>
        <w:rPr>
          <w:rFonts w:cs="Times New Roman"/>
          <w:color w:val="auto"/>
          <w:shd w:val="clear" w:color="auto" w:fill="auto"/>
        </w:rPr>
      </w:pPr>
      <w:r>
        <w:rPr>
          <w:rFonts w:cs="Times New Roman"/>
          <w:color w:val="auto"/>
          <w:shd w:val="clear" w:color="auto" w:fill="auto"/>
        </w:rPr>
        <w:t>（2）城市化扩大，人类活动强度加强，加大了区域生态的压力。</w:t>
      </w:r>
    </w:p>
    <w:p>
      <w:pPr>
        <w:ind w:firstLine="480"/>
        <w:rPr>
          <w:rFonts w:cs="Times New Roman"/>
          <w:color w:val="auto"/>
          <w:shd w:val="clear" w:color="auto" w:fill="auto"/>
        </w:rPr>
      </w:pPr>
      <w:r>
        <w:rPr>
          <w:rFonts w:cs="Times New Roman"/>
          <w:color w:val="auto"/>
          <w:shd w:val="clear" w:color="auto" w:fill="auto"/>
        </w:rPr>
        <w:t>（3）使该区域污染物种类、数量增加和污染面扩大，构成了对区域生境潜在威胁，生态恶化风险加大。</w:t>
      </w:r>
    </w:p>
    <w:p>
      <w:pPr>
        <w:ind w:firstLine="480"/>
        <w:rPr>
          <w:rFonts w:cs="Times New Roman"/>
          <w:color w:val="auto"/>
          <w:shd w:val="clear" w:color="auto" w:fill="auto"/>
        </w:rPr>
      </w:pPr>
      <w:r>
        <w:rPr>
          <w:rFonts w:cs="Times New Roman"/>
          <w:color w:val="auto"/>
          <w:shd w:val="clear" w:color="auto" w:fill="auto"/>
        </w:rPr>
        <w:t>（4）人工设施面积大，改变了局部地域的自然生态过程，陆生野生动植物生境改变和栖息地消失。</w:t>
      </w:r>
    </w:p>
    <w:p>
      <w:pPr>
        <w:ind w:firstLine="480"/>
        <w:rPr>
          <w:rFonts w:cs="Times New Roman"/>
          <w:color w:val="auto"/>
          <w:shd w:val="clear" w:color="auto" w:fill="auto"/>
        </w:rPr>
      </w:pPr>
      <w:r>
        <w:rPr>
          <w:rFonts w:cs="Times New Roman"/>
          <w:color w:val="auto"/>
          <w:shd w:val="clear" w:color="auto" w:fill="auto"/>
        </w:rPr>
        <w:t>（5）地面固化、硬化导致地表径流自然状态改变，增加区域内径流量，水土流失量增大。</w:t>
      </w:r>
    </w:p>
    <w:p>
      <w:pPr>
        <w:ind w:firstLine="480"/>
        <w:rPr>
          <w:rFonts w:cs="Times New Roman"/>
          <w:color w:val="auto"/>
          <w:shd w:val="clear" w:color="auto" w:fill="auto"/>
        </w:rPr>
      </w:pPr>
      <w:r>
        <w:rPr>
          <w:rFonts w:cs="Times New Roman"/>
          <w:color w:val="auto"/>
          <w:shd w:val="clear" w:color="auto" w:fill="auto"/>
        </w:rPr>
        <w:t>码头建设对项目所在区域土地类型的影响主要是土地利用类型的改变，特别是土地工业化，完全改变了原有的土地利用性质。当项目建立起来以后，区域的植物种群会发生很大变化，现有的自然植被将全部消失，人工栽培的花草树木将取而代之。</w:t>
      </w:r>
    </w:p>
    <w:p>
      <w:pPr>
        <w:pStyle w:val="6"/>
        <w:rPr>
          <w:color w:val="auto"/>
          <w:shd w:val="clear" w:color="auto" w:fill="auto"/>
        </w:rPr>
      </w:pP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 xml:space="preserve">.5.2 </w:t>
      </w:r>
      <w:r>
        <w:rPr>
          <w:color w:val="auto"/>
          <w:shd w:val="clear" w:color="auto" w:fill="auto"/>
        </w:rPr>
        <w:t>陆域生态环境影响</w:t>
      </w:r>
    </w:p>
    <w:p>
      <w:pPr>
        <w:ind w:firstLine="480"/>
        <w:rPr>
          <w:rFonts w:cs="Times New Roman"/>
          <w:color w:val="auto"/>
          <w:shd w:val="clear" w:color="auto" w:fill="auto"/>
        </w:rPr>
      </w:pPr>
      <w:r>
        <w:rPr>
          <w:rFonts w:cs="Times New Roman"/>
          <w:color w:val="auto"/>
          <w:shd w:val="clear" w:color="auto" w:fill="auto"/>
        </w:rPr>
        <w:t>码头建设将永久地改变陆域景观，对建设区域的动植物带来不利影响，并可能加重水土流失。</w:t>
      </w:r>
    </w:p>
    <w:p>
      <w:pPr>
        <w:ind w:firstLine="480"/>
        <w:rPr>
          <w:rFonts w:cs="Times New Roman"/>
          <w:color w:val="auto"/>
          <w:shd w:val="clear" w:color="auto" w:fill="auto"/>
        </w:rPr>
      </w:pPr>
      <w:r>
        <w:rPr>
          <w:rFonts w:cs="Times New Roman"/>
          <w:color w:val="auto"/>
          <w:shd w:val="clear" w:color="auto" w:fill="auto"/>
        </w:rPr>
        <w:t>（1）对植被的影响</w:t>
      </w:r>
    </w:p>
    <w:p>
      <w:pPr>
        <w:ind w:firstLine="480"/>
        <w:rPr>
          <w:rFonts w:cs="Times New Roman"/>
          <w:color w:val="auto"/>
          <w:shd w:val="clear" w:color="auto" w:fill="auto"/>
        </w:rPr>
      </w:pPr>
      <w:r>
        <w:rPr>
          <w:rFonts w:cs="Times New Roman"/>
          <w:color w:val="auto"/>
          <w:shd w:val="clear" w:color="auto" w:fill="auto"/>
        </w:rPr>
        <w:t>码头后方陆域的自然植被、道路及水塘边的树木及灌草植被因本项目的建设将基本消失，由于这些植被所占面积很小，因此，由此而带来的植被的损失也有限。码头建设完成后陆域港区四周及空地将实施植被绿化，这在一定程度上可以弥补一部分原有植被破坏带来的损失。</w:t>
      </w:r>
    </w:p>
    <w:p>
      <w:pPr>
        <w:ind w:firstLine="480"/>
        <w:rPr>
          <w:rFonts w:cs="Times New Roman"/>
          <w:color w:val="auto"/>
          <w:shd w:val="clear" w:color="auto" w:fill="auto"/>
        </w:rPr>
      </w:pPr>
      <w:r>
        <w:rPr>
          <w:rFonts w:cs="Times New Roman"/>
          <w:color w:val="auto"/>
          <w:shd w:val="clear" w:color="auto" w:fill="auto"/>
        </w:rPr>
        <w:t>（2）对动物的影响</w:t>
      </w:r>
    </w:p>
    <w:p>
      <w:pPr>
        <w:ind w:firstLine="480"/>
        <w:rPr>
          <w:rFonts w:cs="Times New Roman"/>
          <w:color w:val="auto"/>
          <w:shd w:val="clear" w:color="auto" w:fill="auto"/>
        </w:rPr>
      </w:pPr>
      <w:r>
        <w:rPr>
          <w:rFonts w:cs="Times New Roman"/>
          <w:color w:val="auto"/>
          <w:shd w:val="clear" w:color="auto" w:fill="auto"/>
        </w:rPr>
        <w:t>码头在建设期施工的打桩、机器的震动、汽车的噪音以及废水、废气将会对该地区的野生动物受到扰动，码头现状为堤外滩地，现生长各种杂草，野生动物较少，码头建设完成后，原有野生动物将基本消失。噪声可能影响鸟类的繁殖率，当鸟类栖息地昼夜24小时的等效连续A声级超过50dB(A)时鸟类繁殖密度下降，下降率为20-98%。但鸟类具备飞翔能力且附近的相似生境很多，因此，拟建码头营运期对鸟类的影响较小。如果施工人员捕鸟，将会给鸟类带来一定的危害，经调查，项目区周边无珍惜濒危动物分布，因此，工程施工对区域陆生动物影响较小。</w:t>
      </w:r>
    </w:p>
    <w:p>
      <w:pPr>
        <w:pStyle w:val="6"/>
        <w:rPr>
          <w:color w:val="auto"/>
          <w:shd w:val="clear" w:color="auto" w:fill="auto"/>
        </w:rPr>
      </w:pP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 xml:space="preserve">.5.3 </w:t>
      </w:r>
      <w:r>
        <w:rPr>
          <w:color w:val="auto"/>
          <w:shd w:val="clear" w:color="auto" w:fill="auto"/>
        </w:rPr>
        <w:t>水生生态环境与渔业资源影响分析</w:t>
      </w:r>
    </w:p>
    <w:p>
      <w:pPr>
        <w:ind w:firstLine="480"/>
        <w:rPr>
          <w:color w:val="auto"/>
          <w:shd w:val="clear" w:color="auto" w:fill="auto"/>
        </w:rPr>
      </w:pPr>
      <w:r>
        <w:rPr>
          <w:color w:val="auto"/>
          <w:shd w:val="clear" w:color="auto" w:fill="auto"/>
        </w:rPr>
        <w:t>（1）港区的建设对底栖生物的影响分析</w:t>
      </w:r>
    </w:p>
    <w:p>
      <w:pPr>
        <w:ind w:firstLine="480"/>
        <w:rPr>
          <w:color w:val="auto"/>
          <w:shd w:val="clear" w:color="auto" w:fill="auto"/>
        </w:rPr>
      </w:pPr>
      <w:r>
        <w:rPr>
          <w:color w:val="auto"/>
          <w:shd w:val="clear" w:color="auto" w:fill="auto"/>
        </w:rPr>
        <w:t>港区的建设对底栖生物最主要的影响是毁坏了底栖生物的栖息地，使底栖生物丧失了部分栖息地，栖息空间受到了影响。</w:t>
      </w:r>
    </w:p>
    <w:p>
      <w:pPr>
        <w:ind w:firstLine="480"/>
        <w:rPr>
          <w:color w:val="auto"/>
          <w:shd w:val="clear" w:color="auto" w:fill="auto"/>
        </w:rPr>
      </w:pPr>
      <w:r>
        <w:rPr>
          <w:color w:val="auto"/>
          <w:shd w:val="clear" w:color="auto" w:fill="auto"/>
        </w:rPr>
        <w:t>1）</w:t>
      </w:r>
      <w:r>
        <w:rPr>
          <w:rFonts w:hint="eastAsia"/>
          <w:color w:val="auto"/>
          <w:shd w:val="clear" w:color="auto" w:fill="auto"/>
        </w:rPr>
        <w:t>施</w:t>
      </w:r>
      <w:r>
        <w:rPr>
          <w:color w:val="auto"/>
          <w:shd w:val="clear" w:color="auto" w:fill="auto"/>
        </w:rPr>
        <w:t>工机械跑、冒、滴、漏的污油及露天机械被雨水冲刷生产的油污水，施工现场工作人员生活污水均可能对地表水产生一定影响。从而带来对水生生物的影响。底栖动物对水环境变化反应非常敏感，当水体受到污染时，底栖动物群落结构及多样性将会发生改变。</w:t>
      </w:r>
    </w:p>
    <w:p>
      <w:pPr>
        <w:ind w:firstLine="480"/>
        <w:rPr>
          <w:rFonts w:cs="Times New Roman"/>
          <w:color w:val="auto"/>
          <w:shd w:val="clear" w:color="auto" w:fill="auto"/>
        </w:rPr>
      </w:pPr>
      <w:r>
        <w:rPr>
          <w:rFonts w:cs="Times New Roman"/>
          <w:color w:val="auto"/>
          <w:shd w:val="clear" w:color="auto" w:fill="auto"/>
        </w:rPr>
        <w:t>2）悬浮扩散区的影响主要是挖掘、抛石引起局部水域悬浮物增加，降低水体透明度引起的，透明度降低会使底栖生物正常的生理过程受到影响，一些敏感种会受损、甚至消失，但施工停止后，可以恢复到接近正常水平。</w:t>
      </w:r>
    </w:p>
    <w:p>
      <w:pPr>
        <w:ind w:firstLine="480"/>
        <w:rPr>
          <w:rFonts w:cs="Times New Roman"/>
          <w:color w:val="auto"/>
          <w:shd w:val="clear" w:color="auto" w:fill="auto"/>
        </w:rPr>
      </w:pPr>
      <w:r>
        <w:rPr>
          <w:rFonts w:cs="Times New Roman"/>
          <w:color w:val="auto"/>
          <w:shd w:val="clear" w:color="auto" w:fill="auto"/>
        </w:rPr>
        <w:t>通过分析可以看出，港区的建设对底栖生物的影响主要是引起了数量上的变化，但是由于港口建设施工分步进行，每个施工阶段与本水域的总体情况相比影响面积不大，对底栖生物影响不大。另外，在个别地区，底栖生物的群落结构因为受人为活动的干扰而发生变化，会与建设前和建设后其它未受影响地区的群落有较大差别，但这种变化只是局部的，不会对整个水域的底栖生物群落产生影响。</w:t>
      </w:r>
    </w:p>
    <w:p>
      <w:pPr>
        <w:ind w:firstLine="480"/>
        <w:rPr>
          <w:rFonts w:cs="Times New Roman"/>
          <w:color w:val="auto"/>
          <w:shd w:val="clear" w:color="auto" w:fill="auto"/>
        </w:rPr>
      </w:pPr>
      <w:r>
        <w:rPr>
          <w:rFonts w:cs="Times New Roman"/>
          <w:color w:val="auto"/>
          <w:shd w:val="clear" w:color="auto" w:fill="auto"/>
        </w:rPr>
        <w:t>（2）港区建设对浮游生物的影响分析</w:t>
      </w:r>
    </w:p>
    <w:p>
      <w:pPr>
        <w:ind w:firstLine="480"/>
        <w:rPr>
          <w:rFonts w:cs="Times New Roman"/>
          <w:color w:val="auto"/>
          <w:shd w:val="clear" w:color="auto" w:fill="auto"/>
        </w:rPr>
      </w:pPr>
      <w:r>
        <w:rPr>
          <w:rFonts w:cs="Times New Roman"/>
          <w:color w:val="auto"/>
          <w:shd w:val="clear" w:color="auto" w:fill="auto"/>
        </w:rPr>
        <w:t>码头在建设过程中对浮游生物的影响主要是由于施工建设造成了水体中悬浮物质的增加。水体中悬浮物质的增加影响了水体的透光性，进而影响了浮游植物的光合作用。同时，悬浮物质的增加，对浮游动物的生长及群落结构等方面都会产生影响。因此，在港区建设过程中要注意控制悬浮物浓度，避免造成大量水生生态的损失。</w:t>
      </w:r>
    </w:p>
    <w:p>
      <w:pPr>
        <w:ind w:firstLine="480"/>
        <w:rPr>
          <w:color w:val="auto"/>
          <w:shd w:val="clear" w:color="auto" w:fill="auto"/>
        </w:rPr>
      </w:pPr>
      <w:r>
        <w:rPr>
          <w:color w:val="auto"/>
          <w:shd w:val="clear" w:color="auto" w:fill="auto"/>
        </w:rPr>
        <w:t>（3）港区的建设过程中对渔业的影响分析</w:t>
      </w:r>
    </w:p>
    <w:p>
      <w:pPr>
        <w:ind w:firstLine="480"/>
        <w:rPr>
          <w:color w:val="auto"/>
          <w:shd w:val="clear" w:color="auto" w:fill="auto"/>
        </w:rPr>
      </w:pPr>
      <w:r>
        <w:rPr>
          <w:color w:val="auto"/>
          <w:shd w:val="clear" w:color="auto" w:fill="auto"/>
        </w:rPr>
        <w:t>经现场踏勘和查阅地方资料，拟建项目水域范围内无渔业三场（鱼、虾、蟹、贝的产卵场、索饵场、越冬场）</w:t>
      </w:r>
      <w:r>
        <w:rPr>
          <w:rFonts w:hint="eastAsia"/>
          <w:color w:val="auto"/>
          <w:shd w:val="clear" w:color="auto" w:fill="auto"/>
        </w:rPr>
        <w:t>；</w:t>
      </w:r>
      <w:r>
        <w:rPr>
          <w:color w:val="auto"/>
          <w:shd w:val="clear" w:color="auto" w:fill="auto"/>
        </w:rPr>
        <w:t>评价范围内无水产种质资源保护区</w:t>
      </w:r>
      <w:r>
        <w:rPr>
          <w:rFonts w:hint="eastAsia"/>
          <w:color w:val="auto"/>
          <w:shd w:val="clear" w:color="auto" w:fill="auto"/>
        </w:rPr>
        <w:t>。</w:t>
      </w:r>
    </w:p>
    <w:p>
      <w:pPr>
        <w:ind w:firstLine="480"/>
        <w:rPr>
          <w:color w:val="auto"/>
          <w:shd w:val="clear" w:color="auto" w:fill="auto"/>
        </w:rPr>
      </w:pPr>
      <w:r>
        <w:rPr>
          <w:color w:val="auto"/>
          <w:shd w:val="clear" w:color="auto" w:fill="auto"/>
        </w:rPr>
        <w:t>港区的建设过程中对渔业产生影响的主要是悬浮泥沙。由于施工建设带来的悬浮物质增加，对水生植物和水生动物产生影响，而水生植物和动物是水生生态系统的初级和次级生产力，因此，悬浮泥沙从食物链的角度不可避免的会对鱼类和虾类的存活与生长产生抑制作用，对渔业资源带来一定的不利影响。悬浮泥沙对渔业的影响不是永久性的，而是可逆的，会随着施工结束而逐渐恢复。施工结束运营一段时间后，浮游生物和游泳生物种群数量、群落结构会发生变化而趋于复杂，生物量也会趋于增加，使生态系统恢复生机。</w:t>
      </w:r>
    </w:p>
    <w:p>
      <w:pPr>
        <w:pStyle w:val="6"/>
        <w:rPr>
          <w:color w:val="auto"/>
          <w:shd w:val="clear" w:color="auto" w:fill="auto"/>
        </w:rPr>
      </w:pPr>
      <w:bookmarkStart w:id="300" w:name="_Toc13162_WPSOffice_Level2"/>
      <w:bookmarkStart w:id="301" w:name="_Toc23268_WPSOffice_Level2"/>
      <w:r>
        <w:rPr>
          <w:rFonts w:hint="eastAsia"/>
          <w:color w:val="auto"/>
          <w:shd w:val="clear" w:color="auto" w:fill="auto"/>
          <w:lang w:val="en-US" w:eastAsia="zh-CN"/>
        </w:rPr>
        <w:t xml:space="preserve">4.2.5.4 </w:t>
      </w:r>
      <w:r>
        <w:rPr>
          <w:color w:val="auto"/>
          <w:shd w:val="clear" w:color="auto" w:fill="auto"/>
        </w:rPr>
        <w:t>弃土</w:t>
      </w:r>
      <w:r>
        <w:rPr>
          <w:rFonts w:hint="eastAsia"/>
          <w:color w:val="auto"/>
          <w:shd w:val="clear" w:color="auto" w:fill="auto"/>
        </w:rPr>
        <w:t>场</w:t>
      </w:r>
      <w:r>
        <w:rPr>
          <w:color w:val="auto"/>
          <w:shd w:val="clear" w:color="auto" w:fill="auto"/>
        </w:rPr>
        <w:t>区设置合理性分析</w:t>
      </w:r>
    </w:p>
    <w:p>
      <w:pPr>
        <w:rPr>
          <w:rFonts w:hint="eastAsia" w:eastAsia="宋体"/>
          <w:color w:val="auto"/>
          <w:shd w:val="clear" w:color="auto" w:fill="auto"/>
          <w:lang w:val="en-US" w:eastAsia="zh-CN"/>
        </w:rPr>
      </w:pPr>
      <w:r>
        <w:rPr>
          <w:rFonts w:hint="eastAsia"/>
          <w:color w:val="auto"/>
          <w:shd w:val="clear" w:color="auto" w:fill="auto"/>
          <w:lang w:val="en-US" w:eastAsia="zh-CN"/>
        </w:rPr>
        <w:t>1、</w:t>
      </w:r>
      <w:r>
        <w:rPr>
          <w:color w:val="auto"/>
          <w:shd w:val="clear" w:color="auto" w:fill="auto"/>
        </w:rPr>
        <w:t>弃土</w:t>
      </w:r>
      <w:r>
        <w:rPr>
          <w:rFonts w:hint="eastAsia"/>
          <w:color w:val="auto"/>
          <w:shd w:val="clear" w:color="auto" w:fill="auto"/>
        </w:rPr>
        <w:t>场</w:t>
      </w:r>
      <w:r>
        <w:rPr>
          <w:color w:val="auto"/>
          <w:shd w:val="clear" w:color="auto" w:fill="auto"/>
        </w:rPr>
        <w:t>区选址合理性</w:t>
      </w:r>
      <w:r>
        <w:rPr>
          <w:rFonts w:hint="eastAsia"/>
          <w:color w:val="auto"/>
          <w:shd w:val="clear" w:color="auto" w:fill="auto"/>
          <w:lang w:val="en-US" w:eastAsia="zh-CN"/>
        </w:rPr>
        <w:t>分析</w:t>
      </w:r>
    </w:p>
    <w:p>
      <w:pPr>
        <w:rPr>
          <w:color w:val="auto"/>
          <w:shd w:val="clear" w:color="auto" w:fill="auto"/>
        </w:rPr>
      </w:pPr>
      <w:r>
        <w:rPr>
          <w:rFonts w:hint="eastAsia"/>
          <w:color w:val="auto"/>
          <w:shd w:val="clear" w:color="auto" w:fill="auto"/>
        </w:rPr>
        <w:t>本工程在码头</w:t>
      </w:r>
      <w:r>
        <w:rPr>
          <w:rFonts w:hint="eastAsia"/>
          <w:color w:val="auto"/>
          <w:shd w:val="clear" w:color="auto" w:fill="auto"/>
          <w:lang w:val="en-US" w:eastAsia="zh-CN"/>
        </w:rPr>
        <w:t>后方</w:t>
      </w:r>
      <w:r>
        <w:rPr>
          <w:rFonts w:hint="eastAsia"/>
          <w:color w:val="auto"/>
          <w:shd w:val="clear" w:color="auto" w:fill="auto"/>
        </w:rPr>
        <w:t>设弃土场区一处，充分利用了现有地形，选择地势低洼坑塘，可以增大弃土区弃土容量，减少了工程占地数量，是合理可行的。经现场勘查，现状占地类型为坑塘，</w:t>
      </w:r>
      <w:r>
        <w:rPr>
          <w:color w:val="auto"/>
          <w:shd w:val="clear" w:color="auto" w:fill="auto"/>
        </w:rPr>
        <w:t>在占地上</w:t>
      </w:r>
      <w:r>
        <w:rPr>
          <w:rFonts w:hint="eastAsia"/>
          <w:color w:val="auto"/>
          <w:shd w:val="clear" w:color="auto" w:fill="auto"/>
        </w:rPr>
        <w:t>未</w:t>
      </w:r>
      <w:r>
        <w:rPr>
          <w:color w:val="auto"/>
          <w:shd w:val="clear" w:color="auto" w:fill="auto"/>
        </w:rPr>
        <w:t>占用基本农田</w:t>
      </w:r>
      <w:r>
        <w:rPr>
          <w:rFonts w:hint="eastAsia"/>
          <w:color w:val="auto"/>
          <w:shd w:val="clear" w:color="auto" w:fill="auto"/>
        </w:rPr>
        <w:t>，</w:t>
      </w:r>
      <w:r>
        <w:rPr>
          <w:color w:val="auto"/>
          <w:shd w:val="clear" w:color="auto" w:fill="auto"/>
        </w:rPr>
        <w:t>弃土区占地面积共计</w:t>
      </w:r>
      <w:r>
        <w:rPr>
          <w:rFonts w:hint="eastAsia"/>
          <w:color w:val="auto"/>
          <w:shd w:val="clear" w:color="auto" w:fill="auto"/>
          <w:lang w:eastAsia="zh-CN"/>
        </w:rPr>
        <w:t>2.78</w:t>
      </w:r>
      <w:r>
        <w:rPr>
          <w:color w:val="auto"/>
          <w:shd w:val="clear" w:color="auto" w:fill="auto"/>
        </w:rPr>
        <w:t>h</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2</w:t>
      </w:r>
      <w:r>
        <w:rPr>
          <w:rFonts w:hint="eastAsia"/>
          <w:color w:val="auto"/>
          <w:shd w:val="clear" w:color="auto" w:fill="auto"/>
        </w:rPr>
        <w:t>，</w:t>
      </w:r>
      <w:r>
        <w:rPr>
          <w:color w:val="auto"/>
          <w:shd w:val="clear" w:color="auto" w:fill="auto"/>
        </w:rPr>
        <w:t>用地性质上，适宜作为弃土</w:t>
      </w:r>
      <w:r>
        <w:rPr>
          <w:rFonts w:hint="eastAsia"/>
          <w:color w:val="auto"/>
          <w:shd w:val="clear" w:color="auto" w:fill="auto"/>
        </w:rPr>
        <w:t>场</w:t>
      </w:r>
      <w:r>
        <w:rPr>
          <w:color w:val="auto"/>
          <w:shd w:val="clear" w:color="auto" w:fill="auto"/>
        </w:rPr>
        <w:t>区用地。</w:t>
      </w:r>
    </w:p>
    <w:p>
      <w:pPr>
        <w:rPr>
          <w:color w:val="auto"/>
          <w:shd w:val="clear" w:color="auto" w:fill="auto"/>
        </w:rPr>
      </w:pPr>
      <w:r>
        <w:rPr>
          <w:rFonts w:hint="eastAsia"/>
          <w:color w:val="auto"/>
          <w:shd w:val="clear" w:color="auto" w:fill="auto"/>
        </w:rPr>
        <w:t>弃土场区与最近的居民点距离超过</w:t>
      </w:r>
      <w:r>
        <w:rPr>
          <w:rFonts w:hint="eastAsia"/>
          <w:color w:val="auto"/>
          <w:shd w:val="clear" w:color="auto" w:fill="auto"/>
          <w:lang w:val="en-US" w:eastAsia="zh-CN"/>
        </w:rPr>
        <w:t>100</w:t>
      </w:r>
      <w:r>
        <w:rPr>
          <w:rFonts w:hint="eastAsia"/>
          <w:color w:val="auto"/>
          <w:shd w:val="clear" w:color="auto" w:fill="auto"/>
          <w:lang w:eastAsia="zh-CN"/>
        </w:rPr>
        <w:t>m</w:t>
      </w:r>
      <w:r>
        <w:rPr>
          <w:rFonts w:hint="eastAsia"/>
          <w:color w:val="auto"/>
          <w:shd w:val="clear" w:color="auto" w:fill="auto"/>
        </w:rPr>
        <w:t>，不会影响周边公共设施安全</w:t>
      </w:r>
      <w:r>
        <w:rPr>
          <w:color w:val="auto"/>
          <w:shd w:val="clear" w:color="auto" w:fill="auto"/>
        </w:rPr>
        <w:t>。</w:t>
      </w:r>
    </w:p>
    <w:p>
      <w:pPr>
        <w:rPr>
          <w:color w:val="auto"/>
          <w:shd w:val="clear" w:color="auto" w:fill="auto"/>
        </w:rPr>
      </w:pPr>
      <w:r>
        <w:rPr>
          <w:rFonts w:hint="eastAsia"/>
          <w:color w:val="auto"/>
          <w:shd w:val="clear" w:color="auto" w:fill="auto"/>
          <w:lang w:val="en-US" w:eastAsia="zh-CN"/>
        </w:rPr>
        <w:t>2、</w:t>
      </w:r>
      <w:r>
        <w:rPr>
          <w:color w:val="auto"/>
          <w:shd w:val="clear" w:color="auto" w:fill="auto"/>
        </w:rPr>
        <w:t>弃土</w:t>
      </w:r>
      <w:r>
        <w:rPr>
          <w:rFonts w:hint="eastAsia"/>
          <w:color w:val="auto"/>
          <w:shd w:val="clear" w:color="auto" w:fill="auto"/>
        </w:rPr>
        <w:t>场</w:t>
      </w:r>
      <w:r>
        <w:rPr>
          <w:color w:val="auto"/>
          <w:shd w:val="clear" w:color="auto" w:fill="auto"/>
        </w:rPr>
        <w:t>区容量合理性分析</w:t>
      </w:r>
    </w:p>
    <w:p>
      <w:pPr>
        <w:rPr>
          <w:color w:val="auto"/>
          <w:shd w:val="clear" w:color="auto" w:fill="auto"/>
        </w:rPr>
      </w:pPr>
      <w:r>
        <w:rPr>
          <w:rFonts w:hint="eastAsia"/>
          <w:color w:val="auto"/>
          <w:shd w:val="clear" w:color="auto" w:fill="auto"/>
        </w:rPr>
        <w:t>经核算，工程</w:t>
      </w:r>
      <w:r>
        <w:rPr>
          <w:color w:val="auto"/>
          <w:shd w:val="clear" w:color="auto" w:fill="auto"/>
        </w:rPr>
        <w:t>弃土量</w:t>
      </w:r>
      <w:r>
        <w:rPr>
          <w:rFonts w:hint="eastAsia"/>
          <w:color w:val="auto"/>
          <w:shd w:val="clear" w:color="auto" w:fill="auto"/>
          <w:lang w:val="en-US" w:eastAsia="zh-CN"/>
        </w:rPr>
        <w:t>6.56</w:t>
      </w:r>
      <w:r>
        <w:rPr>
          <w:color w:val="auto"/>
          <w:shd w:val="clear" w:color="auto" w:fill="auto"/>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w:t>
      </w:r>
      <w:r>
        <w:rPr>
          <w:rFonts w:hint="eastAsia"/>
          <w:color w:val="auto"/>
          <w:shd w:val="clear" w:color="auto" w:fill="auto"/>
        </w:rPr>
        <w:t>弃土场弃</w:t>
      </w:r>
      <w:r>
        <w:rPr>
          <w:color w:val="auto"/>
          <w:shd w:val="clear" w:color="auto" w:fill="auto"/>
        </w:rPr>
        <w:t>土容量共计</w:t>
      </w:r>
      <w:r>
        <w:rPr>
          <w:rFonts w:hint="eastAsia"/>
          <w:color w:val="auto"/>
          <w:shd w:val="clear" w:color="auto" w:fill="auto"/>
        </w:rPr>
        <w:t>约</w:t>
      </w:r>
      <w:r>
        <w:rPr>
          <w:rFonts w:hint="eastAsia"/>
          <w:color w:val="auto"/>
          <w:shd w:val="clear" w:color="auto" w:fill="auto"/>
          <w:lang w:val="en-US" w:eastAsia="zh-CN"/>
        </w:rPr>
        <w:t>6.95</w:t>
      </w:r>
      <w:r>
        <w:rPr>
          <w:color w:val="auto"/>
          <w:shd w:val="clear" w:color="auto" w:fill="auto"/>
        </w:rPr>
        <w:t>万</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，弃土容量大于弃土量，且弃土容量/弃土量约为1.</w:t>
      </w:r>
      <w:r>
        <w:rPr>
          <w:rFonts w:hint="eastAsia"/>
          <w:color w:val="auto"/>
          <w:shd w:val="clear" w:color="auto" w:fill="auto"/>
          <w:lang w:val="en-US" w:eastAsia="zh-CN"/>
        </w:rPr>
        <w:t>06</w:t>
      </w:r>
      <w:r>
        <w:rPr>
          <w:color w:val="auto"/>
          <w:shd w:val="clear" w:color="auto" w:fill="auto"/>
        </w:rPr>
        <w:t>左右</w:t>
      </w:r>
      <w:r>
        <w:rPr>
          <w:rFonts w:hint="eastAsia"/>
          <w:color w:val="auto"/>
          <w:shd w:val="clear" w:color="auto" w:fill="auto"/>
        </w:rPr>
        <w:t>。弃土区在</w:t>
      </w:r>
      <w:r>
        <w:rPr>
          <w:color w:val="auto"/>
          <w:shd w:val="clear" w:color="auto" w:fill="auto"/>
        </w:rPr>
        <w:t>满足</w:t>
      </w:r>
      <w:r>
        <w:rPr>
          <w:rFonts w:hint="eastAsia"/>
          <w:color w:val="auto"/>
          <w:shd w:val="clear" w:color="auto" w:fill="auto"/>
        </w:rPr>
        <w:t>弃土需求</w:t>
      </w:r>
      <w:r>
        <w:rPr>
          <w:color w:val="auto"/>
          <w:shd w:val="clear" w:color="auto" w:fill="auto"/>
        </w:rPr>
        <w:t>的同时尽量减小了弃土区占地。</w:t>
      </w:r>
    </w:p>
    <w:p>
      <w:pPr>
        <w:rPr>
          <w:color w:val="auto"/>
          <w:shd w:val="clear" w:color="auto" w:fill="auto"/>
        </w:rPr>
      </w:pPr>
      <w:r>
        <w:rPr>
          <w:rFonts w:hint="eastAsia"/>
          <w:color w:val="auto"/>
          <w:shd w:val="clear" w:color="auto" w:fill="auto"/>
          <w:lang w:val="en-US" w:eastAsia="zh-CN"/>
        </w:rPr>
        <w:t>3、</w:t>
      </w:r>
      <w:r>
        <w:rPr>
          <w:color w:val="auto"/>
          <w:shd w:val="clear" w:color="auto" w:fill="auto"/>
        </w:rPr>
        <w:t>弃土</w:t>
      </w:r>
      <w:r>
        <w:rPr>
          <w:rFonts w:hint="eastAsia"/>
          <w:color w:val="auto"/>
          <w:shd w:val="clear" w:color="auto" w:fill="auto"/>
        </w:rPr>
        <w:t>场</w:t>
      </w:r>
      <w:r>
        <w:rPr>
          <w:color w:val="auto"/>
          <w:shd w:val="clear" w:color="auto" w:fill="auto"/>
        </w:rPr>
        <w:t>区后期规划</w:t>
      </w:r>
    </w:p>
    <w:p>
      <w:pPr>
        <w:rPr>
          <w:color w:val="auto"/>
          <w:shd w:val="clear" w:color="auto" w:fill="auto"/>
        </w:rPr>
      </w:pPr>
      <w:r>
        <w:rPr>
          <w:rFonts w:hint="eastAsia"/>
          <w:color w:val="auto"/>
          <w:shd w:val="clear" w:color="auto" w:fill="auto"/>
        </w:rPr>
        <w:t>弃土场区</w:t>
      </w:r>
      <w:r>
        <w:rPr>
          <w:color w:val="auto"/>
          <w:shd w:val="clear" w:color="auto" w:fill="auto"/>
        </w:rPr>
        <w:t>现状</w:t>
      </w:r>
      <w:r>
        <w:rPr>
          <w:rFonts w:hint="eastAsia"/>
          <w:color w:val="auto"/>
          <w:shd w:val="clear" w:color="auto" w:fill="auto"/>
        </w:rPr>
        <w:t>占地类型为坑塘，本</w:t>
      </w:r>
      <w:r>
        <w:rPr>
          <w:rFonts w:hint="eastAsia"/>
          <w:color w:val="auto"/>
          <w:shd w:val="clear" w:color="auto" w:fill="auto"/>
          <w:lang w:val="en-US" w:eastAsia="zh-CN"/>
        </w:rPr>
        <w:t>评价</w:t>
      </w:r>
      <w:r>
        <w:rPr>
          <w:rFonts w:hint="eastAsia"/>
          <w:color w:val="auto"/>
          <w:shd w:val="clear" w:color="auto" w:fill="auto"/>
        </w:rPr>
        <w:t>建议弃土结束后将弃土场区整体复</w:t>
      </w:r>
      <w:r>
        <w:rPr>
          <w:rFonts w:hint="eastAsia"/>
          <w:color w:val="auto"/>
          <w:shd w:val="clear" w:color="auto" w:fill="auto"/>
          <w:lang w:eastAsia="zh-CN"/>
        </w:rPr>
        <w:t>绿</w:t>
      </w:r>
      <w:r>
        <w:rPr>
          <w:color w:val="auto"/>
          <w:shd w:val="clear" w:color="auto" w:fill="auto"/>
        </w:rPr>
        <w:t>。待弃土结束后，将</w:t>
      </w:r>
      <w:r>
        <w:rPr>
          <w:rFonts w:hint="eastAsia"/>
          <w:color w:val="auto"/>
          <w:shd w:val="clear" w:color="auto" w:fill="auto"/>
        </w:rPr>
        <w:t>后方陆域区剥离表土全部</w:t>
      </w:r>
      <w:r>
        <w:rPr>
          <w:color w:val="auto"/>
          <w:shd w:val="clear" w:color="auto" w:fill="auto"/>
        </w:rPr>
        <w:t>回覆至弃土</w:t>
      </w:r>
      <w:r>
        <w:rPr>
          <w:rFonts w:hint="eastAsia"/>
          <w:color w:val="auto"/>
          <w:shd w:val="clear" w:color="auto" w:fill="auto"/>
        </w:rPr>
        <w:t>场</w:t>
      </w:r>
      <w:r>
        <w:rPr>
          <w:color w:val="auto"/>
          <w:shd w:val="clear" w:color="auto" w:fill="auto"/>
        </w:rPr>
        <w:t>区表层，进行土地整治，使其土质能够满足</w:t>
      </w:r>
      <w:r>
        <w:rPr>
          <w:rFonts w:hint="eastAsia"/>
          <w:color w:val="auto"/>
          <w:shd w:val="clear" w:color="auto" w:fill="auto"/>
        </w:rPr>
        <w:t>复</w:t>
      </w:r>
      <w:r>
        <w:rPr>
          <w:rFonts w:hint="eastAsia"/>
          <w:color w:val="auto"/>
          <w:shd w:val="clear" w:color="auto" w:fill="auto"/>
          <w:lang w:eastAsia="zh-CN"/>
        </w:rPr>
        <w:t>绿</w:t>
      </w:r>
      <w:r>
        <w:rPr>
          <w:color w:val="auto"/>
          <w:shd w:val="clear" w:color="auto" w:fill="auto"/>
        </w:rPr>
        <w:t>的基本要求。</w:t>
      </w:r>
    </w:p>
    <w:p>
      <w:pPr>
        <w:rPr>
          <w:rFonts w:hint="eastAsia"/>
          <w:color w:val="auto"/>
          <w:shd w:val="clear" w:color="auto" w:fill="auto"/>
          <w:lang w:val="en-US" w:eastAsia="zh-CN"/>
        </w:rPr>
      </w:pPr>
      <w:r>
        <w:rPr>
          <w:color w:val="auto"/>
          <w:shd w:val="clear" w:color="auto" w:fill="auto"/>
        </w:rPr>
        <w:t>综上，弃土</w:t>
      </w:r>
      <w:r>
        <w:rPr>
          <w:rFonts w:hint="eastAsia"/>
          <w:color w:val="auto"/>
          <w:shd w:val="clear" w:color="auto" w:fill="auto"/>
        </w:rPr>
        <w:t>场</w:t>
      </w:r>
      <w:r>
        <w:rPr>
          <w:color w:val="auto"/>
          <w:shd w:val="clear" w:color="auto" w:fill="auto"/>
        </w:rPr>
        <w:t>区选址</w:t>
      </w:r>
      <w:r>
        <w:rPr>
          <w:rFonts w:hint="eastAsia"/>
          <w:color w:val="auto"/>
          <w:shd w:val="clear" w:color="auto" w:fill="auto"/>
          <w:lang w:val="en-US" w:eastAsia="zh-CN"/>
        </w:rPr>
        <w:t>合理</w:t>
      </w:r>
      <w:r>
        <w:rPr>
          <w:color w:val="auto"/>
          <w:shd w:val="clear" w:color="auto" w:fill="auto"/>
        </w:rPr>
        <w:t>。</w:t>
      </w:r>
    </w:p>
    <w:p>
      <w:pPr>
        <w:pStyle w:val="4"/>
        <w:bidi w:val="0"/>
      </w:pPr>
      <w:bookmarkStart w:id="302" w:name="_Toc8730"/>
      <w:r>
        <w:rPr>
          <w:rFonts w:hint="eastAsia"/>
          <w:lang w:val="en-US" w:eastAsia="zh-CN"/>
        </w:rPr>
        <w:t>4</w:t>
      </w:r>
      <w:r>
        <w:rPr>
          <w:rFonts w:hint="eastAsia"/>
        </w:rPr>
        <w:t>.</w:t>
      </w:r>
      <w:r>
        <w:rPr>
          <w:rFonts w:hint="eastAsia"/>
          <w:lang w:val="en-US" w:eastAsia="zh-CN"/>
        </w:rPr>
        <w:t>3</w:t>
      </w:r>
      <w:r>
        <w:rPr>
          <w:rFonts w:hint="eastAsia"/>
        </w:rPr>
        <w:t xml:space="preserve"> 营运期环境影响分析</w:t>
      </w:r>
      <w:bookmarkEnd w:id="300"/>
      <w:bookmarkEnd w:id="301"/>
      <w:bookmarkEnd w:id="302"/>
    </w:p>
    <w:p>
      <w:pPr>
        <w:pStyle w:val="5"/>
        <w:rPr>
          <w:color w:val="auto"/>
          <w:shd w:val="clear" w:color="auto" w:fill="auto"/>
        </w:rPr>
      </w:pP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3</w:t>
      </w:r>
      <w:r>
        <w:rPr>
          <w:rFonts w:hint="eastAsia"/>
          <w:color w:val="auto"/>
          <w:shd w:val="clear" w:color="auto" w:fill="auto"/>
        </w:rPr>
        <w:t>.1 营运期大气</w:t>
      </w:r>
      <w:r>
        <w:rPr>
          <w:color w:val="auto"/>
          <w:shd w:val="clear" w:color="auto" w:fill="auto"/>
        </w:rPr>
        <w:t>环境影响分析</w:t>
      </w:r>
    </w:p>
    <w:p>
      <w:pPr>
        <w:pStyle w:val="6"/>
        <w:rPr>
          <w:color w:val="auto"/>
        </w:rPr>
      </w:pPr>
      <w:bookmarkStart w:id="303" w:name="_Toc316642046"/>
      <w:r>
        <w:rPr>
          <w:rFonts w:hint="eastAsia"/>
          <w:color w:val="auto"/>
        </w:rPr>
        <w:t>4.2.1</w:t>
      </w:r>
      <w:r>
        <w:rPr>
          <w:color w:val="auto"/>
        </w:rPr>
        <w:t>.1</w:t>
      </w:r>
      <w:r>
        <w:rPr>
          <w:rFonts w:hint="eastAsia"/>
          <w:color w:val="auto"/>
        </w:rPr>
        <w:t xml:space="preserve"> </w:t>
      </w:r>
      <w:r>
        <w:rPr>
          <w:color w:val="auto"/>
        </w:rPr>
        <w:t>污染气象特征分析</w:t>
      </w:r>
    </w:p>
    <w:p>
      <w:pPr>
        <w:ind w:firstLine="480"/>
      </w:pPr>
      <w:r>
        <w:rPr>
          <w:rFonts w:hint="eastAsia"/>
        </w:rPr>
        <w:t>（1）</w:t>
      </w:r>
      <w:r>
        <w:t>资料来源</w:t>
      </w:r>
    </w:p>
    <w:p>
      <w:pPr>
        <w:ind w:firstLine="480"/>
      </w:pPr>
      <w:r>
        <w:t>本次评价所采用的地面气象资料来自阜阳市气象站的1996-2015年的观测记录。阜阳市气象观测站基本资料见表</w:t>
      </w:r>
      <w:r>
        <w:rPr>
          <w:rFonts w:hint="eastAsia"/>
        </w:rPr>
        <w:t>4</w:t>
      </w:r>
      <w:r>
        <w:t>.</w:t>
      </w:r>
      <w:r>
        <w:rPr>
          <w:rFonts w:hint="eastAsia"/>
        </w:rPr>
        <w:t>2</w:t>
      </w:r>
      <w:r>
        <w:t>-1。</w:t>
      </w:r>
    </w:p>
    <w:p>
      <w:pPr>
        <w:ind w:firstLine="0" w:firstLineChars="0"/>
        <w:jc w:val="center"/>
        <w:rPr>
          <w:rFonts w:ascii="黑体" w:hAnsi="黑体" w:eastAsia="黑体" w:cs="黑体"/>
        </w:rPr>
      </w:pPr>
      <w:r>
        <w:rPr>
          <w:rFonts w:hint="eastAsia" w:ascii="黑体" w:hAnsi="黑体" w:eastAsia="黑体" w:cs="黑体"/>
        </w:rPr>
        <w:t>表</w:t>
      </w:r>
      <w:r>
        <w:rPr>
          <w:rFonts w:hint="eastAsia" w:eastAsia="黑体"/>
        </w:rPr>
        <w:t>4</w:t>
      </w:r>
      <w:r>
        <w:t>.</w:t>
      </w:r>
      <w:r>
        <w:rPr>
          <w:rFonts w:hint="eastAsia"/>
        </w:rPr>
        <w:t>2</w:t>
      </w:r>
      <w:r>
        <w:t>-1</w:t>
      </w:r>
      <w:r>
        <w:rPr>
          <w:rFonts w:hint="eastAsia" w:ascii="黑体" w:hAnsi="黑体" w:eastAsia="黑体" w:cs="黑体"/>
        </w:rPr>
        <w:t xml:space="preserve">  阜阳市气象观测站基本资料一览表</w:t>
      </w:r>
    </w:p>
    <w:tbl>
      <w:tblPr>
        <w:tblStyle w:val="26"/>
        <w:tblW w:w="8537" w:type="dxa"/>
        <w:jc w:val="center"/>
        <w:tblLayout w:type="fixed"/>
        <w:tblCellMar>
          <w:top w:w="0" w:type="dxa"/>
          <w:left w:w="108" w:type="dxa"/>
          <w:bottom w:w="0" w:type="dxa"/>
          <w:right w:w="108" w:type="dxa"/>
        </w:tblCellMar>
      </w:tblPr>
      <w:tblGrid>
        <w:gridCol w:w="2856"/>
        <w:gridCol w:w="2839"/>
        <w:gridCol w:w="2842"/>
      </w:tblGrid>
      <w:tr>
        <w:tblPrEx>
          <w:tblCellMar>
            <w:top w:w="0" w:type="dxa"/>
            <w:left w:w="108" w:type="dxa"/>
            <w:bottom w:w="0" w:type="dxa"/>
            <w:right w:w="108" w:type="dxa"/>
          </w:tblCellMar>
        </w:tblPrEx>
        <w:trPr>
          <w:trHeight w:val="340" w:hRule="atLeast"/>
          <w:jc w:val="center"/>
        </w:trPr>
        <w:tc>
          <w:tcPr>
            <w:tcW w:w="2856" w:type="dxa"/>
            <w:tcBorders>
              <w:top w:val="single" w:color="000000" w:sz="12"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Station:</w:t>
            </w:r>
          </w:p>
        </w:tc>
        <w:tc>
          <w:tcPr>
            <w:tcW w:w="2839"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(站点编号)</w:t>
            </w:r>
          </w:p>
        </w:tc>
        <w:tc>
          <w:tcPr>
            <w:tcW w:w="2842" w:type="dxa"/>
            <w:tcBorders>
              <w:top w:val="single" w:color="000000" w:sz="12"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58203</w:t>
            </w:r>
          </w:p>
        </w:tc>
      </w:tr>
      <w:tr>
        <w:tblPrEx>
          <w:tblCellMar>
            <w:top w:w="0" w:type="dxa"/>
            <w:left w:w="108" w:type="dxa"/>
            <w:bottom w:w="0" w:type="dxa"/>
            <w:right w:w="108" w:type="dxa"/>
          </w:tblCellMar>
        </w:tblPrEx>
        <w:trPr>
          <w:trHeight w:val="340" w:hRule="atLeast"/>
          <w:jc w:val="center"/>
        </w:trPr>
        <w:tc>
          <w:tcPr>
            <w:tcW w:w="2856"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UTC:</w:t>
            </w:r>
          </w:p>
        </w:tc>
        <w:tc>
          <w:tcPr>
            <w:tcW w:w="2839"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(时区)</w:t>
            </w:r>
          </w:p>
        </w:tc>
        <w:tc>
          <w:tcPr>
            <w:tcW w:w="2842"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东八区</w:t>
            </w:r>
          </w:p>
        </w:tc>
      </w:tr>
      <w:tr>
        <w:tblPrEx>
          <w:tblCellMar>
            <w:top w:w="0" w:type="dxa"/>
            <w:left w:w="108" w:type="dxa"/>
            <w:bottom w:w="0" w:type="dxa"/>
            <w:right w:w="108" w:type="dxa"/>
          </w:tblCellMar>
        </w:tblPrEx>
        <w:trPr>
          <w:trHeight w:val="340" w:hRule="atLeast"/>
          <w:jc w:val="center"/>
        </w:trPr>
        <w:tc>
          <w:tcPr>
            <w:tcW w:w="2856"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Lat:</w:t>
            </w:r>
          </w:p>
        </w:tc>
        <w:tc>
          <w:tcPr>
            <w:tcW w:w="2839"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(经度)</w:t>
            </w:r>
          </w:p>
        </w:tc>
        <w:tc>
          <w:tcPr>
            <w:tcW w:w="2842"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115°44′</w:t>
            </w:r>
          </w:p>
        </w:tc>
      </w:tr>
      <w:tr>
        <w:tblPrEx>
          <w:tblCellMar>
            <w:top w:w="0" w:type="dxa"/>
            <w:left w:w="108" w:type="dxa"/>
            <w:bottom w:w="0" w:type="dxa"/>
            <w:right w:w="108" w:type="dxa"/>
          </w:tblCellMar>
        </w:tblPrEx>
        <w:trPr>
          <w:trHeight w:val="340" w:hRule="atLeast"/>
          <w:jc w:val="center"/>
        </w:trPr>
        <w:tc>
          <w:tcPr>
            <w:tcW w:w="2856"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Long:</w:t>
            </w:r>
          </w:p>
        </w:tc>
        <w:tc>
          <w:tcPr>
            <w:tcW w:w="2839"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(纬度)</w:t>
            </w:r>
          </w:p>
        </w:tc>
        <w:tc>
          <w:tcPr>
            <w:tcW w:w="2842"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32°52′</w:t>
            </w:r>
          </w:p>
        </w:tc>
      </w:tr>
      <w:tr>
        <w:tblPrEx>
          <w:tblCellMar>
            <w:top w:w="0" w:type="dxa"/>
            <w:left w:w="108" w:type="dxa"/>
            <w:bottom w:w="0" w:type="dxa"/>
            <w:right w:w="108" w:type="dxa"/>
          </w:tblCellMar>
        </w:tblPrEx>
        <w:trPr>
          <w:trHeight w:val="340" w:hRule="atLeast"/>
          <w:jc w:val="center"/>
        </w:trPr>
        <w:tc>
          <w:tcPr>
            <w:tcW w:w="2856" w:type="dxa"/>
            <w:tcBorders>
              <w:top w:val="single" w:color="000000" w:sz="4" w:space="0"/>
              <w:left w:val="nil"/>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Station Elevation:</w:t>
            </w:r>
          </w:p>
        </w:tc>
        <w:tc>
          <w:tcPr>
            <w:tcW w:w="2839"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(测点海拔高度)</w:t>
            </w:r>
          </w:p>
        </w:tc>
        <w:tc>
          <w:tcPr>
            <w:tcW w:w="2842" w:type="dxa"/>
            <w:tcBorders>
              <w:top w:val="single" w:color="000000" w:sz="4" w:space="0"/>
              <w:left w:val="single" w:color="000000" w:sz="4" w:space="0"/>
              <w:bottom w:val="single" w:color="000000" w:sz="12"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32.7 米</w:t>
            </w:r>
          </w:p>
        </w:tc>
      </w:tr>
    </w:tbl>
    <w:p>
      <w:pPr>
        <w:ind w:firstLine="480"/>
      </w:pPr>
      <w:r>
        <w:rPr>
          <w:rFonts w:hint="eastAsia"/>
        </w:rPr>
        <w:t>（2）</w:t>
      </w:r>
      <w:r>
        <w:t>气候特征</w:t>
      </w:r>
    </w:p>
    <w:p>
      <w:pPr>
        <w:ind w:firstLine="480"/>
      </w:pPr>
      <w:r>
        <w:t>阜阳市地处中纬度，属于暖温带半湿润性的季风性气候，四季分明，光照充足。冬季主要受蒙古变性冷高压制，气候寒冷，雨雪稀少；夏季主要受太平洋副热带高压和大陆低压的共同影响，天气炎热，雨水充沛；春季为冬转夏的过渡性季节，气旋活动频繁，天气变化异常；秋季为夏转冬的过渡性季节，地面被北冷高压所控制，但高空仍有副热 带高压维持，秋高气爽，多睛少雨。主要气象要素的特征如下：全年无霜期为215.4天，年平均气温15.4℃，年平均气压1013.4  毫巴。历年平均降雨量为886.5</w:t>
      </w:r>
      <w:r>
        <w:rPr>
          <w:rFonts w:hint="eastAsia"/>
          <w:lang w:eastAsia="zh-CN"/>
        </w:rPr>
        <w:t>mm</w:t>
      </w:r>
      <w:r>
        <w:t>，多年最大降水量为1428.1</w:t>
      </w:r>
      <w:r>
        <w:rPr>
          <w:rFonts w:hint="eastAsia"/>
          <w:lang w:eastAsia="zh-CN"/>
        </w:rPr>
        <w:t>mm</w:t>
      </w:r>
      <w:r>
        <w:t>，年均相对湿度74%，全年主导风向为东北风，东南风次之，年静风频率为4.18%，年平均风速2.31</w:t>
      </w:r>
      <w:r>
        <w:rPr>
          <w:rFonts w:hint="eastAsia"/>
          <w:lang w:eastAsia="zh-CN"/>
        </w:rPr>
        <w:t>m</w:t>
      </w:r>
      <w:r>
        <w:t>/s，年最大风速为23</w:t>
      </w:r>
      <w:r>
        <w:rPr>
          <w:rFonts w:hint="eastAsia"/>
          <w:lang w:eastAsia="zh-CN"/>
        </w:rPr>
        <w:t>m</w:t>
      </w:r>
      <w:r>
        <w:t>/s，年平均日照时间为2166.2小时。</w:t>
      </w:r>
    </w:p>
    <w:p>
      <w:pPr>
        <w:ind w:firstLine="480"/>
      </w:pPr>
      <w:r>
        <w:rPr>
          <w:rFonts w:hint="eastAsia"/>
        </w:rPr>
        <w:t>（3）</w:t>
      </w:r>
      <w:r>
        <w:t>温度</w:t>
      </w:r>
    </w:p>
    <w:p>
      <w:pPr>
        <w:ind w:firstLine="480"/>
      </w:pPr>
      <w:r>
        <w:t>全年平均气温为15.4℃，阜阳市平均温度的变化情况见表</w:t>
      </w:r>
      <w:r>
        <w:rPr>
          <w:rFonts w:hint="eastAsia"/>
        </w:rPr>
        <w:t>4</w:t>
      </w:r>
      <w:r>
        <w:t>.</w:t>
      </w:r>
      <w:r>
        <w:rPr>
          <w:rFonts w:hint="eastAsia"/>
        </w:rPr>
        <w:t>2</w:t>
      </w:r>
      <w:r>
        <w:t>-2。</w:t>
      </w:r>
    </w:p>
    <w:p>
      <w:pPr>
        <w:ind w:firstLine="0" w:firstLineChars="0"/>
        <w:jc w:val="center"/>
        <w:rPr>
          <w:rFonts w:ascii="黑体" w:hAnsi="黑体" w:eastAsia="黑体" w:cs="黑体"/>
        </w:rPr>
      </w:pPr>
      <w:r>
        <w:rPr>
          <w:rFonts w:ascii="黑体" w:hAnsi="黑体" w:eastAsia="黑体" w:cs="黑体"/>
        </w:rPr>
        <w:t>表</w:t>
      </w:r>
      <w:r>
        <w:rPr>
          <w:rFonts w:hint="eastAsia" w:eastAsia="黑体"/>
        </w:rPr>
        <w:t>4</w:t>
      </w:r>
      <w:r>
        <w:t>.</w:t>
      </w:r>
      <w:r>
        <w:rPr>
          <w:rFonts w:hint="eastAsia"/>
        </w:rPr>
        <w:t>2</w:t>
      </w:r>
      <w:r>
        <w:t>-2</w:t>
      </w:r>
      <w:r>
        <w:rPr>
          <w:rFonts w:hint="eastAsia"/>
        </w:rPr>
        <w:t xml:space="preserve"> </w:t>
      </w:r>
      <w:r>
        <w:rPr>
          <w:rFonts w:ascii="黑体" w:hAnsi="黑体" w:eastAsia="黑体" w:cs="黑体"/>
        </w:rPr>
        <w:t xml:space="preserve"> 阜阳市温度变化统计表</w:t>
      </w:r>
      <w:r>
        <w:rPr>
          <w:rFonts w:ascii="黑体" w:hAnsi="黑体" w:eastAsia="黑体" w:cs="黑体"/>
        </w:rPr>
        <w:tab/>
      </w:r>
      <w:r>
        <w:rPr>
          <w:rFonts w:ascii="黑体" w:hAnsi="黑体" w:eastAsia="黑体" w:cs="黑体"/>
        </w:rPr>
        <w:t>单位：℃</w:t>
      </w:r>
    </w:p>
    <w:p>
      <w:pPr>
        <w:spacing w:before="1" w:line="60" w:lineRule="exact"/>
        <w:ind w:firstLine="120"/>
        <w:jc w:val="left"/>
        <w:rPr>
          <w:rFonts w:ascii="Microsoft JhengHei" w:hAnsi="Microsoft JhengHei" w:eastAsia="Microsoft JhengHei"/>
          <w:sz w:val="6"/>
        </w:rPr>
      </w:pPr>
    </w:p>
    <w:tbl>
      <w:tblPr>
        <w:tblStyle w:val="26"/>
        <w:tblW w:w="8522" w:type="dxa"/>
        <w:tblInd w:w="0" w:type="dxa"/>
        <w:tblLayout w:type="fixed"/>
        <w:tblCellMar>
          <w:top w:w="0" w:type="dxa"/>
          <w:left w:w="108" w:type="dxa"/>
          <w:bottom w:w="0" w:type="dxa"/>
          <w:right w:w="108" w:type="dxa"/>
        </w:tblCellMar>
      </w:tblPr>
      <w:tblGrid>
        <w:gridCol w:w="766"/>
        <w:gridCol w:w="535"/>
        <w:gridCol w:w="535"/>
        <w:gridCol w:w="535"/>
        <w:gridCol w:w="628"/>
        <w:gridCol w:w="628"/>
        <w:gridCol w:w="628"/>
        <w:gridCol w:w="628"/>
        <w:gridCol w:w="628"/>
        <w:gridCol w:w="628"/>
        <w:gridCol w:w="628"/>
        <w:gridCol w:w="629"/>
        <w:gridCol w:w="585"/>
        <w:gridCol w:w="541"/>
      </w:tblGrid>
      <w:tr>
        <w:tblPrEx>
          <w:tblCellMar>
            <w:top w:w="0" w:type="dxa"/>
            <w:left w:w="108" w:type="dxa"/>
            <w:bottom w:w="0" w:type="dxa"/>
            <w:right w:w="108" w:type="dxa"/>
          </w:tblCellMar>
        </w:tblPrEx>
        <w:trPr>
          <w:trHeight w:val="340" w:hRule="atLeast"/>
        </w:trPr>
        <w:tc>
          <w:tcPr>
            <w:tcW w:w="766" w:type="dxa"/>
            <w:tcBorders>
              <w:top w:val="single" w:color="000000" w:sz="12"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ascii="Microsoft JhengHei Light" w:hAnsi="Microsoft JhengHei Light" w:eastAsia="Microsoft JhengHei Light"/>
                <w:sz w:val="18"/>
                <w:szCs w:val="18"/>
              </w:rPr>
              <mc:AlternateContent>
                <mc:Choice Requires="wps">
                  <w:drawing>
                    <wp:anchor distT="0" distB="0" distL="114300" distR="114300" simplePos="0" relativeHeight="1396656128" behindDoc="1" locked="0" layoutInCell="1" allowOverlap="1">
                      <wp:simplePos x="0" y="0"/>
                      <wp:positionH relativeFrom="page">
                        <wp:posOffset>-10160</wp:posOffset>
                      </wp:positionH>
                      <wp:positionV relativeFrom="paragraph">
                        <wp:posOffset>-7620</wp:posOffset>
                      </wp:positionV>
                      <wp:extent cx="499745" cy="401320"/>
                      <wp:effectExtent l="3175" t="3810" r="11430" b="13970"/>
                      <wp:wrapNone/>
                      <wp:docPr id="30" name="任意多边形 30"/>
                      <wp:cNvGraphicFramePr/>
                      <a:graphic xmlns:a="http://schemas.openxmlformats.org/drawingml/2006/main">
                        <a:graphicData uri="http://schemas.microsoft.com/office/word/2010/wordprocessingShape">
                          <wps:wsp>
                            <wps:cNvSpPr/>
                            <wps:spPr>
                              <a:xfrm>
                                <a:off x="0" y="0"/>
                                <a:ext cx="499745" cy="401320"/>
                              </a:xfrm>
                              <a:custGeom>
                                <a:avLst/>
                                <a:gdLst/>
                                <a:ahLst/>
                                <a:cxnLst/>
                                <a:rect l="0" t="0" r="0" b="0"/>
                                <a:pathLst>
                                  <a:path w="924" h="559">
                                    <a:moveTo>
                                      <a:pt x="0" y="0"/>
                                    </a:moveTo>
                                    <a:lnTo>
                                      <a:pt x="924" y="559"/>
                                    </a:lnTo>
                                  </a:path>
                                </a:pathLst>
                              </a:custGeom>
                              <a:noFill/>
                              <a:ln w="609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0.8pt;margin-top:-0.6pt;height:31.6pt;width:39.35pt;mso-position-horizontal-relative:page;z-index:893339648;mso-width-relative:page;mso-height-relative:page;" filled="f" stroked="t" coordsize="924,559" o:gfxdata="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tuJbW1QAA&#10;AAcBAAAPAAAAAAAAAAEAIAAAACIAAABkcnMvZG93bnJldi54bWxQSwECFAAUAAAACACHTuJAJgx4&#10;SCECAABjBAAADgAAAAAAAAABACAAAAAkAQAAZHJzL2Uyb0RvYy54bWxQSwUGAAAAAAYABgBZAQAA&#10;twUAAAAA&#10;" path="m0,0l924,559e">
                      <v:fill on="f" focussize="0,0"/>
                      <v:stroke weight="0.47992125984252pt" color="#000000" joinstyle="round"/>
                      <v:imagedata o:title=""/>
                      <o:lock v:ext="edit" aspectratio="f"/>
                    </v:shape>
                  </w:pict>
                </mc:Fallback>
              </mc:AlternateContent>
            </w:r>
            <w:r>
              <w:rPr>
                <w:rFonts w:hint="eastAsia" w:cs="Times New Roman"/>
                <w:color w:val="000000"/>
                <w:sz w:val="18"/>
                <w:szCs w:val="18"/>
              </w:rPr>
              <w:t xml:space="preserve">  </w:t>
            </w:r>
            <w:r>
              <w:rPr>
                <w:rFonts w:cs="Times New Roman"/>
                <w:color w:val="000000"/>
                <w:sz w:val="18"/>
                <w:szCs w:val="18"/>
              </w:rPr>
              <w:t>月份</w:t>
            </w:r>
          </w:p>
          <w:p>
            <w:pPr>
              <w:pStyle w:val="46"/>
              <w:spacing w:line="240" w:lineRule="auto"/>
              <w:ind w:firstLine="0" w:firstLineChars="0"/>
              <w:rPr>
                <w:rFonts w:cs="Times New Roman"/>
                <w:color w:val="000000"/>
                <w:sz w:val="18"/>
                <w:szCs w:val="18"/>
              </w:rPr>
            </w:pPr>
            <w:r>
              <w:rPr>
                <w:rFonts w:cs="Times New Roman"/>
                <w:color w:val="000000"/>
                <w:sz w:val="18"/>
                <w:szCs w:val="18"/>
              </w:rPr>
              <w:t>时刻</w:t>
            </w:r>
          </w:p>
        </w:tc>
        <w:tc>
          <w:tcPr>
            <w:tcW w:w="535"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1月</w:t>
            </w:r>
          </w:p>
        </w:tc>
        <w:tc>
          <w:tcPr>
            <w:tcW w:w="535"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2月</w:t>
            </w:r>
          </w:p>
        </w:tc>
        <w:tc>
          <w:tcPr>
            <w:tcW w:w="535"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3月</w:t>
            </w:r>
          </w:p>
        </w:tc>
        <w:tc>
          <w:tcPr>
            <w:tcW w:w="628"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4月</w:t>
            </w:r>
          </w:p>
        </w:tc>
        <w:tc>
          <w:tcPr>
            <w:tcW w:w="628"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5月</w:t>
            </w:r>
          </w:p>
        </w:tc>
        <w:tc>
          <w:tcPr>
            <w:tcW w:w="628"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6月</w:t>
            </w:r>
          </w:p>
        </w:tc>
        <w:tc>
          <w:tcPr>
            <w:tcW w:w="628"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7月</w:t>
            </w:r>
          </w:p>
        </w:tc>
        <w:tc>
          <w:tcPr>
            <w:tcW w:w="628"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8月</w:t>
            </w:r>
          </w:p>
        </w:tc>
        <w:tc>
          <w:tcPr>
            <w:tcW w:w="628"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9月</w:t>
            </w:r>
          </w:p>
        </w:tc>
        <w:tc>
          <w:tcPr>
            <w:tcW w:w="628"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10 月</w:t>
            </w:r>
          </w:p>
        </w:tc>
        <w:tc>
          <w:tcPr>
            <w:tcW w:w="629"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11 月</w:t>
            </w:r>
          </w:p>
        </w:tc>
        <w:tc>
          <w:tcPr>
            <w:tcW w:w="585" w:type="dxa"/>
            <w:tcBorders>
              <w:top w:val="single" w:color="000000" w:sz="12"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12 月</w:t>
            </w:r>
          </w:p>
        </w:tc>
        <w:tc>
          <w:tcPr>
            <w:tcW w:w="541" w:type="dxa"/>
            <w:tcBorders>
              <w:top w:val="single" w:color="000000" w:sz="12"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全年</w:t>
            </w:r>
          </w:p>
        </w:tc>
      </w:tr>
      <w:tr>
        <w:tblPrEx>
          <w:tblCellMar>
            <w:top w:w="0" w:type="dxa"/>
            <w:left w:w="108" w:type="dxa"/>
            <w:bottom w:w="0" w:type="dxa"/>
            <w:right w:w="108" w:type="dxa"/>
          </w:tblCellMar>
        </w:tblPrEx>
        <w:trPr>
          <w:trHeight w:val="340" w:hRule="atLeast"/>
        </w:trPr>
        <w:tc>
          <w:tcPr>
            <w:tcW w:w="766" w:type="dxa"/>
            <w:tcBorders>
              <w:top w:val="single" w:color="000000" w:sz="4" w:space="0"/>
              <w:left w:val="nil"/>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日平均</w:t>
            </w:r>
          </w:p>
        </w:tc>
        <w:tc>
          <w:tcPr>
            <w:tcW w:w="535"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2.01</w:t>
            </w:r>
          </w:p>
        </w:tc>
        <w:tc>
          <w:tcPr>
            <w:tcW w:w="535"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4.62</w:t>
            </w:r>
          </w:p>
        </w:tc>
        <w:tc>
          <w:tcPr>
            <w:tcW w:w="535"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7.89</w:t>
            </w:r>
          </w:p>
        </w:tc>
        <w:tc>
          <w:tcPr>
            <w:tcW w:w="628"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12.96</w:t>
            </w:r>
          </w:p>
        </w:tc>
        <w:tc>
          <w:tcPr>
            <w:tcW w:w="628"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20.17</w:t>
            </w:r>
          </w:p>
        </w:tc>
        <w:tc>
          <w:tcPr>
            <w:tcW w:w="628"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25.09</w:t>
            </w:r>
          </w:p>
        </w:tc>
        <w:tc>
          <w:tcPr>
            <w:tcW w:w="628"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27.52</w:t>
            </w:r>
          </w:p>
        </w:tc>
        <w:tc>
          <w:tcPr>
            <w:tcW w:w="628"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27.04</w:t>
            </w:r>
          </w:p>
        </w:tc>
        <w:tc>
          <w:tcPr>
            <w:tcW w:w="628"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22.18</w:t>
            </w:r>
          </w:p>
        </w:tc>
        <w:tc>
          <w:tcPr>
            <w:tcW w:w="628"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16.01</w:t>
            </w:r>
          </w:p>
        </w:tc>
        <w:tc>
          <w:tcPr>
            <w:tcW w:w="629"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10.79</w:t>
            </w:r>
          </w:p>
        </w:tc>
        <w:tc>
          <w:tcPr>
            <w:tcW w:w="585" w:type="dxa"/>
            <w:tcBorders>
              <w:top w:val="single" w:color="000000" w:sz="4" w:space="0"/>
              <w:left w:val="single" w:color="000000" w:sz="4" w:space="0"/>
              <w:bottom w:val="single" w:color="000000" w:sz="12" w:space="0"/>
              <w:right w:val="nil"/>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5.07</w:t>
            </w:r>
          </w:p>
        </w:tc>
        <w:tc>
          <w:tcPr>
            <w:tcW w:w="541" w:type="dxa"/>
            <w:tcBorders>
              <w:top w:val="single" w:color="000000" w:sz="4" w:space="0"/>
              <w:left w:val="single" w:color="000000" w:sz="4" w:space="0"/>
              <w:bottom w:val="single" w:color="000000" w:sz="12" w:space="0"/>
              <w:right w:val="nil"/>
              <w:tl2br w:val="nil"/>
              <w:tr2bl w:val="nil"/>
            </w:tcBorders>
            <w:vAlign w:val="center"/>
          </w:tcPr>
          <w:p>
            <w:pPr>
              <w:pStyle w:val="46"/>
              <w:spacing w:line="240" w:lineRule="auto"/>
              <w:ind w:firstLine="0" w:firstLineChars="0"/>
              <w:jc w:val="center"/>
              <w:rPr>
                <w:rFonts w:cs="Times New Roman"/>
                <w:color w:val="000000"/>
                <w:sz w:val="18"/>
                <w:szCs w:val="18"/>
              </w:rPr>
            </w:pPr>
            <w:r>
              <w:rPr>
                <w:rFonts w:hint="eastAsia" w:cs="Times New Roman"/>
                <w:color w:val="000000"/>
                <w:sz w:val="18"/>
                <w:szCs w:val="18"/>
              </w:rPr>
              <w:t>15.4</w:t>
            </w:r>
          </w:p>
        </w:tc>
      </w:tr>
    </w:tbl>
    <w:p>
      <w:pPr>
        <w:spacing w:before="7" w:line="110" w:lineRule="exact"/>
        <w:ind w:firstLine="220"/>
        <w:jc w:val="left"/>
        <w:rPr>
          <w:sz w:val="11"/>
        </w:rPr>
      </w:pPr>
    </w:p>
    <w:p>
      <w:pPr>
        <w:bidi w:val="0"/>
      </w:pPr>
      <w:r>
        <w:t>从表6-6可知，全年平均气温为15.4℃，其中夏季气温明显高于其余季节，其中以7月温度最高，平均为27.52℃，1月温度最低，平均为2.01℃。</w:t>
      </w:r>
    </w:p>
    <w:p>
      <w:pPr>
        <w:bidi w:val="0"/>
      </w:pPr>
      <w:r>
        <w:rPr>
          <w:rFonts w:hint="eastAsia"/>
          <w:lang w:eastAsia="zh-CN"/>
        </w:rPr>
        <w:t>（</w:t>
      </w:r>
      <w:r>
        <w:rPr>
          <w:rFonts w:hint="eastAsia"/>
          <w:lang w:val="en-US" w:eastAsia="zh-CN"/>
        </w:rPr>
        <w:t>4</w:t>
      </w:r>
      <w:r>
        <w:rPr>
          <w:rFonts w:hint="eastAsia"/>
          <w:lang w:eastAsia="zh-CN"/>
        </w:rPr>
        <w:t>）</w:t>
      </w:r>
      <w:r>
        <w:t xml:space="preserve">风速 </w:t>
      </w:r>
    </w:p>
    <w:p>
      <w:pPr>
        <w:bidi w:val="0"/>
      </w:pPr>
      <w:r>
        <w:t>阜阳市平均风速的月份变化统计见表</w:t>
      </w:r>
      <w:r>
        <w:rPr>
          <w:rFonts w:hint="eastAsia"/>
        </w:rPr>
        <w:t>4</w:t>
      </w:r>
      <w:r>
        <w:t>.</w:t>
      </w:r>
      <w:r>
        <w:rPr>
          <w:rFonts w:hint="eastAsia"/>
        </w:rPr>
        <w:t>2</w:t>
      </w:r>
      <w:r>
        <w:t>-3。</w:t>
      </w:r>
    </w:p>
    <w:p>
      <w:pPr>
        <w:ind w:firstLine="0" w:firstLineChars="0"/>
        <w:jc w:val="center"/>
        <w:rPr>
          <w:rFonts w:eastAsia="黑体" w:cs="Times New Roman"/>
        </w:rPr>
      </w:pPr>
      <w:r>
        <w:rPr>
          <w:rFonts w:eastAsia="黑体" w:cs="Times New Roman"/>
        </w:rPr>
        <w:t>表</w:t>
      </w:r>
      <w:r>
        <w:rPr>
          <w:rFonts w:hint="eastAsia" w:eastAsia="黑体" w:cs="Times New Roman"/>
        </w:rPr>
        <w:t>4</w:t>
      </w:r>
      <w:r>
        <w:rPr>
          <w:rFonts w:cs="Times New Roman"/>
        </w:rPr>
        <w:t>.2-3</w:t>
      </w:r>
      <w:r>
        <w:rPr>
          <w:rFonts w:eastAsia="黑体" w:cs="Times New Roman"/>
        </w:rPr>
        <w:t xml:space="preserve">  1996-2015 年平均风速的变化 </w:t>
      </w:r>
      <w:r>
        <w:rPr>
          <w:rFonts w:eastAsia="黑体" w:cs="Times New Roman"/>
        </w:rPr>
        <w:tab/>
      </w:r>
      <w:r>
        <w:rPr>
          <w:rFonts w:eastAsia="黑体" w:cs="Times New Roman"/>
        </w:rPr>
        <w:t>单位：</w:t>
      </w:r>
      <w:r>
        <w:rPr>
          <w:rFonts w:hint="eastAsia" w:eastAsia="黑体" w:cs="Times New Roman"/>
          <w:lang w:eastAsia="zh-CN"/>
        </w:rPr>
        <w:t>m</w:t>
      </w:r>
      <w:r>
        <w:rPr>
          <w:rFonts w:eastAsia="黑体" w:cs="Times New Roman"/>
        </w:rPr>
        <w:t>/s</w:t>
      </w:r>
    </w:p>
    <w:tbl>
      <w:tblPr>
        <w:tblStyle w:val="26"/>
        <w:tblW w:w="8522" w:type="dxa"/>
        <w:tblInd w:w="0" w:type="dxa"/>
        <w:tblLayout w:type="fixed"/>
        <w:tblCellMar>
          <w:top w:w="0" w:type="dxa"/>
          <w:left w:w="108" w:type="dxa"/>
          <w:bottom w:w="0" w:type="dxa"/>
          <w:right w:w="108" w:type="dxa"/>
        </w:tblCellMar>
      </w:tblPr>
      <w:tblGrid>
        <w:gridCol w:w="891"/>
        <w:gridCol w:w="587"/>
        <w:gridCol w:w="587"/>
        <w:gridCol w:w="587"/>
        <w:gridCol w:w="586"/>
        <w:gridCol w:w="587"/>
        <w:gridCol w:w="587"/>
        <w:gridCol w:w="587"/>
        <w:gridCol w:w="587"/>
        <w:gridCol w:w="587"/>
        <w:gridCol w:w="587"/>
        <w:gridCol w:w="587"/>
        <w:gridCol w:w="586"/>
        <w:gridCol w:w="589"/>
      </w:tblGrid>
      <w:tr>
        <w:tblPrEx>
          <w:tblCellMar>
            <w:top w:w="0" w:type="dxa"/>
            <w:left w:w="108" w:type="dxa"/>
            <w:bottom w:w="0" w:type="dxa"/>
            <w:right w:w="108" w:type="dxa"/>
          </w:tblCellMar>
        </w:tblPrEx>
        <w:trPr>
          <w:trHeight w:val="340" w:hRule="atLeast"/>
        </w:trPr>
        <w:tc>
          <w:tcPr>
            <w:tcW w:w="891" w:type="dxa"/>
            <w:tcBorders>
              <w:top w:val="single" w:color="000000" w:sz="12"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ascii="Microsoft JhengHei Light" w:hAnsi="Microsoft JhengHei Light" w:eastAsia="Microsoft JhengHei Light"/>
                <w:sz w:val="18"/>
                <w:szCs w:val="18"/>
              </w:rPr>
              <mc:AlternateContent>
                <mc:Choice Requires="wps">
                  <w:drawing>
                    <wp:anchor distT="0" distB="0" distL="114300" distR="114300" simplePos="0" relativeHeight="1396796416" behindDoc="1" locked="0" layoutInCell="1" allowOverlap="1">
                      <wp:simplePos x="0" y="0"/>
                      <wp:positionH relativeFrom="page">
                        <wp:posOffset>-4445</wp:posOffset>
                      </wp:positionH>
                      <wp:positionV relativeFrom="paragraph">
                        <wp:posOffset>-8890</wp:posOffset>
                      </wp:positionV>
                      <wp:extent cx="566420" cy="401955"/>
                      <wp:effectExtent l="2540" t="3810" r="21590" b="13335"/>
                      <wp:wrapNone/>
                      <wp:docPr id="31" name="任意多边形 31"/>
                      <wp:cNvGraphicFramePr/>
                      <a:graphic xmlns:a="http://schemas.openxmlformats.org/drawingml/2006/main">
                        <a:graphicData uri="http://schemas.microsoft.com/office/word/2010/wordprocessingShape">
                          <wps:wsp>
                            <wps:cNvSpPr/>
                            <wps:spPr>
                              <a:xfrm>
                                <a:off x="0" y="0"/>
                                <a:ext cx="566420" cy="401955"/>
                              </a:xfrm>
                              <a:custGeom>
                                <a:avLst/>
                                <a:gdLst/>
                                <a:ahLst/>
                                <a:cxnLst/>
                                <a:rect l="0" t="0" r="0" b="0"/>
                                <a:pathLst>
                                  <a:path w="1135" h="797">
                                    <a:moveTo>
                                      <a:pt x="0" y="0"/>
                                    </a:moveTo>
                                    <a:lnTo>
                                      <a:pt x="1135" y="796"/>
                                    </a:lnTo>
                                  </a:path>
                                </a:pathLst>
                              </a:custGeom>
                              <a:noFill/>
                              <a:ln w="6096"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0.35pt;margin-top:-0.7pt;height:31.65pt;width:44.6pt;mso-position-horizontal-relative:page;z-index:893479936;mso-width-relative:page;mso-height-relative:page;" filled="f" stroked="t" coordsize="1135,797" o:gfxdata="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H0h&#10;hNHWAAAABgEAAA8AAAAAAAAAAQAgAAAAIgAAAGRycy9kb3ducmV2LnhtbFBLAQIUABQAAAAIAIdO&#10;4kCIoZ3aJQIAAGUEAAAOAAAAAAAAAAEAIAAAACUBAABkcnMvZTJvRG9jLnhtbFBLBQYAAAAABgAG&#10;AFkBAAC8BQAAAAA=&#10;" path="m0,0l1135,796e">
                      <v:fill on="f" focussize="0,0"/>
                      <v:stroke weight="0.48pt" color="#000000" joinstyle="round"/>
                      <v:imagedata o:title=""/>
                      <o:lock v:ext="edit" aspectratio="f"/>
                    </v:shape>
                  </w:pict>
                </mc:Fallback>
              </mc:AlternateContent>
            </w:r>
            <w:r>
              <w:rPr>
                <w:rFonts w:hint="eastAsia" w:cs="Times New Roman"/>
                <w:color w:val="000000"/>
                <w:sz w:val="18"/>
                <w:szCs w:val="18"/>
              </w:rPr>
              <w:t xml:space="preserve">   </w:t>
            </w:r>
            <w:r>
              <w:rPr>
                <w:rFonts w:cs="Times New Roman"/>
                <w:color w:val="000000"/>
                <w:sz w:val="18"/>
                <w:szCs w:val="18"/>
              </w:rPr>
              <w:t xml:space="preserve">月份 </w:t>
            </w:r>
          </w:p>
          <w:p>
            <w:pPr>
              <w:pStyle w:val="46"/>
              <w:spacing w:line="240" w:lineRule="auto"/>
              <w:ind w:firstLine="0" w:firstLineChars="0"/>
              <w:rPr>
                <w:rFonts w:cs="Times New Roman"/>
                <w:color w:val="000000"/>
                <w:sz w:val="18"/>
                <w:szCs w:val="18"/>
              </w:rPr>
            </w:pPr>
            <w:r>
              <w:rPr>
                <w:rFonts w:cs="Times New Roman"/>
                <w:color w:val="000000"/>
                <w:sz w:val="18"/>
                <w:szCs w:val="18"/>
              </w:rPr>
              <w:t>时间</w:t>
            </w:r>
          </w:p>
        </w:tc>
        <w:tc>
          <w:tcPr>
            <w:tcW w:w="587"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1 月</w:t>
            </w:r>
          </w:p>
        </w:tc>
        <w:tc>
          <w:tcPr>
            <w:tcW w:w="587"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2 月</w:t>
            </w:r>
          </w:p>
        </w:tc>
        <w:tc>
          <w:tcPr>
            <w:tcW w:w="587"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3 月</w:t>
            </w:r>
          </w:p>
        </w:tc>
        <w:tc>
          <w:tcPr>
            <w:tcW w:w="586"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4 月</w:t>
            </w:r>
          </w:p>
        </w:tc>
        <w:tc>
          <w:tcPr>
            <w:tcW w:w="587"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5 月</w:t>
            </w:r>
          </w:p>
        </w:tc>
        <w:tc>
          <w:tcPr>
            <w:tcW w:w="587"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6 月</w:t>
            </w:r>
          </w:p>
        </w:tc>
        <w:tc>
          <w:tcPr>
            <w:tcW w:w="587"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7 月</w:t>
            </w:r>
          </w:p>
        </w:tc>
        <w:tc>
          <w:tcPr>
            <w:tcW w:w="587"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8 月</w:t>
            </w:r>
          </w:p>
        </w:tc>
        <w:tc>
          <w:tcPr>
            <w:tcW w:w="587"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9 月</w:t>
            </w:r>
          </w:p>
        </w:tc>
        <w:tc>
          <w:tcPr>
            <w:tcW w:w="587"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 xml:space="preserve">10 </w:t>
            </w:r>
          </w:p>
          <w:p>
            <w:pPr>
              <w:pStyle w:val="46"/>
              <w:spacing w:line="240" w:lineRule="auto"/>
              <w:ind w:firstLine="0" w:firstLineChars="0"/>
              <w:jc w:val="center"/>
              <w:rPr>
                <w:rFonts w:cs="Times New Roman"/>
                <w:color w:val="000000"/>
                <w:sz w:val="18"/>
                <w:szCs w:val="18"/>
              </w:rPr>
            </w:pPr>
            <w:r>
              <w:rPr>
                <w:rFonts w:cs="Times New Roman"/>
                <w:color w:val="000000"/>
                <w:sz w:val="18"/>
                <w:szCs w:val="18"/>
              </w:rPr>
              <w:t>月</w:t>
            </w:r>
          </w:p>
        </w:tc>
        <w:tc>
          <w:tcPr>
            <w:tcW w:w="587"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 xml:space="preserve">11 </w:t>
            </w:r>
          </w:p>
          <w:p>
            <w:pPr>
              <w:pStyle w:val="46"/>
              <w:spacing w:line="240" w:lineRule="auto"/>
              <w:ind w:firstLine="0" w:firstLineChars="0"/>
              <w:jc w:val="center"/>
              <w:rPr>
                <w:rFonts w:cs="Times New Roman"/>
                <w:color w:val="000000"/>
                <w:sz w:val="18"/>
                <w:szCs w:val="18"/>
              </w:rPr>
            </w:pPr>
            <w:r>
              <w:rPr>
                <w:rFonts w:cs="Times New Roman"/>
                <w:color w:val="000000"/>
                <w:sz w:val="18"/>
                <w:szCs w:val="18"/>
              </w:rPr>
              <w:t>月</w:t>
            </w:r>
          </w:p>
        </w:tc>
        <w:tc>
          <w:tcPr>
            <w:tcW w:w="586"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12</w:t>
            </w:r>
          </w:p>
          <w:p>
            <w:pPr>
              <w:pStyle w:val="46"/>
              <w:spacing w:line="240" w:lineRule="auto"/>
              <w:ind w:firstLine="0" w:firstLineChars="0"/>
              <w:jc w:val="center"/>
              <w:rPr>
                <w:rFonts w:cs="Times New Roman"/>
                <w:color w:val="000000"/>
                <w:sz w:val="18"/>
                <w:szCs w:val="18"/>
              </w:rPr>
            </w:pPr>
            <w:r>
              <w:rPr>
                <w:rFonts w:cs="Times New Roman"/>
                <w:color w:val="000000"/>
                <w:sz w:val="18"/>
                <w:szCs w:val="18"/>
              </w:rPr>
              <w:t>月</w:t>
            </w:r>
          </w:p>
        </w:tc>
        <w:tc>
          <w:tcPr>
            <w:tcW w:w="589" w:type="dxa"/>
            <w:tcBorders>
              <w:top w:val="single" w:color="000000" w:sz="12"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全年</w:t>
            </w:r>
          </w:p>
        </w:tc>
      </w:tr>
      <w:tr>
        <w:tblPrEx>
          <w:tblCellMar>
            <w:top w:w="0" w:type="dxa"/>
            <w:left w:w="108" w:type="dxa"/>
            <w:bottom w:w="0" w:type="dxa"/>
            <w:right w:w="108" w:type="dxa"/>
          </w:tblCellMar>
        </w:tblPrEx>
        <w:trPr>
          <w:trHeight w:val="340" w:hRule="atLeast"/>
        </w:trPr>
        <w:tc>
          <w:tcPr>
            <w:tcW w:w="891" w:type="dxa"/>
            <w:tcBorders>
              <w:top w:val="single" w:color="000000" w:sz="4" w:space="0"/>
              <w:left w:val="nil"/>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日平均</w:t>
            </w:r>
          </w:p>
        </w:tc>
        <w:tc>
          <w:tcPr>
            <w:tcW w:w="587"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2.47</w:t>
            </w:r>
          </w:p>
        </w:tc>
        <w:tc>
          <w:tcPr>
            <w:tcW w:w="587"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2.76</w:t>
            </w:r>
          </w:p>
        </w:tc>
        <w:tc>
          <w:tcPr>
            <w:tcW w:w="587"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3.22</w:t>
            </w:r>
          </w:p>
        </w:tc>
        <w:tc>
          <w:tcPr>
            <w:tcW w:w="586"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2.82</w:t>
            </w:r>
          </w:p>
        </w:tc>
        <w:tc>
          <w:tcPr>
            <w:tcW w:w="587"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2.16</w:t>
            </w:r>
          </w:p>
        </w:tc>
        <w:tc>
          <w:tcPr>
            <w:tcW w:w="587"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2.07</w:t>
            </w:r>
          </w:p>
        </w:tc>
        <w:tc>
          <w:tcPr>
            <w:tcW w:w="587"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1.76</w:t>
            </w:r>
          </w:p>
        </w:tc>
        <w:tc>
          <w:tcPr>
            <w:tcW w:w="587"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1.94</w:t>
            </w:r>
          </w:p>
        </w:tc>
        <w:tc>
          <w:tcPr>
            <w:tcW w:w="587"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1.78</w:t>
            </w:r>
          </w:p>
        </w:tc>
        <w:tc>
          <w:tcPr>
            <w:tcW w:w="587"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1.77</w:t>
            </w:r>
          </w:p>
        </w:tc>
        <w:tc>
          <w:tcPr>
            <w:tcW w:w="587"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1.97</w:t>
            </w:r>
          </w:p>
        </w:tc>
        <w:tc>
          <w:tcPr>
            <w:tcW w:w="586"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2.97</w:t>
            </w:r>
          </w:p>
        </w:tc>
        <w:tc>
          <w:tcPr>
            <w:tcW w:w="589" w:type="dxa"/>
            <w:tcBorders>
              <w:top w:val="single" w:color="000000" w:sz="4" w:space="0"/>
              <w:left w:val="single" w:color="000000" w:sz="4" w:space="0"/>
              <w:bottom w:val="single" w:color="000000" w:sz="12" w:space="0"/>
              <w:right w:val="nil"/>
              <w:tl2br w:val="nil"/>
              <w:tr2bl w:val="nil"/>
            </w:tcBorders>
            <w:vAlign w:val="center"/>
          </w:tcPr>
          <w:p>
            <w:pPr>
              <w:pStyle w:val="46"/>
              <w:spacing w:line="240" w:lineRule="auto"/>
              <w:ind w:firstLine="0" w:firstLineChars="0"/>
              <w:jc w:val="center"/>
              <w:rPr>
                <w:rFonts w:cs="Times New Roman"/>
                <w:color w:val="000000"/>
                <w:sz w:val="18"/>
                <w:szCs w:val="18"/>
              </w:rPr>
            </w:pPr>
            <w:r>
              <w:rPr>
                <w:rFonts w:cs="Times New Roman"/>
                <w:color w:val="000000"/>
                <w:sz w:val="18"/>
                <w:szCs w:val="18"/>
              </w:rPr>
              <w:t>2.31</w:t>
            </w:r>
          </w:p>
        </w:tc>
      </w:tr>
    </w:tbl>
    <w:p>
      <w:pPr>
        <w:spacing w:before="7" w:line="110" w:lineRule="exact"/>
        <w:ind w:firstLine="220"/>
        <w:jc w:val="left"/>
        <w:rPr>
          <w:sz w:val="11"/>
        </w:rPr>
      </w:pPr>
    </w:p>
    <w:p>
      <w:pPr>
        <w:bidi w:val="0"/>
      </w:pPr>
      <w:r>
        <w:t>由表</w:t>
      </w:r>
      <w:r>
        <w:rPr>
          <w:rFonts w:hint="eastAsia"/>
        </w:rPr>
        <w:t>4</w:t>
      </w:r>
      <w:r>
        <w:t>.</w:t>
      </w:r>
      <w:r>
        <w:rPr>
          <w:rFonts w:hint="eastAsia"/>
        </w:rPr>
        <w:t>2</w:t>
      </w:r>
      <w:r>
        <w:t>-3可以看出，该区域地面各月风速变化较为规律，夏季风速最低。全年平均年风速为2.31</w:t>
      </w:r>
      <w:r>
        <w:rPr>
          <w:rFonts w:hint="eastAsia"/>
          <w:lang w:eastAsia="zh-CN"/>
        </w:rPr>
        <w:t>m</w:t>
      </w:r>
      <w:r>
        <w:t>/s。</w:t>
      </w:r>
    </w:p>
    <w:p>
      <w:pPr>
        <w:bidi w:val="0"/>
      </w:pPr>
      <w:r>
        <w:rPr>
          <w:rFonts w:hint="eastAsia"/>
        </w:rPr>
        <w:t>（5）</w:t>
      </w:r>
      <w:r>
        <w:t>风向和风频</w:t>
      </w:r>
    </w:p>
    <w:p>
      <w:pPr>
        <w:bidi w:val="0"/>
      </w:pPr>
      <w:r>
        <w:t>阜阳市年均风频的月变化见</w:t>
      </w:r>
      <w:r>
        <w:rPr>
          <w:rFonts w:hint="eastAsia"/>
        </w:rPr>
        <w:t>下</w:t>
      </w:r>
      <w:r>
        <w:t>表</w:t>
      </w:r>
      <w:r>
        <w:rPr>
          <w:rFonts w:hint="eastAsia"/>
        </w:rPr>
        <w:t>4</w:t>
      </w:r>
      <w:r>
        <w:t>.</w:t>
      </w:r>
      <w:r>
        <w:rPr>
          <w:rFonts w:hint="eastAsia"/>
        </w:rPr>
        <w:t>2</w:t>
      </w:r>
      <w:r>
        <w:t>-4，年均风频季节变化及年变化见</w:t>
      </w:r>
      <w:r>
        <w:rPr>
          <w:rFonts w:hint="eastAsia"/>
        </w:rPr>
        <w:t>下</w:t>
      </w:r>
      <w:r>
        <w:t xml:space="preserve">表 </w:t>
      </w:r>
      <w:r>
        <w:rPr>
          <w:rFonts w:hint="eastAsia"/>
        </w:rPr>
        <w:t>4</w:t>
      </w:r>
      <w:r>
        <w:t>.</w:t>
      </w:r>
      <w:r>
        <w:rPr>
          <w:rFonts w:hint="eastAsia"/>
        </w:rPr>
        <w:t>2</w:t>
      </w:r>
      <w:r>
        <w:t>-</w:t>
      </w:r>
      <w:r>
        <w:rPr>
          <w:rFonts w:hint="eastAsia"/>
        </w:rPr>
        <w:t>5</w:t>
      </w:r>
      <w:r>
        <w:t>。由表</w:t>
      </w:r>
      <w:r>
        <w:rPr>
          <w:rFonts w:hint="eastAsia"/>
        </w:rPr>
        <w:t>4</w:t>
      </w:r>
      <w:r>
        <w:t>.</w:t>
      </w:r>
      <w:r>
        <w:rPr>
          <w:rFonts w:hint="eastAsia"/>
        </w:rPr>
        <w:t>2</w:t>
      </w:r>
      <w:r>
        <w:t>-5绘出年、季风向频率玫瑰图(见图</w:t>
      </w:r>
      <w:r>
        <w:rPr>
          <w:rFonts w:hint="eastAsia"/>
        </w:rPr>
        <w:t>4</w:t>
      </w:r>
      <w:r>
        <w:t>.</w:t>
      </w:r>
      <w:r>
        <w:rPr>
          <w:rFonts w:hint="eastAsia"/>
        </w:rPr>
        <w:t>2</w:t>
      </w:r>
      <w:r>
        <w:t>-1)。</w:t>
      </w:r>
    </w:p>
    <w:p>
      <w:pPr>
        <w:pStyle w:val="2"/>
        <w:ind w:firstLine="480"/>
      </w:pPr>
    </w:p>
    <w:tbl>
      <w:tblPr>
        <w:tblStyle w:val="27"/>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840"/>
        <w:gridCol w:w="1421"/>
        <w:gridCol w:w="1420"/>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49" w:hRule="atLeast"/>
        </w:trPr>
        <w:tc>
          <w:tcPr>
            <w:tcW w:w="2840" w:type="dxa"/>
            <w:tcBorders>
              <w:tl2br w:val="nil"/>
              <w:tr2bl w:val="nil"/>
            </w:tcBorders>
          </w:tcPr>
          <w:p>
            <w:pPr>
              <w:ind w:firstLine="0" w:firstLineChars="0"/>
              <w:jc w:val="center"/>
              <w:rPr>
                <w:b/>
                <w:bCs/>
                <w:sz w:val="21"/>
                <w:szCs w:val="21"/>
              </w:rPr>
            </w:pPr>
            <w:r>
              <w:rPr>
                <w:b/>
                <w:bCs/>
                <w:sz w:val="21"/>
                <w:szCs w:val="21"/>
              </w:rPr>
              <w:drawing>
                <wp:anchor distT="0" distB="0" distL="114300" distR="114300" simplePos="0" relativeHeight="1398354944" behindDoc="0" locked="0" layoutInCell="1" allowOverlap="1">
                  <wp:simplePos x="0" y="0"/>
                  <wp:positionH relativeFrom="column">
                    <wp:posOffset>-55245</wp:posOffset>
                  </wp:positionH>
                  <wp:positionV relativeFrom="paragraph">
                    <wp:posOffset>32385</wp:posOffset>
                  </wp:positionV>
                  <wp:extent cx="1790065" cy="1963420"/>
                  <wp:effectExtent l="0" t="0" r="635" b="17780"/>
                  <wp:wrapTopAndBottom/>
                  <wp:docPr id="1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
                          <pic:cNvPicPr>
                            <a:picLocks noChangeAspect="1"/>
                          </pic:cNvPicPr>
                        </pic:nvPicPr>
                        <pic:blipFill>
                          <a:blip r:embed="rId57"/>
                          <a:srcRect l="2673"/>
                          <a:stretch>
                            <a:fillRect/>
                          </a:stretch>
                        </pic:blipFill>
                        <pic:spPr>
                          <a:xfrm>
                            <a:off x="0" y="0"/>
                            <a:ext cx="1790065" cy="1963420"/>
                          </a:xfrm>
                          <a:prstGeom prst="rect">
                            <a:avLst/>
                          </a:prstGeom>
                          <a:noFill/>
                          <a:ln w="9525">
                            <a:noFill/>
                          </a:ln>
                        </pic:spPr>
                      </pic:pic>
                    </a:graphicData>
                  </a:graphic>
                </wp:anchor>
              </w:drawing>
            </w:r>
            <w:r>
              <w:rPr>
                <w:b/>
                <w:bCs/>
                <w:sz w:val="21"/>
                <w:szCs w:val="21"/>
              </w:rPr>
              <w:t>春季</w:t>
            </w:r>
          </w:p>
        </w:tc>
        <w:tc>
          <w:tcPr>
            <w:tcW w:w="2841" w:type="dxa"/>
            <w:gridSpan w:val="2"/>
            <w:tcBorders>
              <w:tl2br w:val="nil"/>
              <w:tr2bl w:val="nil"/>
            </w:tcBorders>
          </w:tcPr>
          <w:p>
            <w:pPr>
              <w:ind w:firstLine="0" w:firstLineChars="0"/>
              <w:jc w:val="center"/>
              <w:rPr>
                <w:b/>
                <w:bCs/>
                <w:sz w:val="21"/>
                <w:szCs w:val="21"/>
              </w:rPr>
            </w:pPr>
            <w:r>
              <w:rPr>
                <w:b/>
                <w:bCs/>
                <w:sz w:val="21"/>
                <w:szCs w:val="21"/>
              </w:rPr>
              <w:drawing>
                <wp:anchor distT="0" distB="0" distL="114300" distR="114300" simplePos="0" relativeHeight="1398355968" behindDoc="0" locked="0" layoutInCell="1" allowOverlap="1">
                  <wp:simplePos x="0" y="0"/>
                  <wp:positionH relativeFrom="column">
                    <wp:posOffset>1270</wp:posOffset>
                  </wp:positionH>
                  <wp:positionV relativeFrom="paragraph">
                    <wp:posOffset>31115</wp:posOffset>
                  </wp:positionV>
                  <wp:extent cx="1733550" cy="1970405"/>
                  <wp:effectExtent l="0" t="0" r="0" b="10795"/>
                  <wp:wrapTopAndBottom/>
                  <wp:docPr id="1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
                          <pic:cNvPicPr>
                            <a:picLocks noChangeAspect="1"/>
                          </pic:cNvPicPr>
                        </pic:nvPicPr>
                        <pic:blipFill>
                          <a:blip r:embed="rId58"/>
                          <a:srcRect l="16703" t="1424" r="-3622" b="-361"/>
                          <a:stretch>
                            <a:fillRect/>
                          </a:stretch>
                        </pic:blipFill>
                        <pic:spPr>
                          <a:xfrm>
                            <a:off x="0" y="0"/>
                            <a:ext cx="1733550" cy="1970405"/>
                          </a:xfrm>
                          <a:prstGeom prst="rect">
                            <a:avLst/>
                          </a:prstGeom>
                          <a:noFill/>
                          <a:ln w="9525">
                            <a:noFill/>
                          </a:ln>
                        </pic:spPr>
                      </pic:pic>
                    </a:graphicData>
                  </a:graphic>
                </wp:anchor>
              </w:drawing>
            </w:r>
            <w:r>
              <w:rPr>
                <w:b/>
                <w:bCs/>
                <w:sz w:val="21"/>
                <w:szCs w:val="21"/>
              </w:rPr>
              <w:t>夏季</w:t>
            </w:r>
          </w:p>
        </w:tc>
        <w:tc>
          <w:tcPr>
            <w:tcW w:w="2841" w:type="dxa"/>
            <w:tcBorders>
              <w:tl2br w:val="nil"/>
              <w:tr2bl w:val="nil"/>
            </w:tcBorders>
          </w:tcPr>
          <w:p>
            <w:pPr>
              <w:ind w:firstLine="0" w:firstLineChars="0"/>
              <w:jc w:val="center"/>
              <w:rPr>
                <w:b/>
                <w:bCs/>
                <w:sz w:val="21"/>
                <w:szCs w:val="21"/>
              </w:rPr>
            </w:pPr>
            <w:r>
              <w:rPr>
                <w:b/>
                <w:bCs/>
                <w:sz w:val="21"/>
                <w:szCs w:val="21"/>
              </w:rPr>
              <w:drawing>
                <wp:anchor distT="0" distB="0" distL="114300" distR="114300" simplePos="0" relativeHeight="1398356992" behindDoc="0" locked="0" layoutInCell="1" allowOverlap="1">
                  <wp:simplePos x="0" y="0"/>
                  <wp:positionH relativeFrom="column">
                    <wp:posOffset>-59055</wp:posOffset>
                  </wp:positionH>
                  <wp:positionV relativeFrom="paragraph">
                    <wp:posOffset>41910</wp:posOffset>
                  </wp:positionV>
                  <wp:extent cx="1755140" cy="1983740"/>
                  <wp:effectExtent l="0" t="0" r="16510" b="16510"/>
                  <wp:wrapTopAndBottom/>
                  <wp:docPr id="10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
                          <pic:cNvPicPr>
                            <a:picLocks noChangeAspect="1"/>
                          </pic:cNvPicPr>
                        </pic:nvPicPr>
                        <pic:blipFill>
                          <a:blip r:embed="rId59"/>
                          <a:srcRect l="9183" t="2289" r="-1511" b="-902"/>
                          <a:stretch>
                            <a:fillRect/>
                          </a:stretch>
                        </pic:blipFill>
                        <pic:spPr>
                          <a:xfrm>
                            <a:off x="0" y="0"/>
                            <a:ext cx="1755140" cy="1983740"/>
                          </a:xfrm>
                          <a:prstGeom prst="rect">
                            <a:avLst/>
                          </a:prstGeom>
                          <a:noFill/>
                          <a:ln w="9525">
                            <a:noFill/>
                          </a:ln>
                        </pic:spPr>
                      </pic:pic>
                    </a:graphicData>
                  </a:graphic>
                </wp:anchor>
              </w:drawing>
            </w:r>
            <w:r>
              <w:rPr>
                <w:b/>
                <w:bCs/>
                <w:sz w:val="21"/>
                <w:szCs w:val="21"/>
              </w:rPr>
              <w:t>秋季</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gridSpan w:val="2"/>
            <w:tcBorders>
              <w:tl2br w:val="nil"/>
              <w:tr2bl w:val="nil"/>
            </w:tcBorders>
          </w:tcPr>
          <w:p>
            <w:pPr>
              <w:ind w:firstLine="0" w:firstLineChars="0"/>
              <w:jc w:val="center"/>
              <w:rPr>
                <w:b/>
                <w:bCs/>
                <w:sz w:val="21"/>
                <w:szCs w:val="21"/>
              </w:rPr>
            </w:pPr>
            <w:r>
              <w:rPr>
                <w:b/>
                <w:bCs/>
                <w:sz w:val="21"/>
                <w:szCs w:val="21"/>
              </w:rPr>
              <w:drawing>
                <wp:anchor distT="0" distB="0" distL="114300" distR="114300" simplePos="0" relativeHeight="1398358016" behindDoc="0" locked="0" layoutInCell="1" allowOverlap="1">
                  <wp:simplePos x="0" y="0"/>
                  <wp:positionH relativeFrom="column">
                    <wp:posOffset>304800</wp:posOffset>
                  </wp:positionH>
                  <wp:positionV relativeFrom="paragraph">
                    <wp:posOffset>70485</wp:posOffset>
                  </wp:positionV>
                  <wp:extent cx="1857375" cy="1947545"/>
                  <wp:effectExtent l="0" t="0" r="9525" b="14605"/>
                  <wp:wrapTopAndBottom/>
                  <wp:docPr id="1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
                          <pic:cNvPicPr>
                            <a:picLocks noChangeAspect="1"/>
                          </pic:cNvPicPr>
                        </pic:nvPicPr>
                        <pic:blipFill>
                          <a:blip r:embed="rId60"/>
                          <a:stretch>
                            <a:fillRect/>
                          </a:stretch>
                        </pic:blipFill>
                        <pic:spPr>
                          <a:xfrm>
                            <a:off x="0" y="0"/>
                            <a:ext cx="1857375" cy="1947545"/>
                          </a:xfrm>
                          <a:prstGeom prst="rect">
                            <a:avLst/>
                          </a:prstGeom>
                          <a:noFill/>
                          <a:ln w="9525">
                            <a:noFill/>
                          </a:ln>
                        </pic:spPr>
                      </pic:pic>
                    </a:graphicData>
                  </a:graphic>
                </wp:anchor>
              </w:drawing>
            </w:r>
            <w:r>
              <w:rPr>
                <w:b/>
                <w:bCs/>
                <w:sz w:val="21"/>
                <w:szCs w:val="21"/>
              </w:rPr>
              <w:t>冬季</w:t>
            </w:r>
          </w:p>
        </w:tc>
        <w:tc>
          <w:tcPr>
            <w:tcW w:w="4261" w:type="dxa"/>
            <w:gridSpan w:val="2"/>
            <w:tcBorders>
              <w:tl2br w:val="nil"/>
              <w:tr2bl w:val="nil"/>
            </w:tcBorders>
          </w:tcPr>
          <w:p>
            <w:pPr>
              <w:ind w:firstLine="0" w:firstLineChars="0"/>
              <w:jc w:val="center"/>
              <w:rPr>
                <w:b/>
                <w:bCs/>
                <w:sz w:val="21"/>
                <w:szCs w:val="21"/>
              </w:rPr>
            </w:pPr>
            <w:r>
              <w:rPr>
                <w:b/>
                <w:bCs/>
                <w:sz w:val="21"/>
                <w:szCs w:val="21"/>
              </w:rPr>
              <w:drawing>
                <wp:anchor distT="0" distB="0" distL="114300" distR="114300" simplePos="0" relativeHeight="1401466880" behindDoc="0" locked="0" layoutInCell="1" allowOverlap="1">
                  <wp:simplePos x="0" y="0"/>
                  <wp:positionH relativeFrom="column">
                    <wp:posOffset>226695</wp:posOffset>
                  </wp:positionH>
                  <wp:positionV relativeFrom="paragraph">
                    <wp:posOffset>51435</wp:posOffset>
                  </wp:positionV>
                  <wp:extent cx="1887220" cy="1969770"/>
                  <wp:effectExtent l="0" t="0" r="17780" b="11430"/>
                  <wp:wrapTopAndBottom/>
                  <wp:docPr id="1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
                          <pic:cNvPicPr>
                            <a:picLocks noChangeAspect="1"/>
                          </pic:cNvPicPr>
                        </pic:nvPicPr>
                        <pic:blipFill>
                          <a:blip r:embed="rId60"/>
                          <a:srcRect t="481"/>
                          <a:stretch>
                            <a:fillRect/>
                          </a:stretch>
                        </pic:blipFill>
                        <pic:spPr>
                          <a:xfrm>
                            <a:off x="0" y="0"/>
                            <a:ext cx="1887220" cy="1969770"/>
                          </a:xfrm>
                          <a:prstGeom prst="rect">
                            <a:avLst/>
                          </a:prstGeom>
                          <a:noFill/>
                          <a:ln w="9525">
                            <a:noFill/>
                          </a:ln>
                        </pic:spPr>
                      </pic:pic>
                    </a:graphicData>
                  </a:graphic>
                </wp:anchor>
              </w:drawing>
            </w:r>
            <w:r>
              <w:rPr>
                <w:b/>
                <w:bCs/>
                <w:sz w:val="21"/>
                <w:szCs w:val="21"/>
              </w:rPr>
              <w:t>年</w:t>
            </w:r>
          </w:p>
        </w:tc>
      </w:tr>
    </w:tbl>
    <w:p>
      <w:pPr>
        <w:ind w:firstLine="0" w:firstLineChars="0"/>
        <w:jc w:val="center"/>
        <w:rPr>
          <w:rFonts w:eastAsia="黑体" w:cs="Times New Roman"/>
        </w:rPr>
      </w:pPr>
      <w:r>
        <w:rPr>
          <w:rFonts w:eastAsia="黑体" w:cs="Times New Roman"/>
        </w:rPr>
        <w:t>图</w:t>
      </w:r>
      <w:r>
        <w:rPr>
          <w:rFonts w:hint="eastAsia" w:eastAsia="黑体" w:cs="Times New Roman"/>
        </w:rPr>
        <w:t>4</w:t>
      </w:r>
      <w:r>
        <w:rPr>
          <w:rFonts w:eastAsia="黑体" w:cs="Times New Roman"/>
        </w:rPr>
        <w:t>.</w:t>
      </w:r>
      <w:r>
        <w:rPr>
          <w:rFonts w:hint="eastAsia" w:eastAsia="黑体" w:cs="Times New Roman"/>
        </w:rPr>
        <w:t>2</w:t>
      </w:r>
      <w:r>
        <w:rPr>
          <w:rFonts w:eastAsia="黑体" w:cs="Times New Roman"/>
        </w:rPr>
        <w:t>-1  区域年、季风向频率玫瑰</w:t>
      </w:r>
      <w:r>
        <w:rPr>
          <w:rFonts w:hint="eastAsia" w:eastAsia="黑体" w:cs="Times New Roman"/>
        </w:rPr>
        <w:t>图</w:t>
      </w:r>
    </w:p>
    <w:p>
      <w:pPr>
        <w:tabs>
          <w:tab w:val="left" w:pos="4560"/>
          <w:tab w:val="left" w:pos="7920"/>
        </w:tabs>
        <w:spacing w:line="270" w:lineRule="exact"/>
        <w:ind w:right="-20" w:firstLine="0" w:firstLineChars="0"/>
        <w:jc w:val="left"/>
        <w:rPr>
          <w:rFonts w:ascii="Microsoft JhengHei Light" w:hAnsi="Microsoft JhengHei Light" w:eastAsia="Microsoft JhengHei Light"/>
          <w:sz w:val="20"/>
        </w:rPr>
      </w:pPr>
    </w:p>
    <w:p>
      <w:pPr>
        <w:pStyle w:val="6"/>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spacing w:line="240" w:lineRule="auto"/>
        <w:ind w:firstLine="0" w:firstLineChars="0"/>
        <w:jc w:val="center"/>
        <w:rPr>
          <w:rFonts w:eastAsia="黑体" w:cs="Times New Roman"/>
        </w:rPr>
      </w:pPr>
      <w:r>
        <w:rPr>
          <w:rFonts w:eastAsia="黑体" w:cs="Times New Roman"/>
        </w:rPr>
        <w:t>表</w:t>
      </w:r>
      <w:r>
        <w:rPr>
          <w:rFonts w:hint="eastAsia" w:eastAsia="黑体" w:cs="Times New Roman"/>
        </w:rPr>
        <w:t>4</w:t>
      </w:r>
      <w:r>
        <w:rPr>
          <w:rFonts w:eastAsia="黑体" w:cs="Times New Roman"/>
        </w:rPr>
        <w:t>.</w:t>
      </w:r>
      <w:r>
        <w:rPr>
          <w:rFonts w:hint="eastAsia" w:eastAsia="黑体" w:cs="Times New Roman"/>
        </w:rPr>
        <w:t>2</w:t>
      </w:r>
      <w:r>
        <w:rPr>
          <w:rFonts w:eastAsia="黑体" w:cs="Times New Roman"/>
        </w:rPr>
        <w:t>-4</w:t>
      </w:r>
      <w:r>
        <w:rPr>
          <w:rFonts w:hint="eastAsia" w:eastAsia="黑体" w:cs="Times New Roman"/>
        </w:rPr>
        <w:t xml:space="preserve">   </w:t>
      </w:r>
      <w:r>
        <w:rPr>
          <w:rFonts w:eastAsia="黑体" w:cs="Times New Roman"/>
        </w:rPr>
        <w:t>1996-2015 年均风频的月变化</w:t>
      </w:r>
    </w:p>
    <w:p>
      <w:pPr>
        <w:spacing w:before="4" w:line="20" w:lineRule="exact"/>
        <w:ind w:firstLine="40"/>
        <w:jc w:val="left"/>
        <w:rPr>
          <w:rFonts w:ascii="Arial" w:hAnsi="Arial" w:eastAsia="Microsoft JhengHei"/>
          <w:sz w:val="2"/>
        </w:rPr>
      </w:pPr>
    </w:p>
    <w:tbl>
      <w:tblPr>
        <w:tblStyle w:val="26"/>
        <w:tblW w:w="14174" w:type="dxa"/>
        <w:tblInd w:w="0" w:type="dxa"/>
        <w:tblLayout w:type="fixed"/>
        <w:tblCellMar>
          <w:top w:w="0" w:type="dxa"/>
          <w:left w:w="108" w:type="dxa"/>
          <w:bottom w:w="0" w:type="dxa"/>
          <w:right w:w="108" w:type="dxa"/>
        </w:tblCellMar>
      </w:tblPr>
      <w:tblGrid>
        <w:gridCol w:w="1281"/>
        <w:gridCol w:w="731"/>
        <w:gridCol w:w="686"/>
        <w:gridCol w:w="686"/>
        <w:gridCol w:w="820"/>
        <w:gridCol w:w="686"/>
        <w:gridCol w:w="688"/>
        <w:gridCol w:w="627"/>
        <w:gridCol w:w="790"/>
        <w:gridCol w:w="687"/>
        <w:gridCol w:w="805"/>
        <w:gridCol w:w="724"/>
        <w:gridCol w:w="748"/>
        <w:gridCol w:w="818"/>
        <w:gridCol w:w="1055"/>
        <w:gridCol w:w="773"/>
        <w:gridCol w:w="987"/>
        <w:gridCol w:w="582"/>
      </w:tblGrid>
      <w:tr>
        <w:tblPrEx>
          <w:tblCellMar>
            <w:top w:w="0" w:type="dxa"/>
            <w:left w:w="108" w:type="dxa"/>
            <w:bottom w:w="0" w:type="dxa"/>
            <w:right w:w="108" w:type="dxa"/>
          </w:tblCellMar>
        </w:tblPrEx>
        <w:trPr>
          <w:trHeight w:val="638" w:hRule="exact"/>
        </w:trPr>
        <w:tc>
          <w:tcPr>
            <w:tcW w:w="1281" w:type="dxa"/>
            <w:tcBorders>
              <w:top w:val="single" w:color="000000" w:sz="12"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ascii="Microsoft JhengHei" w:hAnsi="Microsoft JhengHei" w:eastAsia="Microsoft JhengHei"/>
                <w:sz w:val="20"/>
              </w:rPr>
              <mc:AlternateContent>
                <mc:Choice Requires="wps">
                  <w:drawing>
                    <wp:anchor distT="0" distB="0" distL="114300" distR="114300" simplePos="0" relativeHeight="1403302912" behindDoc="1" locked="0" layoutInCell="1" allowOverlap="1">
                      <wp:simplePos x="0" y="0"/>
                      <wp:positionH relativeFrom="page">
                        <wp:posOffset>15240</wp:posOffset>
                      </wp:positionH>
                      <wp:positionV relativeFrom="paragraph">
                        <wp:posOffset>10160</wp:posOffset>
                      </wp:positionV>
                      <wp:extent cx="804545" cy="391795"/>
                      <wp:effectExtent l="1905" t="4445" r="12700" b="3810"/>
                      <wp:wrapNone/>
                      <wp:docPr id="109" name="任意多边形 109"/>
                      <wp:cNvGraphicFramePr/>
                      <a:graphic xmlns:a="http://schemas.openxmlformats.org/drawingml/2006/main">
                        <a:graphicData uri="http://schemas.microsoft.com/office/word/2010/wordprocessingShape">
                          <wps:wsp>
                            <wps:cNvSpPr/>
                            <wps:spPr>
                              <a:xfrm>
                                <a:off x="0" y="0"/>
                                <a:ext cx="804545" cy="391795"/>
                              </a:xfrm>
                              <a:custGeom>
                                <a:avLst/>
                                <a:gdLst/>
                                <a:ahLst/>
                                <a:cxnLst/>
                                <a:rect l="0" t="0" r="0" b="0"/>
                                <a:pathLst>
                                  <a:path w="1267" h="617">
                                    <a:moveTo>
                                      <a:pt x="0" y="0"/>
                                    </a:moveTo>
                                    <a:lnTo>
                                      <a:pt x="1267" y="616"/>
                                    </a:lnTo>
                                  </a:path>
                                </a:pathLst>
                              </a:custGeom>
                              <a:noFill/>
                              <a:ln w="6096"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2pt;margin-top:0.8pt;height:30.85pt;width:63.35pt;mso-position-horizontal-relative:page;z-index:899986432;mso-width-relative:page;mso-height-relative:page;" filled="f" stroked="t" coordsize="1267,617" o:gfxdata="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oIrb&#10;3dMAAAAGAQAADwAAAAAAAAABACAAAAAiAAAAZHJzL2Rvd25yZXYueG1sUEsBAhQAFAAAAAgAh07i&#10;QMU3ALQnAgAAZwQAAA4AAAAAAAAAAQAgAAAAIgEAAGRycy9lMm9Eb2MueG1sUEsFBgAAAAAGAAYA&#10;WQEAALsFAAAAAA==&#10;" path="m0,0l1267,616e">
                      <v:fill on="f" focussize="0,0"/>
                      <v:stroke weight="0.48pt" color="#000000" joinstyle="round"/>
                      <v:imagedata o:title=""/>
                      <o:lock v:ext="edit" aspectratio="f"/>
                    </v:shape>
                  </w:pict>
                </mc:Fallback>
              </mc:AlternateContent>
            </w:r>
            <w:r>
              <w:rPr>
                <w:rFonts w:hint="eastAsia" w:cs="Times New Roman"/>
                <w:color w:val="000000"/>
                <w:sz w:val="21"/>
              </w:rPr>
              <w:t xml:space="preserve">    </w:t>
            </w:r>
            <w:r>
              <w:rPr>
                <w:rFonts w:cs="Times New Roman"/>
                <w:color w:val="000000"/>
                <w:sz w:val="21"/>
              </w:rPr>
              <w:t>风向</w:t>
            </w:r>
          </w:p>
          <w:p>
            <w:pPr>
              <w:pStyle w:val="46"/>
              <w:spacing w:line="240" w:lineRule="auto"/>
              <w:ind w:firstLine="0" w:firstLineChars="0"/>
              <w:rPr>
                <w:rFonts w:cs="Times New Roman"/>
                <w:color w:val="000000"/>
                <w:sz w:val="21"/>
              </w:rPr>
            </w:pPr>
            <w:r>
              <w:rPr>
                <w:rFonts w:cs="Times New Roman"/>
                <w:color w:val="000000"/>
                <w:sz w:val="21"/>
              </w:rPr>
              <w:t>风频(%)</w:t>
            </w:r>
          </w:p>
        </w:tc>
        <w:tc>
          <w:tcPr>
            <w:tcW w:w="731"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N</w:t>
            </w:r>
          </w:p>
        </w:tc>
        <w:tc>
          <w:tcPr>
            <w:tcW w:w="686"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NNE</w:t>
            </w:r>
          </w:p>
        </w:tc>
        <w:tc>
          <w:tcPr>
            <w:tcW w:w="686"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NE</w:t>
            </w:r>
          </w:p>
        </w:tc>
        <w:tc>
          <w:tcPr>
            <w:tcW w:w="820"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ENE</w:t>
            </w:r>
          </w:p>
        </w:tc>
        <w:tc>
          <w:tcPr>
            <w:tcW w:w="686"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E</w:t>
            </w:r>
          </w:p>
        </w:tc>
        <w:tc>
          <w:tcPr>
            <w:tcW w:w="688"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ESE</w:t>
            </w:r>
          </w:p>
        </w:tc>
        <w:tc>
          <w:tcPr>
            <w:tcW w:w="627"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SE</w:t>
            </w:r>
          </w:p>
        </w:tc>
        <w:tc>
          <w:tcPr>
            <w:tcW w:w="790"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SSE</w:t>
            </w:r>
          </w:p>
        </w:tc>
        <w:tc>
          <w:tcPr>
            <w:tcW w:w="687"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S</w:t>
            </w:r>
          </w:p>
        </w:tc>
        <w:tc>
          <w:tcPr>
            <w:tcW w:w="805"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SSW</w:t>
            </w:r>
          </w:p>
        </w:tc>
        <w:tc>
          <w:tcPr>
            <w:tcW w:w="724"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SW</w:t>
            </w:r>
          </w:p>
        </w:tc>
        <w:tc>
          <w:tcPr>
            <w:tcW w:w="748"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WSW</w:t>
            </w:r>
          </w:p>
        </w:tc>
        <w:tc>
          <w:tcPr>
            <w:tcW w:w="818"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W</w:t>
            </w:r>
          </w:p>
        </w:tc>
        <w:tc>
          <w:tcPr>
            <w:tcW w:w="1055"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WNW</w:t>
            </w:r>
          </w:p>
        </w:tc>
        <w:tc>
          <w:tcPr>
            <w:tcW w:w="773"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NW</w:t>
            </w:r>
          </w:p>
        </w:tc>
        <w:tc>
          <w:tcPr>
            <w:tcW w:w="987"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NNW</w:t>
            </w:r>
          </w:p>
        </w:tc>
        <w:tc>
          <w:tcPr>
            <w:tcW w:w="582" w:type="dxa"/>
            <w:tcBorders>
              <w:top w:val="single" w:color="000000" w:sz="12"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C</w:t>
            </w:r>
          </w:p>
        </w:tc>
      </w:tr>
      <w:tr>
        <w:tblPrEx>
          <w:tblCellMar>
            <w:top w:w="0" w:type="dxa"/>
            <w:left w:w="108" w:type="dxa"/>
            <w:bottom w:w="0" w:type="dxa"/>
            <w:right w:w="108" w:type="dxa"/>
          </w:tblCellMar>
        </w:tblPrEx>
        <w:trPr>
          <w:trHeight w:val="372" w:hRule="exact"/>
        </w:trPr>
        <w:tc>
          <w:tcPr>
            <w:tcW w:w="1281"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一月</w:t>
            </w:r>
          </w:p>
        </w:tc>
        <w:tc>
          <w:tcPr>
            <w:tcW w:w="73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8.06</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6.45</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7.26</w:t>
            </w:r>
          </w:p>
        </w:tc>
        <w:tc>
          <w:tcPr>
            <w:tcW w:w="82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12.1</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2.42</w:t>
            </w:r>
          </w:p>
        </w:tc>
        <w:tc>
          <w:tcPr>
            <w:tcW w:w="68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12.1</w:t>
            </w:r>
          </w:p>
        </w:tc>
        <w:tc>
          <w:tcPr>
            <w:tcW w:w="62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8.06</w:t>
            </w:r>
          </w:p>
        </w:tc>
        <w:tc>
          <w:tcPr>
            <w:tcW w:w="7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3.23</w:t>
            </w:r>
          </w:p>
        </w:tc>
        <w:tc>
          <w:tcPr>
            <w:tcW w:w="6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4.03</w:t>
            </w:r>
          </w:p>
        </w:tc>
        <w:tc>
          <w:tcPr>
            <w:tcW w:w="80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1.61</w:t>
            </w:r>
          </w:p>
        </w:tc>
        <w:tc>
          <w:tcPr>
            <w:tcW w:w="72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6.45</w:t>
            </w:r>
          </w:p>
        </w:tc>
        <w:tc>
          <w:tcPr>
            <w:tcW w:w="74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0.81</w:t>
            </w:r>
          </w:p>
        </w:tc>
        <w:tc>
          <w:tcPr>
            <w:tcW w:w="81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2.42</w:t>
            </w:r>
          </w:p>
        </w:tc>
        <w:tc>
          <w:tcPr>
            <w:tcW w:w="105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3.23</w:t>
            </w:r>
          </w:p>
        </w:tc>
        <w:tc>
          <w:tcPr>
            <w:tcW w:w="773"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5.65</w:t>
            </w:r>
          </w:p>
        </w:tc>
        <w:tc>
          <w:tcPr>
            <w:tcW w:w="9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11.29</w:t>
            </w:r>
          </w:p>
        </w:tc>
        <w:tc>
          <w:tcPr>
            <w:tcW w:w="582"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4.84</w:t>
            </w:r>
          </w:p>
        </w:tc>
      </w:tr>
      <w:tr>
        <w:tblPrEx>
          <w:tblCellMar>
            <w:top w:w="0" w:type="dxa"/>
            <w:left w:w="108" w:type="dxa"/>
            <w:bottom w:w="0" w:type="dxa"/>
            <w:right w:w="108" w:type="dxa"/>
          </w:tblCellMar>
        </w:tblPrEx>
        <w:trPr>
          <w:trHeight w:val="370" w:hRule="exact"/>
        </w:trPr>
        <w:tc>
          <w:tcPr>
            <w:tcW w:w="1281"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二月</w:t>
            </w:r>
          </w:p>
        </w:tc>
        <w:tc>
          <w:tcPr>
            <w:tcW w:w="73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8.04</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8.93</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10.71</w:t>
            </w:r>
          </w:p>
        </w:tc>
        <w:tc>
          <w:tcPr>
            <w:tcW w:w="82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4.46</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14.29</w:t>
            </w:r>
          </w:p>
        </w:tc>
        <w:tc>
          <w:tcPr>
            <w:tcW w:w="68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8.04</w:t>
            </w:r>
          </w:p>
        </w:tc>
        <w:tc>
          <w:tcPr>
            <w:tcW w:w="62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6.25</w:t>
            </w:r>
          </w:p>
        </w:tc>
        <w:tc>
          <w:tcPr>
            <w:tcW w:w="7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1.79</w:t>
            </w:r>
          </w:p>
        </w:tc>
        <w:tc>
          <w:tcPr>
            <w:tcW w:w="6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5.36</w:t>
            </w:r>
          </w:p>
        </w:tc>
        <w:tc>
          <w:tcPr>
            <w:tcW w:w="80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4.46</w:t>
            </w:r>
          </w:p>
        </w:tc>
        <w:tc>
          <w:tcPr>
            <w:tcW w:w="72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6.25</w:t>
            </w:r>
          </w:p>
        </w:tc>
        <w:tc>
          <w:tcPr>
            <w:tcW w:w="74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1.79</w:t>
            </w:r>
          </w:p>
        </w:tc>
        <w:tc>
          <w:tcPr>
            <w:tcW w:w="81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5.36</w:t>
            </w:r>
          </w:p>
        </w:tc>
        <w:tc>
          <w:tcPr>
            <w:tcW w:w="105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0.89</w:t>
            </w:r>
          </w:p>
        </w:tc>
        <w:tc>
          <w:tcPr>
            <w:tcW w:w="773"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3.57</w:t>
            </w:r>
          </w:p>
        </w:tc>
        <w:tc>
          <w:tcPr>
            <w:tcW w:w="9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7.14</w:t>
            </w:r>
          </w:p>
        </w:tc>
        <w:tc>
          <w:tcPr>
            <w:tcW w:w="582"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2.68</w:t>
            </w:r>
          </w:p>
        </w:tc>
      </w:tr>
      <w:tr>
        <w:tblPrEx>
          <w:tblCellMar>
            <w:top w:w="0" w:type="dxa"/>
            <w:left w:w="108" w:type="dxa"/>
            <w:bottom w:w="0" w:type="dxa"/>
            <w:right w:w="108" w:type="dxa"/>
          </w:tblCellMar>
        </w:tblPrEx>
        <w:trPr>
          <w:trHeight w:val="370" w:hRule="exact"/>
        </w:trPr>
        <w:tc>
          <w:tcPr>
            <w:tcW w:w="1281"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三月</w:t>
            </w:r>
          </w:p>
        </w:tc>
        <w:tc>
          <w:tcPr>
            <w:tcW w:w="73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4.84</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9.68</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8.87</w:t>
            </w:r>
          </w:p>
        </w:tc>
        <w:tc>
          <w:tcPr>
            <w:tcW w:w="82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8.06</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8.87</w:t>
            </w:r>
          </w:p>
        </w:tc>
        <w:tc>
          <w:tcPr>
            <w:tcW w:w="68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8.87</w:t>
            </w:r>
          </w:p>
        </w:tc>
        <w:tc>
          <w:tcPr>
            <w:tcW w:w="62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4.03</w:t>
            </w:r>
          </w:p>
        </w:tc>
        <w:tc>
          <w:tcPr>
            <w:tcW w:w="7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8.87</w:t>
            </w:r>
          </w:p>
        </w:tc>
        <w:tc>
          <w:tcPr>
            <w:tcW w:w="6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4.03</w:t>
            </w:r>
          </w:p>
        </w:tc>
        <w:tc>
          <w:tcPr>
            <w:tcW w:w="80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7.26</w:t>
            </w:r>
          </w:p>
        </w:tc>
        <w:tc>
          <w:tcPr>
            <w:tcW w:w="72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5.65</w:t>
            </w:r>
          </w:p>
        </w:tc>
        <w:tc>
          <w:tcPr>
            <w:tcW w:w="74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1.61</w:t>
            </w:r>
          </w:p>
        </w:tc>
        <w:tc>
          <w:tcPr>
            <w:tcW w:w="81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1.61</w:t>
            </w:r>
          </w:p>
        </w:tc>
        <w:tc>
          <w:tcPr>
            <w:tcW w:w="105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1.61</w:t>
            </w:r>
          </w:p>
        </w:tc>
        <w:tc>
          <w:tcPr>
            <w:tcW w:w="773"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4.03</w:t>
            </w:r>
          </w:p>
        </w:tc>
        <w:tc>
          <w:tcPr>
            <w:tcW w:w="9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9.68</w:t>
            </w:r>
          </w:p>
        </w:tc>
        <w:tc>
          <w:tcPr>
            <w:tcW w:w="582"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2.42</w:t>
            </w:r>
          </w:p>
        </w:tc>
      </w:tr>
      <w:tr>
        <w:tblPrEx>
          <w:tblCellMar>
            <w:top w:w="0" w:type="dxa"/>
            <w:left w:w="108" w:type="dxa"/>
            <w:bottom w:w="0" w:type="dxa"/>
            <w:right w:w="108" w:type="dxa"/>
          </w:tblCellMar>
        </w:tblPrEx>
        <w:trPr>
          <w:trHeight w:val="370" w:hRule="exact"/>
        </w:trPr>
        <w:tc>
          <w:tcPr>
            <w:tcW w:w="1281"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四月</w:t>
            </w:r>
          </w:p>
        </w:tc>
        <w:tc>
          <w:tcPr>
            <w:tcW w:w="73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6.67</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5.83</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5.83</w:t>
            </w:r>
          </w:p>
        </w:tc>
        <w:tc>
          <w:tcPr>
            <w:tcW w:w="82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10</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8.33</w:t>
            </w:r>
          </w:p>
        </w:tc>
        <w:tc>
          <w:tcPr>
            <w:tcW w:w="68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10</w:t>
            </w:r>
          </w:p>
        </w:tc>
        <w:tc>
          <w:tcPr>
            <w:tcW w:w="62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10</w:t>
            </w:r>
          </w:p>
        </w:tc>
        <w:tc>
          <w:tcPr>
            <w:tcW w:w="7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12.5</w:t>
            </w:r>
          </w:p>
        </w:tc>
        <w:tc>
          <w:tcPr>
            <w:tcW w:w="6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6.67</w:t>
            </w:r>
          </w:p>
        </w:tc>
        <w:tc>
          <w:tcPr>
            <w:tcW w:w="80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3.33</w:t>
            </w:r>
          </w:p>
        </w:tc>
        <w:tc>
          <w:tcPr>
            <w:tcW w:w="72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w:t>
            </w:r>
          </w:p>
        </w:tc>
        <w:tc>
          <w:tcPr>
            <w:tcW w:w="74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2.5</w:t>
            </w:r>
          </w:p>
        </w:tc>
        <w:tc>
          <w:tcPr>
            <w:tcW w:w="81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2.5</w:t>
            </w:r>
          </w:p>
        </w:tc>
        <w:tc>
          <w:tcPr>
            <w:tcW w:w="105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0.83</w:t>
            </w:r>
          </w:p>
        </w:tc>
        <w:tc>
          <w:tcPr>
            <w:tcW w:w="773"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3.33</w:t>
            </w:r>
          </w:p>
        </w:tc>
        <w:tc>
          <w:tcPr>
            <w:tcW w:w="9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5.83</w:t>
            </w:r>
          </w:p>
        </w:tc>
        <w:tc>
          <w:tcPr>
            <w:tcW w:w="582"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0.83</w:t>
            </w:r>
          </w:p>
        </w:tc>
      </w:tr>
      <w:tr>
        <w:tblPrEx>
          <w:tblCellMar>
            <w:top w:w="0" w:type="dxa"/>
            <w:left w:w="108" w:type="dxa"/>
            <w:bottom w:w="0" w:type="dxa"/>
            <w:right w:w="108" w:type="dxa"/>
          </w:tblCellMar>
        </w:tblPrEx>
        <w:trPr>
          <w:trHeight w:val="370" w:hRule="exact"/>
        </w:trPr>
        <w:tc>
          <w:tcPr>
            <w:tcW w:w="1281"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五月</w:t>
            </w:r>
          </w:p>
        </w:tc>
        <w:tc>
          <w:tcPr>
            <w:tcW w:w="73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1.61</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4.84</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7.26</w:t>
            </w:r>
          </w:p>
        </w:tc>
        <w:tc>
          <w:tcPr>
            <w:tcW w:w="82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12.9</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14.52</w:t>
            </w:r>
          </w:p>
        </w:tc>
        <w:tc>
          <w:tcPr>
            <w:tcW w:w="68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4.03</w:t>
            </w:r>
          </w:p>
        </w:tc>
        <w:tc>
          <w:tcPr>
            <w:tcW w:w="62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4.84</w:t>
            </w:r>
          </w:p>
        </w:tc>
        <w:tc>
          <w:tcPr>
            <w:tcW w:w="7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4.03</w:t>
            </w:r>
          </w:p>
        </w:tc>
        <w:tc>
          <w:tcPr>
            <w:tcW w:w="6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10.48</w:t>
            </w:r>
          </w:p>
        </w:tc>
        <w:tc>
          <w:tcPr>
            <w:tcW w:w="80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9.68</w:t>
            </w:r>
          </w:p>
        </w:tc>
        <w:tc>
          <w:tcPr>
            <w:tcW w:w="72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2.42</w:t>
            </w:r>
          </w:p>
        </w:tc>
        <w:tc>
          <w:tcPr>
            <w:tcW w:w="74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4.03</w:t>
            </w:r>
          </w:p>
        </w:tc>
        <w:tc>
          <w:tcPr>
            <w:tcW w:w="81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3.23</w:t>
            </w:r>
          </w:p>
        </w:tc>
        <w:tc>
          <w:tcPr>
            <w:tcW w:w="105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4.84</w:t>
            </w:r>
          </w:p>
        </w:tc>
        <w:tc>
          <w:tcPr>
            <w:tcW w:w="773"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7.26</w:t>
            </w:r>
          </w:p>
        </w:tc>
        <w:tc>
          <w:tcPr>
            <w:tcW w:w="9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1.61</w:t>
            </w:r>
          </w:p>
        </w:tc>
        <w:tc>
          <w:tcPr>
            <w:tcW w:w="582"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2.42</w:t>
            </w:r>
          </w:p>
        </w:tc>
      </w:tr>
      <w:tr>
        <w:tblPrEx>
          <w:tblCellMar>
            <w:top w:w="0" w:type="dxa"/>
            <w:left w:w="108" w:type="dxa"/>
            <w:bottom w:w="0" w:type="dxa"/>
            <w:right w:w="108" w:type="dxa"/>
          </w:tblCellMar>
        </w:tblPrEx>
        <w:trPr>
          <w:trHeight w:val="370" w:hRule="exact"/>
        </w:trPr>
        <w:tc>
          <w:tcPr>
            <w:tcW w:w="1281"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六月</w:t>
            </w:r>
          </w:p>
        </w:tc>
        <w:tc>
          <w:tcPr>
            <w:tcW w:w="73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5.83</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4.17</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6.67</w:t>
            </w:r>
          </w:p>
        </w:tc>
        <w:tc>
          <w:tcPr>
            <w:tcW w:w="82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12.5</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10.83</w:t>
            </w:r>
          </w:p>
        </w:tc>
        <w:tc>
          <w:tcPr>
            <w:tcW w:w="68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14.17</w:t>
            </w:r>
          </w:p>
        </w:tc>
        <w:tc>
          <w:tcPr>
            <w:tcW w:w="62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4.17</w:t>
            </w:r>
          </w:p>
        </w:tc>
        <w:tc>
          <w:tcPr>
            <w:tcW w:w="7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7.5</w:t>
            </w:r>
          </w:p>
        </w:tc>
        <w:tc>
          <w:tcPr>
            <w:tcW w:w="6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13.33</w:t>
            </w:r>
          </w:p>
        </w:tc>
        <w:tc>
          <w:tcPr>
            <w:tcW w:w="80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6.67</w:t>
            </w:r>
          </w:p>
        </w:tc>
        <w:tc>
          <w:tcPr>
            <w:tcW w:w="72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5.83</w:t>
            </w:r>
          </w:p>
        </w:tc>
        <w:tc>
          <w:tcPr>
            <w:tcW w:w="74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0</w:t>
            </w:r>
          </w:p>
        </w:tc>
        <w:tc>
          <w:tcPr>
            <w:tcW w:w="81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1.67</w:t>
            </w:r>
          </w:p>
        </w:tc>
        <w:tc>
          <w:tcPr>
            <w:tcW w:w="105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1.67</w:t>
            </w:r>
          </w:p>
        </w:tc>
        <w:tc>
          <w:tcPr>
            <w:tcW w:w="773"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1.67</w:t>
            </w:r>
          </w:p>
        </w:tc>
        <w:tc>
          <w:tcPr>
            <w:tcW w:w="9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1.67</w:t>
            </w:r>
          </w:p>
        </w:tc>
        <w:tc>
          <w:tcPr>
            <w:tcW w:w="582"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1.67</w:t>
            </w:r>
          </w:p>
        </w:tc>
      </w:tr>
      <w:tr>
        <w:tblPrEx>
          <w:tblCellMar>
            <w:top w:w="0" w:type="dxa"/>
            <w:left w:w="108" w:type="dxa"/>
            <w:bottom w:w="0" w:type="dxa"/>
            <w:right w:w="108" w:type="dxa"/>
          </w:tblCellMar>
        </w:tblPrEx>
        <w:trPr>
          <w:trHeight w:val="372" w:hRule="exact"/>
        </w:trPr>
        <w:tc>
          <w:tcPr>
            <w:tcW w:w="1281"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七月</w:t>
            </w:r>
          </w:p>
        </w:tc>
        <w:tc>
          <w:tcPr>
            <w:tcW w:w="73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1.61</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1.61</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6.45</w:t>
            </w:r>
          </w:p>
        </w:tc>
        <w:tc>
          <w:tcPr>
            <w:tcW w:w="82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8.06</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14.52</w:t>
            </w:r>
          </w:p>
        </w:tc>
        <w:tc>
          <w:tcPr>
            <w:tcW w:w="68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13.71</w:t>
            </w:r>
          </w:p>
        </w:tc>
        <w:tc>
          <w:tcPr>
            <w:tcW w:w="62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8.87</w:t>
            </w:r>
          </w:p>
        </w:tc>
        <w:tc>
          <w:tcPr>
            <w:tcW w:w="7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11.29</w:t>
            </w:r>
          </w:p>
        </w:tc>
        <w:tc>
          <w:tcPr>
            <w:tcW w:w="6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10.48</w:t>
            </w:r>
          </w:p>
        </w:tc>
        <w:tc>
          <w:tcPr>
            <w:tcW w:w="80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8.06</w:t>
            </w:r>
          </w:p>
        </w:tc>
        <w:tc>
          <w:tcPr>
            <w:tcW w:w="72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0.81</w:t>
            </w:r>
          </w:p>
        </w:tc>
        <w:tc>
          <w:tcPr>
            <w:tcW w:w="74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1.61</w:t>
            </w:r>
          </w:p>
        </w:tc>
        <w:tc>
          <w:tcPr>
            <w:tcW w:w="81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0.81</w:t>
            </w:r>
          </w:p>
        </w:tc>
        <w:tc>
          <w:tcPr>
            <w:tcW w:w="105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0.81</w:t>
            </w:r>
          </w:p>
        </w:tc>
        <w:tc>
          <w:tcPr>
            <w:tcW w:w="773"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1.61</w:t>
            </w:r>
          </w:p>
        </w:tc>
        <w:tc>
          <w:tcPr>
            <w:tcW w:w="9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3.23</w:t>
            </w:r>
          </w:p>
        </w:tc>
        <w:tc>
          <w:tcPr>
            <w:tcW w:w="582"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6.45</w:t>
            </w:r>
          </w:p>
        </w:tc>
      </w:tr>
      <w:tr>
        <w:tblPrEx>
          <w:tblCellMar>
            <w:top w:w="0" w:type="dxa"/>
            <w:left w:w="108" w:type="dxa"/>
            <w:bottom w:w="0" w:type="dxa"/>
            <w:right w:w="108" w:type="dxa"/>
          </w:tblCellMar>
        </w:tblPrEx>
        <w:trPr>
          <w:trHeight w:val="370" w:hRule="exact"/>
        </w:trPr>
        <w:tc>
          <w:tcPr>
            <w:tcW w:w="1281"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八月</w:t>
            </w:r>
          </w:p>
        </w:tc>
        <w:tc>
          <w:tcPr>
            <w:tcW w:w="73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8.06</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5.65</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4.84</w:t>
            </w:r>
          </w:p>
        </w:tc>
        <w:tc>
          <w:tcPr>
            <w:tcW w:w="82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2.42</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4.03</w:t>
            </w:r>
          </w:p>
        </w:tc>
        <w:tc>
          <w:tcPr>
            <w:tcW w:w="68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12.1</w:t>
            </w:r>
          </w:p>
        </w:tc>
        <w:tc>
          <w:tcPr>
            <w:tcW w:w="62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4.03</w:t>
            </w:r>
          </w:p>
        </w:tc>
        <w:tc>
          <w:tcPr>
            <w:tcW w:w="7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12.1</w:t>
            </w:r>
          </w:p>
        </w:tc>
        <w:tc>
          <w:tcPr>
            <w:tcW w:w="6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6.45</w:t>
            </w:r>
          </w:p>
        </w:tc>
        <w:tc>
          <w:tcPr>
            <w:tcW w:w="80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8.87</w:t>
            </w:r>
          </w:p>
        </w:tc>
        <w:tc>
          <w:tcPr>
            <w:tcW w:w="72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2.42</w:t>
            </w:r>
          </w:p>
        </w:tc>
        <w:tc>
          <w:tcPr>
            <w:tcW w:w="74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0.81</w:t>
            </w:r>
          </w:p>
        </w:tc>
        <w:tc>
          <w:tcPr>
            <w:tcW w:w="81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2.42</w:t>
            </w:r>
          </w:p>
        </w:tc>
        <w:tc>
          <w:tcPr>
            <w:tcW w:w="105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4.03</w:t>
            </w:r>
          </w:p>
        </w:tc>
        <w:tc>
          <w:tcPr>
            <w:tcW w:w="773"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7.26</w:t>
            </w:r>
          </w:p>
        </w:tc>
        <w:tc>
          <w:tcPr>
            <w:tcW w:w="9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10.48</w:t>
            </w:r>
          </w:p>
        </w:tc>
        <w:tc>
          <w:tcPr>
            <w:tcW w:w="582"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4.03</w:t>
            </w:r>
          </w:p>
        </w:tc>
      </w:tr>
      <w:tr>
        <w:tblPrEx>
          <w:tblCellMar>
            <w:top w:w="0" w:type="dxa"/>
            <w:left w:w="108" w:type="dxa"/>
            <w:bottom w:w="0" w:type="dxa"/>
            <w:right w:w="108" w:type="dxa"/>
          </w:tblCellMar>
        </w:tblPrEx>
        <w:trPr>
          <w:trHeight w:val="370" w:hRule="exact"/>
        </w:trPr>
        <w:tc>
          <w:tcPr>
            <w:tcW w:w="1281"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九月</w:t>
            </w:r>
          </w:p>
        </w:tc>
        <w:tc>
          <w:tcPr>
            <w:tcW w:w="73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14.17</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10</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10</w:t>
            </w:r>
          </w:p>
        </w:tc>
        <w:tc>
          <w:tcPr>
            <w:tcW w:w="82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5.83</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15.83</w:t>
            </w:r>
          </w:p>
        </w:tc>
        <w:tc>
          <w:tcPr>
            <w:tcW w:w="68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11.67</w:t>
            </w:r>
          </w:p>
        </w:tc>
        <w:tc>
          <w:tcPr>
            <w:tcW w:w="62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3.33</w:t>
            </w:r>
          </w:p>
        </w:tc>
        <w:tc>
          <w:tcPr>
            <w:tcW w:w="7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3.33</w:t>
            </w:r>
          </w:p>
        </w:tc>
        <w:tc>
          <w:tcPr>
            <w:tcW w:w="6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1.67</w:t>
            </w:r>
          </w:p>
        </w:tc>
        <w:tc>
          <w:tcPr>
            <w:tcW w:w="80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2.5</w:t>
            </w:r>
          </w:p>
        </w:tc>
        <w:tc>
          <w:tcPr>
            <w:tcW w:w="72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1.67</w:t>
            </w:r>
          </w:p>
        </w:tc>
        <w:tc>
          <w:tcPr>
            <w:tcW w:w="74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0</w:t>
            </w:r>
          </w:p>
        </w:tc>
        <w:tc>
          <w:tcPr>
            <w:tcW w:w="81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0.83</w:t>
            </w:r>
          </w:p>
        </w:tc>
        <w:tc>
          <w:tcPr>
            <w:tcW w:w="105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3.33</w:t>
            </w:r>
          </w:p>
        </w:tc>
        <w:tc>
          <w:tcPr>
            <w:tcW w:w="773"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2.5</w:t>
            </w:r>
          </w:p>
        </w:tc>
        <w:tc>
          <w:tcPr>
            <w:tcW w:w="9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6.67</w:t>
            </w:r>
          </w:p>
        </w:tc>
        <w:tc>
          <w:tcPr>
            <w:tcW w:w="582"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6.67</w:t>
            </w:r>
          </w:p>
        </w:tc>
      </w:tr>
      <w:tr>
        <w:tblPrEx>
          <w:tblCellMar>
            <w:top w:w="0" w:type="dxa"/>
            <w:left w:w="108" w:type="dxa"/>
            <w:bottom w:w="0" w:type="dxa"/>
            <w:right w:w="108" w:type="dxa"/>
          </w:tblCellMar>
        </w:tblPrEx>
        <w:trPr>
          <w:trHeight w:val="370" w:hRule="exact"/>
        </w:trPr>
        <w:tc>
          <w:tcPr>
            <w:tcW w:w="1281"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十月</w:t>
            </w:r>
          </w:p>
        </w:tc>
        <w:tc>
          <w:tcPr>
            <w:tcW w:w="73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8.87</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10.48</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5.65</w:t>
            </w:r>
          </w:p>
        </w:tc>
        <w:tc>
          <w:tcPr>
            <w:tcW w:w="82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4.03</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12.9</w:t>
            </w:r>
          </w:p>
        </w:tc>
        <w:tc>
          <w:tcPr>
            <w:tcW w:w="68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8.87</w:t>
            </w:r>
          </w:p>
        </w:tc>
        <w:tc>
          <w:tcPr>
            <w:tcW w:w="62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5.65</w:t>
            </w:r>
          </w:p>
        </w:tc>
        <w:tc>
          <w:tcPr>
            <w:tcW w:w="7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5.65</w:t>
            </w:r>
          </w:p>
        </w:tc>
        <w:tc>
          <w:tcPr>
            <w:tcW w:w="6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3.23</w:t>
            </w:r>
          </w:p>
        </w:tc>
        <w:tc>
          <w:tcPr>
            <w:tcW w:w="80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6.45</w:t>
            </w:r>
          </w:p>
        </w:tc>
        <w:tc>
          <w:tcPr>
            <w:tcW w:w="72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1.61</w:t>
            </w:r>
          </w:p>
        </w:tc>
        <w:tc>
          <w:tcPr>
            <w:tcW w:w="74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0</w:t>
            </w:r>
          </w:p>
        </w:tc>
        <w:tc>
          <w:tcPr>
            <w:tcW w:w="81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3.23</w:t>
            </w:r>
          </w:p>
        </w:tc>
        <w:tc>
          <w:tcPr>
            <w:tcW w:w="105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4.84</w:t>
            </w:r>
          </w:p>
        </w:tc>
        <w:tc>
          <w:tcPr>
            <w:tcW w:w="773"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0</w:t>
            </w:r>
          </w:p>
        </w:tc>
        <w:tc>
          <w:tcPr>
            <w:tcW w:w="9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9.68</w:t>
            </w:r>
          </w:p>
        </w:tc>
        <w:tc>
          <w:tcPr>
            <w:tcW w:w="582"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8.87</w:t>
            </w:r>
          </w:p>
        </w:tc>
      </w:tr>
      <w:tr>
        <w:tblPrEx>
          <w:tblCellMar>
            <w:top w:w="0" w:type="dxa"/>
            <w:left w:w="108" w:type="dxa"/>
            <w:bottom w:w="0" w:type="dxa"/>
            <w:right w:w="108" w:type="dxa"/>
          </w:tblCellMar>
        </w:tblPrEx>
        <w:trPr>
          <w:trHeight w:val="370" w:hRule="exact"/>
        </w:trPr>
        <w:tc>
          <w:tcPr>
            <w:tcW w:w="1281"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十一月</w:t>
            </w:r>
          </w:p>
        </w:tc>
        <w:tc>
          <w:tcPr>
            <w:tcW w:w="73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5.83</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2.5</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w:t>
            </w:r>
          </w:p>
        </w:tc>
        <w:tc>
          <w:tcPr>
            <w:tcW w:w="82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3.33</w:t>
            </w:r>
          </w:p>
        </w:tc>
        <w:tc>
          <w:tcPr>
            <w:tcW w:w="68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4.17</w:t>
            </w:r>
          </w:p>
        </w:tc>
        <w:tc>
          <w:tcPr>
            <w:tcW w:w="68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6.67</w:t>
            </w:r>
          </w:p>
        </w:tc>
        <w:tc>
          <w:tcPr>
            <w:tcW w:w="62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9.17</w:t>
            </w:r>
          </w:p>
        </w:tc>
        <w:tc>
          <w:tcPr>
            <w:tcW w:w="7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11.67</w:t>
            </w:r>
          </w:p>
        </w:tc>
        <w:tc>
          <w:tcPr>
            <w:tcW w:w="6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12.5</w:t>
            </w:r>
          </w:p>
        </w:tc>
        <w:tc>
          <w:tcPr>
            <w:tcW w:w="80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5.83</w:t>
            </w:r>
          </w:p>
        </w:tc>
        <w:tc>
          <w:tcPr>
            <w:tcW w:w="72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9.17</w:t>
            </w:r>
          </w:p>
        </w:tc>
        <w:tc>
          <w:tcPr>
            <w:tcW w:w="74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0.83</w:t>
            </w:r>
          </w:p>
        </w:tc>
        <w:tc>
          <w:tcPr>
            <w:tcW w:w="81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4.17</w:t>
            </w:r>
          </w:p>
        </w:tc>
        <w:tc>
          <w:tcPr>
            <w:tcW w:w="105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3.33</w:t>
            </w:r>
          </w:p>
        </w:tc>
        <w:tc>
          <w:tcPr>
            <w:tcW w:w="773"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4.17</w:t>
            </w:r>
          </w:p>
        </w:tc>
        <w:tc>
          <w:tcPr>
            <w:tcW w:w="987"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5.83</w:t>
            </w:r>
          </w:p>
        </w:tc>
        <w:tc>
          <w:tcPr>
            <w:tcW w:w="582"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5.83</w:t>
            </w:r>
          </w:p>
        </w:tc>
      </w:tr>
      <w:tr>
        <w:tblPrEx>
          <w:tblCellMar>
            <w:top w:w="0" w:type="dxa"/>
            <w:left w:w="108" w:type="dxa"/>
            <w:bottom w:w="0" w:type="dxa"/>
            <w:right w:w="108" w:type="dxa"/>
          </w:tblCellMar>
        </w:tblPrEx>
        <w:trPr>
          <w:trHeight w:val="382" w:hRule="exact"/>
        </w:trPr>
        <w:tc>
          <w:tcPr>
            <w:tcW w:w="1281" w:type="dxa"/>
            <w:tcBorders>
              <w:top w:val="single" w:color="000000" w:sz="4" w:space="0"/>
              <w:left w:val="nil"/>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十二月</w:t>
            </w:r>
          </w:p>
        </w:tc>
        <w:tc>
          <w:tcPr>
            <w:tcW w:w="731"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8.06</w:t>
            </w:r>
          </w:p>
        </w:tc>
        <w:tc>
          <w:tcPr>
            <w:tcW w:w="686"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7.26</w:t>
            </w:r>
          </w:p>
        </w:tc>
        <w:tc>
          <w:tcPr>
            <w:tcW w:w="686"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4.84</w:t>
            </w:r>
          </w:p>
        </w:tc>
        <w:tc>
          <w:tcPr>
            <w:tcW w:w="820"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0.81</w:t>
            </w:r>
          </w:p>
        </w:tc>
        <w:tc>
          <w:tcPr>
            <w:tcW w:w="686"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6.45</w:t>
            </w:r>
          </w:p>
        </w:tc>
        <w:tc>
          <w:tcPr>
            <w:tcW w:w="688"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3.23</w:t>
            </w:r>
          </w:p>
        </w:tc>
        <w:tc>
          <w:tcPr>
            <w:tcW w:w="627"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4.03</w:t>
            </w:r>
          </w:p>
        </w:tc>
        <w:tc>
          <w:tcPr>
            <w:tcW w:w="790"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4.03</w:t>
            </w:r>
          </w:p>
        </w:tc>
        <w:tc>
          <w:tcPr>
            <w:tcW w:w="687"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8.06</w:t>
            </w:r>
          </w:p>
        </w:tc>
        <w:tc>
          <w:tcPr>
            <w:tcW w:w="805"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7.26</w:t>
            </w:r>
          </w:p>
        </w:tc>
        <w:tc>
          <w:tcPr>
            <w:tcW w:w="724"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15.32</w:t>
            </w:r>
          </w:p>
        </w:tc>
        <w:tc>
          <w:tcPr>
            <w:tcW w:w="748"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4.03</w:t>
            </w:r>
          </w:p>
        </w:tc>
        <w:tc>
          <w:tcPr>
            <w:tcW w:w="818"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4.84</w:t>
            </w:r>
          </w:p>
        </w:tc>
        <w:tc>
          <w:tcPr>
            <w:tcW w:w="1055"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4.84</w:t>
            </w:r>
          </w:p>
        </w:tc>
        <w:tc>
          <w:tcPr>
            <w:tcW w:w="773"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9.68</w:t>
            </w:r>
          </w:p>
        </w:tc>
        <w:tc>
          <w:tcPr>
            <w:tcW w:w="987"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4.03</w:t>
            </w:r>
          </w:p>
        </w:tc>
        <w:tc>
          <w:tcPr>
            <w:tcW w:w="582" w:type="dxa"/>
            <w:tcBorders>
              <w:top w:val="single" w:color="000000" w:sz="4" w:space="0"/>
              <w:left w:val="single" w:color="000000" w:sz="4" w:space="0"/>
              <w:bottom w:val="single" w:color="000000" w:sz="12"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3.23</w:t>
            </w:r>
          </w:p>
        </w:tc>
      </w:tr>
    </w:tbl>
    <w:p>
      <w:pPr>
        <w:spacing w:line="240" w:lineRule="auto"/>
        <w:ind w:firstLine="0" w:firstLineChars="0"/>
        <w:jc w:val="center"/>
        <w:rPr>
          <w:rFonts w:eastAsia="黑体" w:cs="Times New Roman"/>
        </w:rPr>
      </w:pPr>
      <w:r>
        <w:rPr>
          <w:rFonts w:eastAsia="黑体" w:cs="Times New Roman"/>
        </w:rPr>
        <w:t>表</w:t>
      </w:r>
      <w:r>
        <w:rPr>
          <w:rFonts w:hint="eastAsia" w:eastAsia="黑体" w:cs="Times New Roman"/>
        </w:rPr>
        <w:t>4</w:t>
      </w:r>
      <w:r>
        <w:rPr>
          <w:rFonts w:eastAsia="黑体" w:cs="Times New Roman"/>
        </w:rPr>
        <w:t>.</w:t>
      </w:r>
      <w:r>
        <w:rPr>
          <w:rFonts w:hint="eastAsia" w:eastAsia="黑体" w:cs="Times New Roman"/>
        </w:rPr>
        <w:t>2</w:t>
      </w:r>
      <w:r>
        <w:rPr>
          <w:rFonts w:eastAsia="黑体" w:cs="Times New Roman"/>
        </w:rPr>
        <w:t xml:space="preserve">-5 </w:t>
      </w:r>
      <w:r>
        <w:rPr>
          <w:rFonts w:hint="eastAsia" w:eastAsia="黑体" w:cs="Times New Roman"/>
        </w:rPr>
        <w:t xml:space="preserve"> </w:t>
      </w:r>
      <w:r>
        <w:rPr>
          <w:rFonts w:eastAsia="黑体" w:cs="Times New Roman"/>
        </w:rPr>
        <w:t>1996-2015 年均风频的季变化及年均风频年变化</w:t>
      </w:r>
    </w:p>
    <w:p>
      <w:pPr>
        <w:spacing w:before="4" w:line="20" w:lineRule="exact"/>
        <w:ind w:firstLine="40"/>
        <w:jc w:val="left"/>
        <w:rPr>
          <w:rFonts w:ascii="Microsoft JhengHei" w:hAnsi="Microsoft JhengHei" w:eastAsia="Microsoft JhengHei"/>
          <w:sz w:val="2"/>
        </w:rPr>
      </w:pPr>
    </w:p>
    <w:tbl>
      <w:tblPr>
        <w:tblStyle w:val="26"/>
        <w:tblW w:w="14174" w:type="dxa"/>
        <w:tblInd w:w="0" w:type="dxa"/>
        <w:tblLayout w:type="fixed"/>
        <w:tblCellMar>
          <w:top w:w="0" w:type="dxa"/>
          <w:left w:w="108" w:type="dxa"/>
          <w:bottom w:w="0" w:type="dxa"/>
          <w:right w:w="108" w:type="dxa"/>
        </w:tblCellMar>
      </w:tblPr>
      <w:tblGrid>
        <w:gridCol w:w="1123"/>
        <w:gridCol w:w="682"/>
        <w:gridCol w:w="754"/>
        <w:gridCol w:w="682"/>
        <w:gridCol w:w="802"/>
        <w:gridCol w:w="801"/>
        <w:gridCol w:w="801"/>
        <w:gridCol w:w="680"/>
        <w:gridCol w:w="804"/>
        <w:gridCol w:w="801"/>
        <w:gridCol w:w="755"/>
        <w:gridCol w:w="679"/>
        <w:gridCol w:w="851"/>
        <w:gridCol w:w="680"/>
        <w:gridCol w:w="890"/>
        <w:gridCol w:w="682"/>
        <w:gridCol w:w="834"/>
        <w:gridCol w:w="873"/>
      </w:tblGrid>
      <w:tr>
        <w:tblPrEx>
          <w:tblCellMar>
            <w:top w:w="0" w:type="dxa"/>
            <w:left w:w="108" w:type="dxa"/>
            <w:bottom w:w="0" w:type="dxa"/>
            <w:right w:w="108" w:type="dxa"/>
          </w:tblCellMar>
        </w:tblPrEx>
        <w:trPr>
          <w:trHeight w:val="564" w:hRule="exact"/>
        </w:trPr>
        <w:tc>
          <w:tcPr>
            <w:tcW w:w="1123" w:type="dxa"/>
            <w:tcBorders>
              <w:top w:val="single" w:color="000000" w:sz="12"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mc:AlternateContent>
                <mc:Choice Requires="wps">
                  <w:drawing>
                    <wp:anchor distT="0" distB="0" distL="114300" distR="114300" simplePos="0" relativeHeight="1403303936" behindDoc="1" locked="0" layoutInCell="1" allowOverlap="1">
                      <wp:simplePos x="0" y="0"/>
                      <wp:positionH relativeFrom="page">
                        <wp:posOffset>24765</wp:posOffset>
                      </wp:positionH>
                      <wp:positionV relativeFrom="paragraph">
                        <wp:posOffset>-17780</wp:posOffset>
                      </wp:positionV>
                      <wp:extent cx="716280" cy="344170"/>
                      <wp:effectExtent l="1905" t="4445" r="5715" b="13335"/>
                      <wp:wrapNone/>
                      <wp:docPr id="110" name="任意多边形 110"/>
                      <wp:cNvGraphicFramePr/>
                      <a:graphic xmlns:a="http://schemas.openxmlformats.org/drawingml/2006/main">
                        <a:graphicData uri="http://schemas.microsoft.com/office/word/2010/wordprocessingShape">
                          <wps:wsp>
                            <wps:cNvSpPr/>
                            <wps:spPr>
                              <a:xfrm>
                                <a:off x="0" y="0"/>
                                <a:ext cx="716280" cy="344170"/>
                              </a:xfrm>
                              <a:custGeom>
                                <a:avLst/>
                                <a:gdLst/>
                                <a:ahLst/>
                                <a:cxnLst/>
                                <a:rect l="0" t="0" r="0" b="0"/>
                                <a:pathLst>
                                  <a:path w="1128" h="542">
                                    <a:moveTo>
                                      <a:pt x="0" y="0"/>
                                    </a:moveTo>
                                    <a:lnTo>
                                      <a:pt x="1128" y="542"/>
                                    </a:lnTo>
                                  </a:path>
                                </a:pathLst>
                              </a:custGeom>
                              <a:noFill/>
                              <a:ln w="6096"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95pt;margin-top:-1.4pt;height:27.1pt;width:56.4pt;mso-position-horizontal-relative:page;z-index:899987456;mso-width-relative:page;mso-height-relative:page;" filled="f" stroked="t" coordsize="1128,542" o:gfxdata="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4WYuh&#10;1wAAAAcBAAAPAAAAAAAAAAEAIAAAACIAAABkcnMvZG93bnJldi54bWxQSwECFAAUAAAACACHTuJA&#10;CATQCyICAABnBAAADgAAAAAAAAABACAAAAAmAQAAZHJzL2Uyb0RvYy54bWxQSwUGAAAAAAYABgBZ&#10;AQAAugUAAAAA&#10;" path="m0,0l1128,542e">
                      <v:fill on="f" focussize="0,0"/>
                      <v:stroke weight="0.48pt" color="#000000" joinstyle="round"/>
                      <v:imagedata o:title=""/>
                      <o:lock v:ext="edit" aspectratio="f"/>
                    </v:shape>
                  </w:pict>
                </mc:Fallback>
              </mc:AlternateContent>
            </w:r>
            <w:r>
              <w:rPr>
                <w:rFonts w:hint="eastAsia" w:cs="Times New Roman"/>
                <w:color w:val="000000"/>
                <w:sz w:val="21"/>
              </w:rPr>
              <w:t xml:space="preserve">    </w:t>
            </w:r>
            <w:r>
              <w:rPr>
                <w:rFonts w:cs="Times New Roman"/>
                <w:color w:val="000000"/>
                <w:sz w:val="21"/>
              </w:rPr>
              <w:t>风向</w:t>
            </w:r>
          </w:p>
          <w:p>
            <w:pPr>
              <w:pStyle w:val="46"/>
              <w:spacing w:line="240" w:lineRule="auto"/>
              <w:ind w:firstLine="0" w:firstLineChars="0"/>
              <w:rPr>
                <w:rFonts w:cs="Times New Roman"/>
                <w:color w:val="000000"/>
                <w:sz w:val="21"/>
              </w:rPr>
            </w:pPr>
            <w:r>
              <w:rPr>
                <w:rFonts w:cs="Times New Roman"/>
                <w:color w:val="000000"/>
                <w:sz w:val="21"/>
              </w:rPr>
              <w:t>风频(%)</w:t>
            </w:r>
          </w:p>
        </w:tc>
        <w:tc>
          <w:tcPr>
            <w:tcW w:w="682"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N</w:t>
            </w:r>
          </w:p>
        </w:tc>
        <w:tc>
          <w:tcPr>
            <w:tcW w:w="754"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NNE</w:t>
            </w:r>
          </w:p>
        </w:tc>
        <w:tc>
          <w:tcPr>
            <w:tcW w:w="682"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NE</w:t>
            </w:r>
          </w:p>
        </w:tc>
        <w:tc>
          <w:tcPr>
            <w:tcW w:w="802"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ENE</w:t>
            </w:r>
          </w:p>
        </w:tc>
        <w:tc>
          <w:tcPr>
            <w:tcW w:w="801"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E</w:t>
            </w:r>
          </w:p>
        </w:tc>
        <w:tc>
          <w:tcPr>
            <w:tcW w:w="801"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ESE</w:t>
            </w:r>
          </w:p>
        </w:tc>
        <w:tc>
          <w:tcPr>
            <w:tcW w:w="680"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SE</w:t>
            </w:r>
          </w:p>
        </w:tc>
        <w:tc>
          <w:tcPr>
            <w:tcW w:w="804"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SSE</w:t>
            </w:r>
          </w:p>
        </w:tc>
        <w:tc>
          <w:tcPr>
            <w:tcW w:w="801"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S</w:t>
            </w:r>
          </w:p>
        </w:tc>
        <w:tc>
          <w:tcPr>
            <w:tcW w:w="755"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SSW</w:t>
            </w:r>
          </w:p>
        </w:tc>
        <w:tc>
          <w:tcPr>
            <w:tcW w:w="679"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SW</w:t>
            </w:r>
          </w:p>
        </w:tc>
        <w:tc>
          <w:tcPr>
            <w:tcW w:w="851"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WSW</w:t>
            </w:r>
          </w:p>
        </w:tc>
        <w:tc>
          <w:tcPr>
            <w:tcW w:w="680"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W</w:t>
            </w:r>
          </w:p>
        </w:tc>
        <w:tc>
          <w:tcPr>
            <w:tcW w:w="890"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WNW</w:t>
            </w:r>
          </w:p>
        </w:tc>
        <w:tc>
          <w:tcPr>
            <w:tcW w:w="682"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NW</w:t>
            </w:r>
          </w:p>
        </w:tc>
        <w:tc>
          <w:tcPr>
            <w:tcW w:w="834"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NNW</w:t>
            </w:r>
          </w:p>
        </w:tc>
        <w:tc>
          <w:tcPr>
            <w:tcW w:w="873" w:type="dxa"/>
            <w:tcBorders>
              <w:top w:val="single" w:color="000000" w:sz="12"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C</w:t>
            </w:r>
          </w:p>
        </w:tc>
      </w:tr>
      <w:tr>
        <w:tblPrEx>
          <w:tblCellMar>
            <w:top w:w="0" w:type="dxa"/>
            <w:left w:w="108" w:type="dxa"/>
            <w:bottom w:w="0" w:type="dxa"/>
            <w:right w:w="108" w:type="dxa"/>
          </w:tblCellMar>
        </w:tblPrEx>
        <w:trPr>
          <w:trHeight w:val="370" w:hRule="exact"/>
        </w:trPr>
        <w:tc>
          <w:tcPr>
            <w:tcW w:w="1123"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春季</w:t>
            </w:r>
          </w:p>
        </w:tc>
        <w:tc>
          <w:tcPr>
            <w:tcW w:w="68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4.35</w:t>
            </w:r>
          </w:p>
        </w:tc>
        <w:tc>
          <w:tcPr>
            <w:tcW w:w="75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6.79</w:t>
            </w:r>
          </w:p>
        </w:tc>
        <w:tc>
          <w:tcPr>
            <w:tcW w:w="68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7.34</w:t>
            </w:r>
          </w:p>
        </w:tc>
        <w:tc>
          <w:tcPr>
            <w:tcW w:w="80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10.33</w:t>
            </w:r>
          </w:p>
        </w:tc>
        <w:tc>
          <w:tcPr>
            <w:tcW w:w="80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10.6</w:t>
            </w:r>
          </w:p>
        </w:tc>
        <w:tc>
          <w:tcPr>
            <w:tcW w:w="80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7.61</w:t>
            </w:r>
          </w:p>
        </w:tc>
        <w:tc>
          <w:tcPr>
            <w:tcW w:w="68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6.25</w:t>
            </w:r>
          </w:p>
        </w:tc>
        <w:tc>
          <w:tcPr>
            <w:tcW w:w="80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8.42</w:t>
            </w:r>
          </w:p>
        </w:tc>
        <w:tc>
          <w:tcPr>
            <w:tcW w:w="80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7.07</w:t>
            </w:r>
          </w:p>
        </w:tc>
        <w:tc>
          <w:tcPr>
            <w:tcW w:w="75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6.79</w:t>
            </w:r>
          </w:p>
        </w:tc>
        <w:tc>
          <w:tcPr>
            <w:tcW w:w="679"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4.35</w:t>
            </w:r>
          </w:p>
        </w:tc>
        <w:tc>
          <w:tcPr>
            <w:tcW w:w="85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2.72</w:t>
            </w:r>
          </w:p>
        </w:tc>
        <w:tc>
          <w:tcPr>
            <w:tcW w:w="68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2.45</w:t>
            </w:r>
          </w:p>
        </w:tc>
        <w:tc>
          <w:tcPr>
            <w:tcW w:w="8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2.45</w:t>
            </w:r>
          </w:p>
        </w:tc>
        <w:tc>
          <w:tcPr>
            <w:tcW w:w="68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4.89</w:t>
            </w:r>
          </w:p>
        </w:tc>
        <w:tc>
          <w:tcPr>
            <w:tcW w:w="83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5.71</w:t>
            </w:r>
          </w:p>
        </w:tc>
        <w:tc>
          <w:tcPr>
            <w:tcW w:w="873"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1.9</w:t>
            </w:r>
          </w:p>
        </w:tc>
      </w:tr>
      <w:tr>
        <w:tblPrEx>
          <w:tblCellMar>
            <w:top w:w="0" w:type="dxa"/>
            <w:left w:w="108" w:type="dxa"/>
            <w:bottom w:w="0" w:type="dxa"/>
            <w:right w:w="108" w:type="dxa"/>
          </w:tblCellMar>
        </w:tblPrEx>
        <w:trPr>
          <w:trHeight w:val="370" w:hRule="exact"/>
        </w:trPr>
        <w:tc>
          <w:tcPr>
            <w:tcW w:w="1123"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夏季</w:t>
            </w:r>
          </w:p>
        </w:tc>
        <w:tc>
          <w:tcPr>
            <w:tcW w:w="68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5.16</w:t>
            </w:r>
          </w:p>
        </w:tc>
        <w:tc>
          <w:tcPr>
            <w:tcW w:w="75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3.8</w:t>
            </w:r>
          </w:p>
        </w:tc>
        <w:tc>
          <w:tcPr>
            <w:tcW w:w="68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5.98</w:t>
            </w:r>
          </w:p>
        </w:tc>
        <w:tc>
          <w:tcPr>
            <w:tcW w:w="80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7.61</w:t>
            </w:r>
          </w:p>
        </w:tc>
        <w:tc>
          <w:tcPr>
            <w:tcW w:w="80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9.78</w:t>
            </w:r>
          </w:p>
        </w:tc>
        <w:tc>
          <w:tcPr>
            <w:tcW w:w="80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13.32</w:t>
            </w:r>
          </w:p>
        </w:tc>
        <w:tc>
          <w:tcPr>
            <w:tcW w:w="68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5.71</w:t>
            </w:r>
          </w:p>
        </w:tc>
        <w:tc>
          <w:tcPr>
            <w:tcW w:w="80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10.33</w:t>
            </w:r>
          </w:p>
        </w:tc>
        <w:tc>
          <w:tcPr>
            <w:tcW w:w="80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10.05</w:t>
            </w:r>
          </w:p>
        </w:tc>
        <w:tc>
          <w:tcPr>
            <w:tcW w:w="75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7.88</w:t>
            </w:r>
          </w:p>
        </w:tc>
        <w:tc>
          <w:tcPr>
            <w:tcW w:w="679"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2.99</w:t>
            </w:r>
          </w:p>
        </w:tc>
        <w:tc>
          <w:tcPr>
            <w:tcW w:w="85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0.82</w:t>
            </w:r>
          </w:p>
        </w:tc>
        <w:tc>
          <w:tcPr>
            <w:tcW w:w="68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1.63</w:t>
            </w:r>
          </w:p>
        </w:tc>
        <w:tc>
          <w:tcPr>
            <w:tcW w:w="8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2.17</w:t>
            </w:r>
          </w:p>
        </w:tc>
        <w:tc>
          <w:tcPr>
            <w:tcW w:w="68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3.53</w:t>
            </w:r>
          </w:p>
        </w:tc>
        <w:tc>
          <w:tcPr>
            <w:tcW w:w="83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5.16</w:t>
            </w:r>
          </w:p>
        </w:tc>
        <w:tc>
          <w:tcPr>
            <w:tcW w:w="873"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4.08</w:t>
            </w:r>
          </w:p>
        </w:tc>
      </w:tr>
      <w:tr>
        <w:tblPrEx>
          <w:tblCellMar>
            <w:top w:w="0" w:type="dxa"/>
            <w:left w:w="108" w:type="dxa"/>
            <w:bottom w:w="0" w:type="dxa"/>
            <w:right w:w="108" w:type="dxa"/>
          </w:tblCellMar>
        </w:tblPrEx>
        <w:trPr>
          <w:trHeight w:val="370" w:hRule="exact"/>
        </w:trPr>
        <w:tc>
          <w:tcPr>
            <w:tcW w:w="1123"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秋季</w:t>
            </w:r>
          </w:p>
        </w:tc>
        <w:tc>
          <w:tcPr>
            <w:tcW w:w="68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9.62</w:t>
            </w:r>
          </w:p>
        </w:tc>
        <w:tc>
          <w:tcPr>
            <w:tcW w:w="75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7.69</w:t>
            </w:r>
          </w:p>
        </w:tc>
        <w:tc>
          <w:tcPr>
            <w:tcW w:w="68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6.87</w:t>
            </w:r>
          </w:p>
        </w:tc>
        <w:tc>
          <w:tcPr>
            <w:tcW w:w="80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4.4</w:t>
            </w:r>
          </w:p>
        </w:tc>
        <w:tc>
          <w:tcPr>
            <w:tcW w:w="80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10.99</w:t>
            </w:r>
          </w:p>
        </w:tc>
        <w:tc>
          <w:tcPr>
            <w:tcW w:w="80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9.07</w:t>
            </w:r>
          </w:p>
        </w:tc>
        <w:tc>
          <w:tcPr>
            <w:tcW w:w="68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6.04</w:t>
            </w:r>
          </w:p>
        </w:tc>
        <w:tc>
          <w:tcPr>
            <w:tcW w:w="80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6.87</w:t>
            </w:r>
          </w:p>
        </w:tc>
        <w:tc>
          <w:tcPr>
            <w:tcW w:w="80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5.77</w:t>
            </w:r>
          </w:p>
        </w:tc>
        <w:tc>
          <w:tcPr>
            <w:tcW w:w="75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4.95</w:t>
            </w:r>
          </w:p>
        </w:tc>
        <w:tc>
          <w:tcPr>
            <w:tcW w:w="679"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4.12</w:t>
            </w:r>
          </w:p>
        </w:tc>
        <w:tc>
          <w:tcPr>
            <w:tcW w:w="85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0.27</w:t>
            </w:r>
          </w:p>
        </w:tc>
        <w:tc>
          <w:tcPr>
            <w:tcW w:w="68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2.75</w:t>
            </w:r>
          </w:p>
        </w:tc>
        <w:tc>
          <w:tcPr>
            <w:tcW w:w="8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3.85</w:t>
            </w:r>
          </w:p>
        </w:tc>
        <w:tc>
          <w:tcPr>
            <w:tcW w:w="68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2.2</w:t>
            </w:r>
          </w:p>
        </w:tc>
        <w:tc>
          <w:tcPr>
            <w:tcW w:w="83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7.42</w:t>
            </w:r>
          </w:p>
        </w:tc>
        <w:tc>
          <w:tcPr>
            <w:tcW w:w="873"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7.14</w:t>
            </w:r>
          </w:p>
        </w:tc>
      </w:tr>
      <w:tr>
        <w:tblPrEx>
          <w:tblCellMar>
            <w:top w:w="0" w:type="dxa"/>
            <w:left w:w="108" w:type="dxa"/>
            <w:bottom w:w="0" w:type="dxa"/>
            <w:right w:w="108" w:type="dxa"/>
          </w:tblCellMar>
        </w:tblPrEx>
        <w:trPr>
          <w:trHeight w:val="372" w:hRule="exact"/>
        </w:trPr>
        <w:tc>
          <w:tcPr>
            <w:tcW w:w="1123" w:type="dxa"/>
            <w:tcBorders>
              <w:top w:val="single" w:color="000000" w:sz="4" w:space="0"/>
              <w:left w:val="nil"/>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冬季</w:t>
            </w:r>
          </w:p>
        </w:tc>
        <w:tc>
          <w:tcPr>
            <w:tcW w:w="68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8.06</w:t>
            </w:r>
          </w:p>
        </w:tc>
        <w:tc>
          <w:tcPr>
            <w:tcW w:w="75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7.5</w:t>
            </w:r>
          </w:p>
        </w:tc>
        <w:tc>
          <w:tcPr>
            <w:tcW w:w="68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7.5</w:t>
            </w:r>
          </w:p>
        </w:tc>
        <w:tc>
          <w:tcPr>
            <w:tcW w:w="80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5.83</w:t>
            </w:r>
          </w:p>
        </w:tc>
        <w:tc>
          <w:tcPr>
            <w:tcW w:w="80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7.5</w:t>
            </w:r>
          </w:p>
        </w:tc>
        <w:tc>
          <w:tcPr>
            <w:tcW w:w="80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7.78</w:t>
            </w:r>
          </w:p>
        </w:tc>
        <w:tc>
          <w:tcPr>
            <w:tcW w:w="68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6.11</w:t>
            </w:r>
          </w:p>
        </w:tc>
        <w:tc>
          <w:tcPr>
            <w:tcW w:w="80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3.06</w:t>
            </w:r>
          </w:p>
        </w:tc>
        <w:tc>
          <w:tcPr>
            <w:tcW w:w="80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5.83</w:t>
            </w:r>
          </w:p>
        </w:tc>
        <w:tc>
          <w:tcPr>
            <w:tcW w:w="75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4.44</w:t>
            </w:r>
          </w:p>
        </w:tc>
        <w:tc>
          <w:tcPr>
            <w:tcW w:w="679"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9.44</w:t>
            </w:r>
          </w:p>
        </w:tc>
        <w:tc>
          <w:tcPr>
            <w:tcW w:w="85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2.22</w:t>
            </w:r>
          </w:p>
        </w:tc>
        <w:tc>
          <w:tcPr>
            <w:tcW w:w="68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4.17</w:t>
            </w:r>
          </w:p>
        </w:tc>
        <w:tc>
          <w:tcPr>
            <w:tcW w:w="8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3.06</w:t>
            </w:r>
          </w:p>
        </w:tc>
        <w:tc>
          <w:tcPr>
            <w:tcW w:w="68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6.39</w:t>
            </w:r>
          </w:p>
        </w:tc>
        <w:tc>
          <w:tcPr>
            <w:tcW w:w="834"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7.5</w:t>
            </w:r>
          </w:p>
        </w:tc>
        <w:tc>
          <w:tcPr>
            <w:tcW w:w="873" w:type="dxa"/>
            <w:tcBorders>
              <w:top w:val="single" w:color="000000" w:sz="4" w:space="0"/>
              <w:left w:val="single" w:color="000000" w:sz="4" w:space="0"/>
              <w:bottom w:val="single" w:color="000000" w:sz="4"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3.61</w:t>
            </w:r>
          </w:p>
        </w:tc>
      </w:tr>
      <w:tr>
        <w:tblPrEx>
          <w:tblCellMar>
            <w:top w:w="0" w:type="dxa"/>
            <w:left w:w="108" w:type="dxa"/>
            <w:bottom w:w="0" w:type="dxa"/>
            <w:right w:w="108" w:type="dxa"/>
          </w:tblCellMar>
        </w:tblPrEx>
        <w:trPr>
          <w:trHeight w:val="379" w:hRule="exact"/>
        </w:trPr>
        <w:tc>
          <w:tcPr>
            <w:tcW w:w="1123" w:type="dxa"/>
            <w:tcBorders>
              <w:top w:val="single" w:color="000000" w:sz="4" w:space="0"/>
              <w:left w:val="nil"/>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年平均</w:t>
            </w:r>
          </w:p>
        </w:tc>
        <w:tc>
          <w:tcPr>
            <w:tcW w:w="682"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6.78</w:t>
            </w:r>
          </w:p>
        </w:tc>
        <w:tc>
          <w:tcPr>
            <w:tcW w:w="754"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6.44</w:t>
            </w:r>
          </w:p>
        </w:tc>
        <w:tc>
          <w:tcPr>
            <w:tcW w:w="682"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6.92</w:t>
            </w:r>
          </w:p>
        </w:tc>
        <w:tc>
          <w:tcPr>
            <w:tcW w:w="802"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7.05</w:t>
            </w:r>
          </w:p>
        </w:tc>
        <w:tc>
          <w:tcPr>
            <w:tcW w:w="801"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9.73</w:t>
            </w:r>
          </w:p>
        </w:tc>
        <w:tc>
          <w:tcPr>
            <w:tcW w:w="801"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9.45</w:t>
            </w:r>
          </w:p>
        </w:tc>
        <w:tc>
          <w:tcPr>
            <w:tcW w:w="680"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6.03</w:t>
            </w:r>
          </w:p>
        </w:tc>
        <w:tc>
          <w:tcPr>
            <w:tcW w:w="804"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7.19</w:t>
            </w:r>
          </w:p>
        </w:tc>
        <w:tc>
          <w:tcPr>
            <w:tcW w:w="801"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7.19</w:t>
            </w:r>
          </w:p>
        </w:tc>
        <w:tc>
          <w:tcPr>
            <w:tcW w:w="755"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6.03</w:t>
            </w:r>
          </w:p>
        </w:tc>
        <w:tc>
          <w:tcPr>
            <w:tcW w:w="679"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5.21</w:t>
            </w:r>
          </w:p>
        </w:tc>
        <w:tc>
          <w:tcPr>
            <w:tcW w:w="851"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1.51</w:t>
            </w:r>
          </w:p>
        </w:tc>
        <w:tc>
          <w:tcPr>
            <w:tcW w:w="680"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2.74</w:t>
            </w:r>
          </w:p>
        </w:tc>
        <w:tc>
          <w:tcPr>
            <w:tcW w:w="890"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2.88</w:t>
            </w:r>
          </w:p>
        </w:tc>
        <w:tc>
          <w:tcPr>
            <w:tcW w:w="682"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4.25</w:t>
            </w:r>
          </w:p>
        </w:tc>
        <w:tc>
          <w:tcPr>
            <w:tcW w:w="834" w:type="dxa"/>
            <w:tcBorders>
              <w:top w:val="single" w:color="000000" w:sz="4" w:space="0"/>
              <w:left w:val="single" w:color="000000" w:sz="4" w:space="0"/>
              <w:bottom w:val="single" w:color="000000" w:sz="12" w:space="0"/>
              <w:right w:val="single" w:color="000000" w:sz="4" w:space="0"/>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6.44</w:t>
            </w:r>
          </w:p>
        </w:tc>
        <w:tc>
          <w:tcPr>
            <w:tcW w:w="873" w:type="dxa"/>
            <w:tcBorders>
              <w:top w:val="single" w:color="000000" w:sz="4" w:space="0"/>
              <w:left w:val="single" w:color="000000" w:sz="4" w:space="0"/>
              <w:bottom w:val="single" w:color="000000" w:sz="12" w:space="0"/>
              <w:right w:val="nil"/>
              <w:tl2br w:val="nil"/>
              <w:tr2bl w:val="nil"/>
            </w:tcBorders>
            <w:vAlign w:val="center"/>
          </w:tcPr>
          <w:p>
            <w:pPr>
              <w:pStyle w:val="46"/>
              <w:spacing w:line="240" w:lineRule="auto"/>
              <w:ind w:firstLine="0" w:firstLineChars="0"/>
              <w:jc w:val="center"/>
              <w:rPr>
                <w:rFonts w:cs="Times New Roman"/>
                <w:color w:val="000000"/>
                <w:sz w:val="21"/>
              </w:rPr>
            </w:pPr>
            <w:r>
              <w:rPr>
                <w:rFonts w:cs="Times New Roman"/>
                <w:color w:val="000000"/>
                <w:sz w:val="21"/>
              </w:rPr>
              <w:t>4.18</w:t>
            </w:r>
          </w:p>
        </w:tc>
      </w:tr>
    </w:tbl>
    <w:p>
      <w:p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spacing w:before="4" w:line="20" w:lineRule="exact"/>
        <w:ind w:firstLine="40"/>
        <w:jc w:val="left"/>
        <w:rPr>
          <w:rFonts w:ascii="Microsoft JhengHei" w:hAnsi="Microsoft JhengHei" w:eastAsia="Microsoft JhengHei"/>
          <w:color w:val="auto"/>
          <w:sz w:val="2"/>
          <w:shd w:val="clear" w:color="auto" w:fill="auto"/>
        </w:rPr>
      </w:pPr>
    </w:p>
    <w:p>
      <w:pPr>
        <w:pStyle w:val="6"/>
        <w:rPr>
          <w:color w:val="auto"/>
          <w:highlight w:val="none"/>
          <w:shd w:val="clear" w:color="auto" w:fill="auto"/>
        </w:rPr>
      </w:pPr>
      <w:r>
        <w:rPr>
          <w:rFonts w:hint="eastAsia"/>
          <w:color w:val="auto"/>
          <w:highlight w:val="none"/>
          <w:shd w:val="clear" w:color="auto" w:fill="auto"/>
          <w:lang w:val="en-US" w:eastAsia="zh-CN"/>
        </w:rPr>
        <w:t>4</w:t>
      </w:r>
      <w:r>
        <w:rPr>
          <w:rFonts w:hint="eastAsia"/>
          <w:color w:val="auto"/>
          <w:highlight w:val="none"/>
          <w:shd w:val="clear" w:color="auto" w:fill="auto"/>
        </w:rPr>
        <w:t>.</w:t>
      </w:r>
      <w:r>
        <w:rPr>
          <w:rFonts w:hint="eastAsia"/>
          <w:color w:val="auto"/>
          <w:highlight w:val="none"/>
          <w:shd w:val="clear" w:color="auto" w:fill="auto"/>
          <w:lang w:val="en-US" w:eastAsia="zh-CN"/>
        </w:rPr>
        <w:t>3</w:t>
      </w:r>
      <w:r>
        <w:rPr>
          <w:color w:val="auto"/>
          <w:highlight w:val="none"/>
          <w:shd w:val="clear" w:color="auto" w:fill="auto"/>
        </w:rPr>
        <w:t>.1.2</w:t>
      </w:r>
      <w:r>
        <w:rPr>
          <w:rFonts w:hint="eastAsia"/>
          <w:color w:val="auto"/>
          <w:highlight w:val="none"/>
          <w:shd w:val="clear" w:color="auto" w:fill="auto"/>
        </w:rPr>
        <w:t xml:space="preserve"> </w:t>
      </w:r>
      <w:r>
        <w:rPr>
          <w:color w:val="auto"/>
          <w:highlight w:val="none"/>
          <w:shd w:val="clear" w:color="auto" w:fill="auto"/>
        </w:rPr>
        <w:t>环境空气影响预测评价</w:t>
      </w:r>
      <w:bookmarkEnd w:id="303"/>
    </w:p>
    <w:p>
      <w:pPr>
        <w:ind w:firstLine="480"/>
        <w:jc w:val="left"/>
        <w:rPr>
          <w:rFonts w:hint="eastAsia"/>
          <w:color w:val="auto"/>
          <w:kern w:val="0"/>
          <w:shd w:val="clear" w:color="auto" w:fill="auto"/>
        </w:rPr>
      </w:pPr>
      <w:r>
        <w:rPr>
          <w:rFonts w:hint="eastAsia"/>
          <w:color w:val="auto"/>
          <w:shd w:val="clear" w:color="auto" w:fill="auto"/>
        </w:rPr>
        <w:t>根据《</w:t>
      </w:r>
      <w:r>
        <w:rPr>
          <w:color w:val="auto"/>
          <w:shd w:val="clear" w:color="auto" w:fill="auto"/>
        </w:rPr>
        <w:t>大气环境影响评价技术导则</w:t>
      </w:r>
      <w:r>
        <w:rPr>
          <w:rFonts w:hint="eastAsia"/>
          <w:color w:val="auto"/>
          <w:shd w:val="clear" w:color="auto" w:fill="auto"/>
          <w:lang w:val="en-US" w:eastAsia="zh-CN"/>
        </w:rPr>
        <w:t xml:space="preserve">  </w:t>
      </w:r>
      <w:r>
        <w:rPr>
          <w:color w:val="auto"/>
          <w:shd w:val="clear" w:color="auto" w:fill="auto"/>
        </w:rPr>
        <w:t>大气环境》(HJ2.2-20</w:t>
      </w:r>
      <w:r>
        <w:rPr>
          <w:rFonts w:hint="eastAsia"/>
          <w:color w:val="auto"/>
          <w:shd w:val="clear" w:color="auto" w:fill="auto"/>
          <w:lang w:val="en-US" w:eastAsia="zh-CN"/>
        </w:rPr>
        <w:t>1</w:t>
      </w:r>
      <w:r>
        <w:rPr>
          <w:color w:val="auto"/>
          <w:shd w:val="clear" w:color="auto" w:fill="auto"/>
        </w:rPr>
        <w:t>8)</w:t>
      </w:r>
      <w:r>
        <w:rPr>
          <w:rFonts w:hint="eastAsia"/>
          <w:color w:val="auto"/>
          <w:shd w:val="clear" w:color="auto" w:fill="auto"/>
        </w:rPr>
        <w:t>要求，选择主要污染物和正常排放参数，采用导则推荐的</w:t>
      </w:r>
      <w:r>
        <w:rPr>
          <w:rFonts w:hint="eastAsia"/>
          <w:color w:val="auto"/>
          <w:shd w:val="clear" w:color="auto" w:fill="auto"/>
          <w:lang w:val="en-US" w:eastAsia="zh-CN"/>
        </w:rPr>
        <w:t>AER</w:t>
      </w:r>
      <w:r>
        <w:rPr>
          <w:color w:val="auto"/>
          <w:kern w:val="0"/>
          <w:shd w:val="clear" w:color="auto" w:fill="auto"/>
        </w:rPr>
        <w:t>SCREEN</w:t>
      </w:r>
      <w:r>
        <w:rPr>
          <w:rFonts w:hint="eastAsia"/>
          <w:color w:val="auto"/>
          <w:kern w:val="0"/>
          <w:shd w:val="clear" w:color="auto" w:fill="auto"/>
        </w:rPr>
        <w:t>估算模式</w:t>
      </w:r>
      <w:r>
        <w:rPr>
          <w:rFonts w:hint="eastAsia"/>
          <w:color w:val="auto"/>
          <w:kern w:val="0"/>
          <w:shd w:val="clear" w:color="auto" w:fill="auto"/>
          <w:lang w:val="en-US" w:eastAsia="zh-CN"/>
        </w:rPr>
        <w:t>进行预测</w:t>
      </w:r>
      <w:r>
        <w:rPr>
          <w:rFonts w:hint="eastAsia"/>
          <w:color w:val="auto"/>
          <w:kern w:val="0"/>
          <w:shd w:val="clear" w:color="auto" w:fill="auto"/>
        </w:rPr>
        <w:t>。</w:t>
      </w:r>
    </w:p>
    <w:p>
      <w:pPr>
        <w:ind w:firstLine="480"/>
        <w:jc w:val="left"/>
        <w:rPr>
          <w:rFonts w:hint="eastAsia"/>
          <w:color w:val="auto"/>
          <w:kern w:val="0"/>
          <w:shd w:val="clear" w:color="auto" w:fill="auto"/>
        </w:rPr>
      </w:pPr>
      <w:r>
        <w:rPr>
          <w:rFonts w:hint="eastAsia" w:hAnsi="宋体"/>
          <w:color w:val="auto"/>
          <w:sz w:val="24"/>
          <w:shd w:val="clear" w:color="auto" w:fill="auto"/>
          <w:lang w:eastAsia="zh-CN"/>
        </w:rPr>
        <w:t>（</w:t>
      </w:r>
      <w:r>
        <w:rPr>
          <w:rFonts w:hint="eastAsia" w:hAnsi="宋体"/>
          <w:color w:val="auto"/>
          <w:sz w:val="24"/>
          <w:shd w:val="clear" w:color="auto" w:fill="auto"/>
          <w:lang w:val="en-US" w:eastAsia="zh-CN"/>
        </w:rPr>
        <w:t>1</w:t>
      </w:r>
      <w:r>
        <w:rPr>
          <w:rFonts w:hint="eastAsia" w:hAnsi="宋体"/>
          <w:color w:val="auto"/>
          <w:sz w:val="24"/>
          <w:shd w:val="clear" w:color="auto" w:fill="auto"/>
          <w:lang w:eastAsia="zh-CN"/>
        </w:rPr>
        <w:t>）</w:t>
      </w:r>
      <w:r>
        <w:rPr>
          <w:rFonts w:hAnsi="宋体"/>
          <w:color w:val="auto"/>
          <w:sz w:val="24"/>
          <w:shd w:val="clear" w:color="auto" w:fill="auto"/>
        </w:rPr>
        <w:t>预测因子及预测内容</w:t>
      </w:r>
    </w:p>
    <w:p>
      <w:pPr>
        <w:pStyle w:val="2"/>
        <w:numPr>
          <w:ilvl w:val="0"/>
          <w:numId w:val="0"/>
        </w:numPr>
        <w:ind w:firstLine="480" w:firstLineChars="200"/>
        <w:rPr>
          <w:color w:val="auto"/>
          <w:sz w:val="24"/>
          <w:shd w:val="clear" w:color="auto" w:fill="auto"/>
        </w:rPr>
      </w:pPr>
      <w:r>
        <w:rPr>
          <w:rFonts w:hint="eastAsia"/>
          <w:color w:val="auto"/>
          <w:kern w:val="0"/>
          <w:shd w:val="clear" w:color="auto" w:fill="auto"/>
          <w:lang w:val="en-US" w:eastAsia="zh-CN"/>
        </w:rPr>
        <w:t>预测</w:t>
      </w:r>
      <w:r>
        <w:rPr>
          <w:rFonts w:hint="eastAsia"/>
          <w:color w:val="auto"/>
          <w:kern w:val="0"/>
          <w:shd w:val="clear" w:color="auto" w:fill="auto"/>
        </w:rPr>
        <w:t>因子</w:t>
      </w:r>
      <w:r>
        <w:rPr>
          <w:rFonts w:hint="eastAsia"/>
          <w:color w:val="auto"/>
          <w:kern w:val="0"/>
          <w:shd w:val="clear" w:color="auto" w:fill="auto"/>
          <w:lang w:eastAsia="zh-CN"/>
        </w:rPr>
        <w:t>：</w:t>
      </w:r>
      <w:r>
        <w:rPr>
          <w:color w:val="auto"/>
          <w:sz w:val="24"/>
          <w:szCs w:val="24"/>
          <w:shd w:val="clear" w:color="auto" w:fill="auto"/>
        </w:rPr>
        <w:t>根据工程分析，确定本次大气预测的预测因子为</w:t>
      </w:r>
      <w:r>
        <w:rPr>
          <w:rFonts w:hint="eastAsia"/>
          <w:color w:val="auto"/>
          <w:sz w:val="24"/>
          <w:shd w:val="clear" w:color="auto" w:fill="auto"/>
          <w:lang w:val="en-US" w:eastAsia="zh-CN"/>
        </w:rPr>
        <w:t>TSP、SO</w:t>
      </w:r>
      <w:r>
        <w:rPr>
          <w:rFonts w:hint="eastAsia"/>
          <w:color w:val="auto"/>
          <w:sz w:val="24"/>
          <w:shd w:val="clear" w:color="auto" w:fill="auto"/>
          <w:vertAlign w:val="subscript"/>
          <w:lang w:val="en-US" w:eastAsia="zh-CN"/>
        </w:rPr>
        <w:t>2</w:t>
      </w:r>
      <w:r>
        <w:rPr>
          <w:rFonts w:hint="eastAsia"/>
          <w:color w:val="auto"/>
          <w:sz w:val="24"/>
          <w:shd w:val="clear" w:color="auto" w:fill="auto"/>
          <w:lang w:val="en-US" w:eastAsia="zh-CN"/>
        </w:rPr>
        <w:t>、NO</w:t>
      </w:r>
      <w:r>
        <w:rPr>
          <w:rFonts w:hint="eastAsia"/>
          <w:color w:val="auto"/>
          <w:sz w:val="24"/>
          <w:shd w:val="clear" w:color="auto" w:fill="auto"/>
          <w:vertAlign w:val="baseline"/>
          <w:lang w:val="en-US" w:eastAsia="zh-CN"/>
        </w:rPr>
        <w:t>x</w:t>
      </w:r>
      <w:r>
        <w:rPr>
          <w:color w:val="auto"/>
          <w:sz w:val="24"/>
          <w:shd w:val="clear" w:color="auto" w:fill="auto"/>
        </w:rPr>
        <w:t>。</w:t>
      </w:r>
    </w:p>
    <w:p>
      <w:pPr>
        <w:pStyle w:val="2"/>
        <w:numPr>
          <w:ilvl w:val="0"/>
          <w:numId w:val="0"/>
        </w:numPr>
        <w:ind w:firstLine="480" w:firstLineChars="200"/>
        <w:rPr>
          <w:color w:val="auto"/>
          <w:shd w:val="clear" w:color="auto" w:fill="auto"/>
        </w:rPr>
      </w:pPr>
      <w:r>
        <w:rPr>
          <w:rFonts w:hAnsi="宋体"/>
          <w:color w:val="auto"/>
          <w:sz w:val="24"/>
          <w:shd w:val="clear" w:color="auto" w:fill="auto"/>
        </w:rPr>
        <w:t>预测内容：计算无组织排放废气污染物下风向浓度值。</w:t>
      </w:r>
    </w:p>
    <w:p>
      <w:pPr>
        <w:ind w:firstLine="480"/>
        <w:rPr>
          <w:rFonts w:hint="eastAsia"/>
          <w:color w:val="auto"/>
          <w:shd w:val="clear" w:color="auto" w:fill="auto"/>
          <w:lang w:val="en-US" w:eastAsia="zh-CN"/>
        </w:rPr>
      </w:pPr>
      <w:r>
        <w:rPr>
          <w:rFonts w:hint="eastAsia"/>
          <w:color w:val="auto"/>
          <w:shd w:val="clear" w:color="auto" w:fill="auto"/>
          <w:lang w:val="en-US" w:eastAsia="zh-CN"/>
        </w:rPr>
        <w:t>（2）污染源强的确定</w:t>
      </w:r>
    </w:p>
    <w:p>
      <w:pPr>
        <w:spacing w:beforeLines="0" w:afterLines="0"/>
        <w:jc w:val="left"/>
        <w:rPr>
          <w:color w:val="auto"/>
          <w:shd w:val="clear" w:color="auto" w:fill="auto"/>
        </w:rPr>
      </w:pPr>
      <w:r>
        <w:rPr>
          <w:rFonts w:hint="eastAsia"/>
          <w:color w:val="auto"/>
          <w:shd w:val="clear" w:color="auto" w:fill="auto"/>
        </w:rPr>
        <w:t>根据工程分析章节，本项目的废气源强主要为</w:t>
      </w:r>
      <w:r>
        <w:rPr>
          <w:rFonts w:hint="eastAsia"/>
          <w:color w:val="auto"/>
          <w:shd w:val="clear" w:color="auto" w:fill="auto"/>
          <w:lang w:val="en-US" w:eastAsia="zh-CN"/>
        </w:rPr>
        <w:t>散货装卸扬尘及码头道路扬尘，为无组织排放</w:t>
      </w:r>
      <w:r>
        <w:rPr>
          <w:rFonts w:hint="eastAsia" w:ascii="宋体" w:hAnsi="宋体" w:eastAsia="宋体"/>
          <w:color w:val="auto"/>
          <w:sz w:val="24"/>
          <w:shd w:val="clear" w:color="auto" w:fill="auto"/>
          <w:lang w:val="en-US" w:eastAsia="zh-CN"/>
        </w:rPr>
        <w:t>。</w:t>
      </w:r>
      <w:r>
        <w:rPr>
          <w:rFonts w:hint="eastAsia"/>
          <w:color w:val="auto"/>
          <w:shd w:val="clear" w:color="auto" w:fill="auto"/>
        </w:rPr>
        <w:t>其无组织废气源强见表</w:t>
      </w: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3</w:t>
      </w:r>
      <w:r>
        <w:rPr>
          <w:rFonts w:hint="eastAsia"/>
          <w:color w:val="auto"/>
          <w:shd w:val="clear" w:color="auto" w:fill="auto"/>
        </w:rPr>
        <w:t>-</w:t>
      </w:r>
      <w:r>
        <w:rPr>
          <w:rFonts w:hint="eastAsia"/>
          <w:color w:val="auto"/>
          <w:shd w:val="clear" w:color="auto" w:fill="auto"/>
          <w:lang w:val="en-US" w:eastAsia="zh-CN"/>
        </w:rPr>
        <w:t>5</w:t>
      </w:r>
      <w:r>
        <w:rPr>
          <w:rFonts w:hint="eastAsia"/>
          <w:color w:val="auto"/>
          <w:shd w:val="clear" w:color="auto" w:fill="auto"/>
        </w:rPr>
        <w:t>。</w:t>
      </w:r>
    </w:p>
    <w:p>
      <w:pPr>
        <w:spacing w:line="480" w:lineRule="exact"/>
        <w:ind w:left="0" w:leftChars="0" w:firstLine="0" w:firstLineChars="0"/>
        <w:jc w:val="center"/>
        <w:rPr>
          <w:rFonts w:hint="eastAsia" w:ascii="Times New Roman" w:hAnsi="Times New Roman" w:eastAsia="黑体" w:cs="Times New Roman"/>
          <w:color w:val="auto"/>
          <w:kern w:val="0"/>
          <w:sz w:val="21"/>
          <w:szCs w:val="21"/>
          <w:shd w:val="clear" w:color="auto" w:fill="auto"/>
          <w:lang w:val="en-US" w:eastAsia="zh-CN" w:bidi="ar-SA"/>
        </w:rPr>
      </w:pPr>
      <w:r>
        <w:rPr>
          <w:rFonts w:hint="eastAsia" w:ascii="Times New Roman" w:hAnsi="Times New Roman" w:eastAsia="黑体" w:cs="Times New Roman"/>
          <w:color w:val="auto"/>
          <w:kern w:val="0"/>
          <w:sz w:val="21"/>
          <w:szCs w:val="21"/>
          <w:shd w:val="clear" w:color="auto" w:fill="auto"/>
          <w:lang w:val="en-US" w:eastAsia="zh-CN" w:bidi="ar-SA"/>
        </w:rPr>
        <w:t>表4.3-</w:t>
      </w:r>
      <w:r>
        <w:rPr>
          <w:rFonts w:hint="eastAsia" w:eastAsia="黑体" w:cs="Times New Roman"/>
          <w:color w:val="auto"/>
          <w:kern w:val="0"/>
          <w:sz w:val="21"/>
          <w:szCs w:val="21"/>
          <w:shd w:val="clear" w:color="auto" w:fill="auto"/>
          <w:lang w:val="en-US" w:eastAsia="zh-CN" w:bidi="ar-SA"/>
        </w:rPr>
        <w:t>5</w:t>
      </w:r>
      <w:r>
        <w:rPr>
          <w:rFonts w:hint="eastAsia" w:ascii="Times New Roman" w:hAnsi="Times New Roman" w:eastAsia="黑体" w:cs="Times New Roman"/>
          <w:color w:val="auto"/>
          <w:kern w:val="0"/>
          <w:sz w:val="21"/>
          <w:szCs w:val="21"/>
          <w:shd w:val="clear" w:color="auto" w:fill="auto"/>
          <w:lang w:val="en-US" w:eastAsia="zh-CN" w:bidi="ar-SA"/>
        </w:rPr>
        <w:t xml:space="preserve">  本项目无组织排放的大气污染物源强</w:t>
      </w:r>
    </w:p>
    <w:tbl>
      <w:tblPr>
        <w:tblStyle w:val="2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8"/>
        <w:gridCol w:w="955"/>
        <w:gridCol w:w="1025"/>
        <w:gridCol w:w="990"/>
        <w:gridCol w:w="870"/>
        <w:gridCol w:w="870"/>
        <w:gridCol w:w="1110"/>
        <w:gridCol w:w="690"/>
        <w:gridCol w:w="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1088"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面源名称</w:t>
            </w:r>
          </w:p>
        </w:tc>
        <w:tc>
          <w:tcPr>
            <w:tcW w:w="955"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污染物</w:t>
            </w:r>
          </w:p>
        </w:tc>
        <w:tc>
          <w:tcPr>
            <w:tcW w:w="1025"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排放量（t/a）</w:t>
            </w:r>
          </w:p>
        </w:tc>
        <w:tc>
          <w:tcPr>
            <w:tcW w:w="99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面源长度（</w:t>
            </w:r>
            <w:r>
              <w:rPr>
                <w:rFonts w:hint="eastAsia" w:cs="Times New Roman"/>
                <w:color w:val="auto"/>
                <w:sz w:val="21"/>
                <w:szCs w:val="21"/>
                <w:shd w:val="clear" w:color="auto" w:fill="auto"/>
                <w:lang w:eastAsia="zh-CN"/>
              </w:rPr>
              <w:t>m</w:t>
            </w:r>
            <w:r>
              <w:rPr>
                <w:rFonts w:hint="eastAsia" w:cs="Times New Roman"/>
                <w:color w:val="auto"/>
                <w:sz w:val="21"/>
                <w:szCs w:val="21"/>
                <w:shd w:val="clear" w:color="auto" w:fill="auto"/>
              </w:rPr>
              <w:t>）</w:t>
            </w:r>
          </w:p>
        </w:tc>
        <w:tc>
          <w:tcPr>
            <w:tcW w:w="87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面源宽度（</w:t>
            </w:r>
            <w:r>
              <w:rPr>
                <w:rFonts w:hint="eastAsia" w:cs="Times New Roman"/>
                <w:color w:val="auto"/>
                <w:sz w:val="21"/>
                <w:szCs w:val="21"/>
                <w:shd w:val="clear" w:color="auto" w:fill="auto"/>
                <w:lang w:eastAsia="zh-CN"/>
              </w:rPr>
              <w:t>m</w:t>
            </w:r>
            <w:r>
              <w:rPr>
                <w:rFonts w:hint="eastAsia" w:cs="Times New Roman"/>
                <w:color w:val="auto"/>
                <w:sz w:val="21"/>
                <w:szCs w:val="21"/>
                <w:shd w:val="clear" w:color="auto" w:fill="auto"/>
              </w:rPr>
              <w:t>）</w:t>
            </w:r>
          </w:p>
        </w:tc>
        <w:tc>
          <w:tcPr>
            <w:tcW w:w="87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面源高度（</w:t>
            </w:r>
            <w:r>
              <w:rPr>
                <w:rFonts w:hint="eastAsia" w:cs="Times New Roman"/>
                <w:color w:val="auto"/>
                <w:sz w:val="21"/>
                <w:szCs w:val="21"/>
                <w:shd w:val="clear" w:color="auto" w:fill="auto"/>
                <w:lang w:eastAsia="zh-CN"/>
              </w:rPr>
              <w:t>m</w:t>
            </w:r>
            <w:r>
              <w:rPr>
                <w:rFonts w:hint="eastAsia" w:cs="Times New Roman"/>
                <w:color w:val="auto"/>
                <w:sz w:val="21"/>
                <w:szCs w:val="21"/>
                <w:shd w:val="clear" w:color="auto" w:fill="auto"/>
              </w:rPr>
              <w:t>）</w:t>
            </w:r>
          </w:p>
        </w:tc>
        <w:tc>
          <w:tcPr>
            <w:tcW w:w="111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年排放小时数（h）</w:t>
            </w:r>
          </w:p>
        </w:tc>
        <w:tc>
          <w:tcPr>
            <w:tcW w:w="69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排放工况</w:t>
            </w:r>
          </w:p>
        </w:tc>
        <w:tc>
          <w:tcPr>
            <w:tcW w:w="924"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rPr>
            </w:pPr>
            <w:r>
              <w:rPr>
                <w:rFonts w:hint="eastAsia" w:cs="Times New Roman"/>
                <w:color w:val="auto"/>
                <w:sz w:val="21"/>
                <w:szCs w:val="21"/>
                <w:shd w:val="clear" w:color="auto" w:fill="auto"/>
              </w:rPr>
              <w:t>源强（kg/h）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jc w:val="center"/>
        </w:trPr>
        <w:tc>
          <w:tcPr>
            <w:tcW w:w="1088"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散货装卸及道路扬尘</w:t>
            </w:r>
          </w:p>
        </w:tc>
        <w:tc>
          <w:tcPr>
            <w:tcW w:w="955"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粉尘（以TSP计）</w:t>
            </w:r>
          </w:p>
        </w:tc>
        <w:tc>
          <w:tcPr>
            <w:tcW w:w="1025"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2.514</w:t>
            </w:r>
          </w:p>
        </w:tc>
        <w:tc>
          <w:tcPr>
            <w:tcW w:w="99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220</w:t>
            </w:r>
          </w:p>
        </w:tc>
        <w:tc>
          <w:tcPr>
            <w:tcW w:w="87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25</w:t>
            </w:r>
          </w:p>
        </w:tc>
        <w:tc>
          <w:tcPr>
            <w:tcW w:w="87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8</w:t>
            </w:r>
          </w:p>
        </w:tc>
        <w:tc>
          <w:tcPr>
            <w:tcW w:w="111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7680</w:t>
            </w:r>
          </w:p>
        </w:tc>
        <w:tc>
          <w:tcPr>
            <w:tcW w:w="69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正常</w:t>
            </w:r>
          </w:p>
        </w:tc>
        <w:tc>
          <w:tcPr>
            <w:tcW w:w="924"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0.327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jc w:val="center"/>
        </w:trPr>
        <w:tc>
          <w:tcPr>
            <w:tcW w:w="1088" w:type="dxa"/>
            <w:vMerge w:val="restart"/>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lang w:val="en-US" w:eastAsia="zh-CN"/>
              </w:rPr>
            </w:pPr>
            <w:r>
              <w:rPr>
                <w:rFonts w:hint="eastAsia" w:cs="Times New Roman"/>
                <w:color w:val="auto"/>
                <w:sz w:val="21"/>
                <w:shd w:val="clear" w:color="auto" w:fill="auto"/>
                <w:lang w:val="en-US" w:eastAsia="zh-CN"/>
              </w:rPr>
              <w:t>船舶废气及汽车尾气</w:t>
            </w:r>
          </w:p>
        </w:tc>
        <w:tc>
          <w:tcPr>
            <w:tcW w:w="955"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SO</w:t>
            </w:r>
            <w:r>
              <w:rPr>
                <w:rFonts w:hint="eastAsia" w:cs="Times New Roman"/>
                <w:color w:val="auto"/>
                <w:sz w:val="21"/>
                <w:szCs w:val="21"/>
                <w:shd w:val="clear" w:color="auto" w:fill="auto"/>
                <w:vertAlign w:val="subscript"/>
                <w:lang w:val="en-US" w:eastAsia="zh-CN"/>
              </w:rPr>
              <w:t>2</w:t>
            </w:r>
          </w:p>
        </w:tc>
        <w:tc>
          <w:tcPr>
            <w:tcW w:w="1025"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0.5493</w:t>
            </w:r>
          </w:p>
        </w:tc>
        <w:tc>
          <w:tcPr>
            <w:tcW w:w="99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220</w:t>
            </w:r>
          </w:p>
        </w:tc>
        <w:tc>
          <w:tcPr>
            <w:tcW w:w="87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25</w:t>
            </w:r>
          </w:p>
        </w:tc>
        <w:tc>
          <w:tcPr>
            <w:tcW w:w="87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w:t>
            </w:r>
          </w:p>
        </w:tc>
        <w:tc>
          <w:tcPr>
            <w:tcW w:w="111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7680</w:t>
            </w:r>
          </w:p>
        </w:tc>
        <w:tc>
          <w:tcPr>
            <w:tcW w:w="69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正常</w:t>
            </w:r>
          </w:p>
        </w:tc>
        <w:tc>
          <w:tcPr>
            <w:tcW w:w="924"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0.072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jc w:val="center"/>
        </w:trPr>
        <w:tc>
          <w:tcPr>
            <w:tcW w:w="1088" w:type="dxa"/>
            <w:vMerge w:val="continue"/>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shd w:val="clear" w:color="auto" w:fill="auto"/>
                <w:lang w:val="en-US" w:eastAsia="zh-CN"/>
              </w:rPr>
            </w:pPr>
          </w:p>
        </w:tc>
        <w:tc>
          <w:tcPr>
            <w:tcW w:w="955"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NOx</w:t>
            </w:r>
          </w:p>
        </w:tc>
        <w:tc>
          <w:tcPr>
            <w:tcW w:w="1025"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0.652</w:t>
            </w:r>
          </w:p>
        </w:tc>
        <w:tc>
          <w:tcPr>
            <w:tcW w:w="99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220</w:t>
            </w:r>
          </w:p>
        </w:tc>
        <w:tc>
          <w:tcPr>
            <w:tcW w:w="87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25</w:t>
            </w:r>
          </w:p>
        </w:tc>
        <w:tc>
          <w:tcPr>
            <w:tcW w:w="87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w:t>
            </w:r>
          </w:p>
        </w:tc>
        <w:tc>
          <w:tcPr>
            <w:tcW w:w="111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7680</w:t>
            </w:r>
          </w:p>
        </w:tc>
        <w:tc>
          <w:tcPr>
            <w:tcW w:w="690"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正常</w:t>
            </w:r>
          </w:p>
        </w:tc>
        <w:tc>
          <w:tcPr>
            <w:tcW w:w="924" w:type="dxa"/>
            <w:vAlign w:val="center"/>
          </w:tcPr>
          <w:p>
            <w:pPr>
              <w:pStyle w:val="46"/>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0.085</w:t>
            </w:r>
          </w:p>
        </w:tc>
      </w:tr>
    </w:tbl>
    <w:p>
      <w:pPr>
        <w:bidi w:val="0"/>
        <w:rPr>
          <w:rFonts w:hint="eastAsia"/>
        </w:rPr>
      </w:pPr>
      <w:r>
        <w:rPr>
          <w:rFonts w:hint="eastAsia"/>
          <w:lang w:eastAsia="zh-CN"/>
        </w:rPr>
        <w:t>（</w:t>
      </w:r>
      <w:r>
        <w:rPr>
          <w:rFonts w:hint="eastAsia"/>
          <w:lang w:val="en-US" w:eastAsia="zh-CN"/>
        </w:rPr>
        <w:t>3</w:t>
      </w:r>
      <w:r>
        <w:rPr>
          <w:rFonts w:hint="eastAsia"/>
          <w:lang w:eastAsia="zh-CN"/>
        </w:rPr>
        <w:t>）估算模型参数</w:t>
      </w:r>
    </w:p>
    <w:p>
      <w:pPr>
        <w:spacing w:line="480" w:lineRule="exact"/>
        <w:ind w:left="0" w:leftChars="0" w:firstLine="0" w:firstLineChars="0"/>
        <w:jc w:val="center"/>
        <w:rPr>
          <w:rFonts w:hint="eastAsia" w:ascii="Times New Roman" w:hAnsi="Times New Roman" w:eastAsia="黑体" w:cs="Times New Roman"/>
          <w:color w:val="auto"/>
          <w:kern w:val="0"/>
          <w:sz w:val="21"/>
          <w:szCs w:val="21"/>
          <w:shd w:val="clear" w:color="auto" w:fill="auto"/>
          <w:lang w:val="en-US" w:eastAsia="zh-CN" w:bidi="ar-SA"/>
        </w:rPr>
      </w:pPr>
      <w:r>
        <w:rPr>
          <w:rFonts w:hint="eastAsia" w:ascii="Times New Roman" w:hAnsi="Times New Roman" w:eastAsia="黑体" w:cs="Times New Roman"/>
          <w:color w:val="auto"/>
          <w:kern w:val="0"/>
          <w:sz w:val="21"/>
          <w:szCs w:val="21"/>
          <w:shd w:val="clear" w:color="auto" w:fill="auto"/>
          <w:lang w:val="en-US" w:eastAsia="zh-CN" w:bidi="ar-SA"/>
        </w:rPr>
        <w:t>表4.3-</w:t>
      </w:r>
      <w:r>
        <w:rPr>
          <w:rFonts w:hint="eastAsia" w:eastAsia="黑体" w:cs="Times New Roman"/>
          <w:color w:val="auto"/>
          <w:kern w:val="0"/>
          <w:sz w:val="21"/>
          <w:szCs w:val="21"/>
          <w:shd w:val="clear" w:color="auto" w:fill="auto"/>
          <w:lang w:val="en-US" w:eastAsia="zh-CN" w:bidi="ar-SA"/>
        </w:rPr>
        <w:t xml:space="preserve">6 </w:t>
      </w:r>
      <w:r>
        <w:rPr>
          <w:rFonts w:hint="eastAsia" w:ascii="Times New Roman" w:hAnsi="Times New Roman" w:eastAsia="黑体" w:cs="Times New Roman"/>
          <w:color w:val="auto"/>
          <w:kern w:val="0"/>
          <w:sz w:val="21"/>
          <w:szCs w:val="21"/>
          <w:shd w:val="clear" w:color="auto" w:fill="auto"/>
          <w:lang w:val="en-US" w:eastAsia="zh-CN" w:bidi="ar-SA"/>
        </w:rPr>
        <w:t>大气估算模型参数一览表</w:t>
      </w:r>
    </w:p>
    <w:tbl>
      <w:tblPr>
        <w:tblStyle w:val="2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39"/>
        <w:gridCol w:w="2842"/>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1"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参数</w:t>
            </w:r>
          </w:p>
        </w:tc>
        <w:tc>
          <w:tcPr>
            <w:tcW w:w="2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3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城市/农村</w:t>
            </w:r>
            <w:r>
              <w:rPr>
                <w:rFonts w:cs="Times New Roman"/>
                <w:color w:val="auto"/>
                <w:sz w:val="21"/>
                <w:szCs w:val="21"/>
                <w:shd w:val="clear" w:color="auto" w:fill="auto"/>
              </w:rPr>
              <w:t>选项</w:t>
            </w:r>
          </w:p>
        </w:tc>
        <w:tc>
          <w:tcPr>
            <w:tcW w:w="28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城市/农村</w:t>
            </w:r>
          </w:p>
        </w:tc>
        <w:tc>
          <w:tcPr>
            <w:tcW w:w="2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p>
        </w:tc>
        <w:tc>
          <w:tcPr>
            <w:tcW w:w="28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人口数</w:t>
            </w:r>
            <w:r>
              <w:rPr>
                <w:rFonts w:cs="Times New Roman"/>
                <w:color w:val="auto"/>
                <w:sz w:val="21"/>
                <w:szCs w:val="21"/>
                <w:shd w:val="clear" w:color="auto" w:fill="auto"/>
              </w:rPr>
              <w:t>（</w:t>
            </w:r>
            <w:r>
              <w:rPr>
                <w:rFonts w:hint="eastAsia" w:cs="Times New Roman"/>
                <w:color w:val="auto"/>
                <w:sz w:val="21"/>
                <w:szCs w:val="21"/>
                <w:shd w:val="clear" w:color="auto" w:fill="auto"/>
              </w:rPr>
              <w:t>城市选项</w:t>
            </w:r>
            <w:r>
              <w:rPr>
                <w:rFonts w:cs="Times New Roman"/>
                <w:color w:val="auto"/>
                <w:sz w:val="21"/>
                <w:szCs w:val="21"/>
                <w:shd w:val="clear" w:color="auto" w:fill="auto"/>
              </w:rPr>
              <w:t>时）</w:t>
            </w:r>
          </w:p>
        </w:tc>
        <w:tc>
          <w:tcPr>
            <w:tcW w:w="2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w:t>
            </w:r>
            <w:r>
              <w:rPr>
                <w:rFonts w:cs="Times New Roman"/>
                <w:color w:val="auto"/>
                <w:sz w:val="21"/>
                <w:szCs w:val="21"/>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1"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最高环境</w:t>
            </w:r>
            <w:r>
              <w:rPr>
                <w:rFonts w:cs="Times New Roman"/>
                <w:color w:val="auto"/>
                <w:sz w:val="21"/>
                <w:szCs w:val="21"/>
                <w:shd w:val="clear" w:color="auto" w:fill="auto"/>
              </w:rPr>
              <w:t>温度℃</w:t>
            </w:r>
          </w:p>
        </w:tc>
        <w:tc>
          <w:tcPr>
            <w:tcW w:w="2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1"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最低环境温度</w:t>
            </w:r>
            <w:r>
              <w:rPr>
                <w:rFonts w:cs="Times New Roman"/>
                <w:color w:val="auto"/>
                <w:sz w:val="21"/>
                <w:szCs w:val="21"/>
                <w:shd w:val="clear" w:color="auto" w:fill="auto"/>
              </w:rPr>
              <w:t>℃</w:t>
            </w:r>
          </w:p>
        </w:tc>
        <w:tc>
          <w:tcPr>
            <w:tcW w:w="2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highlight w:val="none"/>
                <w:shd w:val="clear" w:color="auto" w:fill="auto"/>
                <w:lang w:eastAsia="zh-CN"/>
              </w:rPr>
            </w:pPr>
            <w:r>
              <w:rPr>
                <w:rFonts w:hint="eastAsia" w:cs="Times New Roman"/>
                <w:color w:val="auto"/>
                <w:sz w:val="21"/>
                <w:szCs w:val="21"/>
                <w:highlight w:val="none"/>
                <w:shd w:val="clear" w:color="auto" w:fill="auto"/>
              </w:rPr>
              <w:t>-</w:t>
            </w:r>
            <w:r>
              <w:rPr>
                <w:rFonts w:hint="eastAsia" w:cs="Times New Roman"/>
                <w:color w:val="auto"/>
                <w:sz w:val="21"/>
                <w:szCs w:val="21"/>
                <w:highlight w:val="none"/>
                <w:shd w:val="clear" w:color="auto" w:fill="auto"/>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1"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土地利用类型</w:t>
            </w:r>
          </w:p>
        </w:tc>
        <w:tc>
          <w:tcPr>
            <w:tcW w:w="2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highlight w:val="none"/>
                <w:shd w:val="clear" w:color="auto" w:fill="auto"/>
                <w:lang w:eastAsia="zh-CN"/>
              </w:rPr>
            </w:pPr>
            <w:r>
              <w:rPr>
                <w:rFonts w:hint="eastAsia" w:cs="Times New Roman"/>
                <w:color w:val="auto"/>
                <w:sz w:val="21"/>
                <w:szCs w:val="21"/>
                <w:highlight w:val="none"/>
                <w:shd w:val="clear" w:color="auto" w:fill="auto"/>
                <w:lang w:eastAsia="zh-CN"/>
              </w:rPr>
              <w:t>农作地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1"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区域湿度条件</w:t>
            </w:r>
          </w:p>
        </w:tc>
        <w:tc>
          <w:tcPr>
            <w:tcW w:w="2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highlight w:val="none"/>
                <w:shd w:val="clear" w:color="auto" w:fill="auto"/>
              </w:rPr>
            </w:pPr>
            <w:r>
              <w:rPr>
                <w:rFonts w:hint="eastAsia" w:cs="Times New Roman"/>
                <w:color w:val="auto"/>
                <w:sz w:val="21"/>
                <w:szCs w:val="21"/>
                <w:highlight w:val="none"/>
                <w:shd w:val="clear" w:color="auto" w:fill="auto"/>
              </w:rPr>
              <w:t>中等湿度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3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是否</w:t>
            </w:r>
            <w:r>
              <w:rPr>
                <w:rFonts w:cs="Times New Roman"/>
                <w:color w:val="auto"/>
                <w:sz w:val="21"/>
                <w:szCs w:val="21"/>
                <w:shd w:val="clear" w:color="auto" w:fill="auto"/>
              </w:rPr>
              <w:t>考虑地形</w:t>
            </w:r>
          </w:p>
        </w:tc>
        <w:tc>
          <w:tcPr>
            <w:tcW w:w="28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考虑地形</w:t>
            </w:r>
          </w:p>
        </w:tc>
        <w:tc>
          <w:tcPr>
            <w:tcW w:w="2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Wingdings 2" w:hAnsi="Wingdings 2" w:cs="Times New Roman"/>
                <w:color w:val="auto"/>
                <w:sz w:val="21"/>
                <w:szCs w:val="21"/>
                <w:highlight w:val="none"/>
                <w:shd w:val="clear" w:color="auto" w:fill="auto"/>
              </w:rPr>
            </w:pPr>
            <w:r>
              <w:rPr>
                <w:rFonts w:ascii="Wingdings 2" w:hAnsi="Wingdings 2" w:cs="Times New Roman"/>
                <w:color w:val="auto"/>
                <w:sz w:val="21"/>
                <w:szCs w:val="21"/>
                <w:highlight w:val="none"/>
                <w:shd w:val="clear" w:color="auto" w:fill="auto"/>
              </w:rPr>
              <w:sym w:font="Wingdings 2" w:char="0052"/>
            </w:r>
            <w:r>
              <w:rPr>
                <w:rFonts w:ascii="Wingdings 2" w:hAnsi="Wingdings 2" w:cs="Times New Roman"/>
                <w:color w:val="auto"/>
                <w:sz w:val="21"/>
                <w:szCs w:val="21"/>
                <w:highlight w:val="none"/>
                <w:shd w:val="clear" w:color="auto" w:fill="auto"/>
              </w:rPr>
              <w:t>是</w:t>
            </w:r>
            <w:r>
              <w:rPr>
                <w:rFonts w:ascii="Calibri" w:hAnsi="Calibri" w:cs="Times New Roman"/>
                <w:color w:val="auto"/>
                <w:sz w:val="21"/>
                <w:szCs w:val="21"/>
                <w:highlight w:val="none"/>
                <w:shd w:val="clear" w:color="auto" w:fill="auto"/>
              </w:rPr>
              <w:sym w:font="Wingdings 2" w:char="00A3"/>
            </w:r>
            <w:r>
              <w:rPr>
                <w:rFonts w:ascii="Wingdings 2" w:hAnsi="Wingdings 2" w:cs="Times New Roman"/>
                <w:color w:val="auto"/>
                <w:sz w:val="21"/>
                <w:szCs w:val="21"/>
                <w:highlight w:val="none"/>
                <w:shd w:val="clear" w:color="auto" w:fill="auto"/>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p>
        </w:tc>
        <w:tc>
          <w:tcPr>
            <w:tcW w:w="28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rPr>
              <w:t>地形数据</w:t>
            </w:r>
            <w:r>
              <w:rPr>
                <w:rFonts w:cs="Times New Roman"/>
                <w:color w:val="auto"/>
                <w:sz w:val="21"/>
                <w:szCs w:val="21"/>
                <w:shd w:val="clear" w:color="auto" w:fill="auto"/>
              </w:rPr>
              <w:t>分辨率</w:t>
            </w:r>
            <w:r>
              <w:rPr>
                <w:rFonts w:hint="eastAsia" w:cs="Times New Roman"/>
                <w:color w:val="auto"/>
                <w:sz w:val="21"/>
                <w:szCs w:val="21"/>
                <w:shd w:val="clear" w:color="auto" w:fill="auto"/>
              </w:rPr>
              <w:t>/</w:t>
            </w:r>
            <w:r>
              <w:rPr>
                <w:rFonts w:hint="eastAsia" w:cs="Times New Roman"/>
                <w:color w:val="auto"/>
                <w:sz w:val="21"/>
                <w:szCs w:val="21"/>
                <w:shd w:val="clear" w:color="auto" w:fill="auto"/>
                <w:lang w:eastAsia="zh-CN"/>
              </w:rPr>
              <w:t>m</w:t>
            </w:r>
          </w:p>
        </w:tc>
        <w:tc>
          <w:tcPr>
            <w:tcW w:w="2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highlight w:val="none"/>
                <w:shd w:val="clear" w:color="auto" w:fill="auto"/>
              </w:rPr>
            </w:pPr>
            <w:r>
              <w:rPr>
                <w:rFonts w:hint="eastAsia" w:cs="Times New Roman"/>
                <w:color w:val="auto"/>
                <w:sz w:val="21"/>
                <w:szCs w:val="21"/>
                <w:shd w:val="clear" w:color="auto" w:fill="auto"/>
              </w:rPr>
              <w:t>-</w:t>
            </w:r>
            <w:r>
              <w:rPr>
                <w:rFonts w:cs="Times New Roman"/>
                <w:color w:val="auto"/>
                <w:sz w:val="21"/>
                <w:szCs w:val="21"/>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3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是否</w:t>
            </w:r>
            <w:r>
              <w:rPr>
                <w:rFonts w:cs="Times New Roman"/>
                <w:color w:val="auto"/>
                <w:sz w:val="21"/>
                <w:szCs w:val="21"/>
                <w:shd w:val="clear" w:color="auto" w:fill="auto"/>
              </w:rPr>
              <w:t>考虑岸线熏烟</w:t>
            </w:r>
          </w:p>
        </w:tc>
        <w:tc>
          <w:tcPr>
            <w:tcW w:w="28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考虑岸线熏烟</w:t>
            </w:r>
          </w:p>
        </w:tc>
        <w:tc>
          <w:tcPr>
            <w:tcW w:w="2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highlight w:val="none"/>
                <w:shd w:val="clear" w:color="auto" w:fill="auto"/>
              </w:rPr>
            </w:pPr>
            <w:r>
              <w:rPr>
                <w:rFonts w:ascii="Calibri" w:hAnsi="Calibri" w:cs="Times New Roman"/>
                <w:color w:val="auto"/>
                <w:sz w:val="21"/>
                <w:szCs w:val="21"/>
                <w:highlight w:val="none"/>
                <w:shd w:val="clear" w:color="auto" w:fill="auto"/>
              </w:rPr>
              <w:t>□</w:t>
            </w:r>
            <w:r>
              <w:rPr>
                <w:rFonts w:ascii="Wingdings 2" w:hAnsi="Wingdings 2" w:cs="Times New Roman"/>
                <w:color w:val="auto"/>
                <w:sz w:val="21"/>
                <w:szCs w:val="21"/>
                <w:highlight w:val="none"/>
                <w:shd w:val="clear" w:color="auto" w:fill="auto"/>
              </w:rPr>
              <w:t>是否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p>
        </w:tc>
        <w:tc>
          <w:tcPr>
            <w:tcW w:w="28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shd w:val="clear" w:color="auto" w:fill="auto"/>
                <w:lang w:eastAsia="zh-CN"/>
              </w:rPr>
            </w:pPr>
            <w:r>
              <w:rPr>
                <w:rFonts w:hint="eastAsia" w:cs="Times New Roman"/>
                <w:color w:val="auto"/>
                <w:sz w:val="21"/>
                <w:szCs w:val="21"/>
                <w:shd w:val="clear" w:color="auto" w:fill="auto"/>
              </w:rPr>
              <w:t>岸线距离/</w:t>
            </w:r>
            <w:r>
              <w:rPr>
                <w:rFonts w:hint="eastAsia" w:cs="Times New Roman"/>
                <w:color w:val="auto"/>
                <w:sz w:val="21"/>
                <w:szCs w:val="21"/>
                <w:shd w:val="clear" w:color="auto" w:fill="auto"/>
                <w:lang w:eastAsia="zh-CN"/>
              </w:rPr>
              <w:t>km</w:t>
            </w:r>
          </w:p>
        </w:tc>
        <w:tc>
          <w:tcPr>
            <w:tcW w:w="2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w:t>
            </w:r>
            <w:r>
              <w:rPr>
                <w:rFonts w:cs="Times New Roman"/>
                <w:color w:val="auto"/>
                <w:sz w:val="21"/>
                <w:szCs w:val="21"/>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p>
        </w:tc>
        <w:tc>
          <w:tcPr>
            <w:tcW w:w="28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岸线方向/°</w:t>
            </w:r>
          </w:p>
        </w:tc>
        <w:tc>
          <w:tcPr>
            <w:tcW w:w="2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color w:val="auto"/>
                <w:sz w:val="21"/>
                <w:szCs w:val="21"/>
                <w:shd w:val="clear" w:color="auto" w:fill="auto"/>
              </w:rPr>
            </w:pPr>
            <w:r>
              <w:rPr>
                <w:rFonts w:hint="eastAsia" w:cs="Times New Roman"/>
                <w:color w:val="auto"/>
                <w:sz w:val="21"/>
                <w:szCs w:val="21"/>
                <w:shd w:val="clear" w:color="auto" w:fill="auto"/>
              </w:rPr>
              <w:t>-</w:t>
            </w:r>
            <w:r>
              <w:rPr>
                <w:rFonts w:cs="Times New Roman"/>
                <w:color w:val="auto"/>
                <w:sz w:val="21"/>
                <w:szCs w:val="21"/>
                <w:shd w:val="clear" w:color="auto" w:fill="auto"/>
              </w:rPr>
              <w:t>-</w:t>
            </w:r>
          </w:p>
        </w:tc>
      </w:tr>
    </w:tbl>
    <w:p>
      <w:pPr>
        <w:bidi w:val="0"/>
        <w:rPr>
          <w:rFonts w:hint="eastAsia"/>
          <w:color w:val="auto"/>
          <w:shd w:val="clear" w:color="auto" w:fil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bidi w:val="0"/>
        <w:rPr>
          <w:rFonts w:hint="eastAsia" w:eastAsia="宋体"/>
          <w:color w:val="auto"/>
          <w:shd w:val="clear" w:color="auto" w:fill="auto"/>
          <w:lang w:eastAsia="zh-CN"/>
        </w:rPr>
      </w:pPr>
      <w:r>
        <w:rPr>
          <w:rFonts w:hint="eastAsia"/>
          <w:color w:val="auto"/>
          <w:shd w:val="clear" w:color="auto" w:fill="auto"/>
        </w:rPr>
        <w:t>（</w:t>
      </w:r>
      <w:r>
        <w:rPr>
          <w:rFonts w:hint="eastAsia"/>
          <w:color w:val="auto"/>
          <w:shd w:val="clear" w:color="auto" w:fill="auto"/>
          <w:lang w:val="en-US" w:eastAsia="zh-CN"/>
        </w:rPr>
        <w:t>4）</w:t>
      </w:r>
      <w:r>
        <w:rPr>
          <w:rFonts w:hint="eastAsia"/>
          <w:color w:val="auto"/>
          <w:shd w:val="clear" w:color="auto" w:fill="auto"/>
          <w:lang w:eastAsia="zh-CN"/>
        </w:rPr>
        <w:t>主要污染源估算模型计算结果</w:t>
      </w:r>
    </w:p>
    <w:p>
      <w:pPr>
        <w:rPr>
          <w:color w:val="auto"/>
          <w:shd w:val="clear" w:color="auto" w:fill="auto"/>
        </w:rPr>
      </w:pPr>
      <w:r>
        <w:rPr>
          <w:color w:val="auto"/>
          <w:sz w:val="24"/>
          <w:szCs w:val="24"/>
          <w:shd w:val="clear" w:color="auto" w:fill="auto"/>
        </w:rPr>
        <w:t>采用估算模式预测</w:t>
      </w:r>
      <w:r>
        <w:rPr>
          <w:rFonts w:hint="eastAsia" w:cs="Times New Roman"/>
          <w:color w:val="auto"/>
          <w:sz w:val="24"/>
          <w:szCs w:val="24"/>
          <w:shd w:val="clear" w:color="auto" w:fill="auto"/>
          <w:lang w:val="en-US" w:eastAsia="zh-CN"/>
        </w:rPr>
        <w:t>TSP</w:t>
      </w:r>
      <w:r>
        <w:rPr>
          <w:color w:val="auto"/>
          <w:sz w:val="24"/>
          <w:szCs w:val="24"/>
          <w:shd w:val="clear" w:color="auto" w:fill="auto"/>
        </w:rPr>
        <w:t>排放对下</w:t>
      </w:r>
      <w:r>
        <w:rPr>
          <w:color w:val="auto"/>
          <w:shd w:val="clear" w:color="auto" w:fill="auto"/>
        </w:rPr>
        <w:t>风向的地面浓度的影响结果，见表</w:t>
      </w:r>
      <w:r>
        <w:rPr>
          <w:rFonts w:hint="eastAsia"/>
          <w:color w:val="auto"/>
          <w:shd w:val="clear" w:color="auto" w:fill="auto"/>
          <w:lang w:val="en-US" w:eastAsia="zh-CN"/>
        </w:rPr>
        <w:t>4.3-7</w:t>
      </w:r>
      <w:r>
        <w:rPr>
          <w:color w:val="auto"/>
          <w:shd w:val="clear" w:color="auto" w:fill="auto"/>
        </w:rPr>
        <w:t>。</w:t>
      </w:r>
    </w:p>
    <w:p>
      <w:pPr>
        <w:pStyle w:val="2"/>
        <w:ind w:firstLine="0" w:firstLineChars="0"/>
        <w:jc w:val="center"/>
        <w:rPr>
          <w:rFonts w:eastAsia="黑体" w:cs="Times New Roman"/>
          <w:color w:val="auto"/>
          <w:sz w:val="21"/>
          <w:szCs w:val="21"/>
          <w:shd w:val="clear" w:color="auto" w:fill="auto"/>
        </w:rPr>
      </w:pPr>
      <w:r>
        <w:rPr>
          <w:rFonts w:hint="eastAsia" w:eastAsia="黑体" w:cs="Times New Roman"/>
          <w:color w:val="auto"/>
          <w:sz w:val="21"/>
          <w:szCs w:val="21"/>
          <w:shd w:val="clear" w:color="auto" w:fill="auto"/>
        </w:rPr>
        <w:t>表</w:t>
      </w:r>
      <w:r>
        <w:rPr>
          <w:rFonts w:hint="eastAsia" w:eastAsia="黑体" w:cs="Times New Roman"/>
          <w:color w:val="auto"/>
          <w:sz w:val="21"/>
          <w:szCs w:val="21"/>
          <w:shd w:val="clear" w:color="auto" w:fill="auto"/>
          <w:lang w:val="en-US" w:eastAsia="zh-CN"/>
        </w:rPr>
        <w:t>4</w:t>
      </w:r>
      <w:r>
        <w:rPr>
          <w:rFonts w:hint="eastAsia" w:eastAsia="黑体" w:cs="Times New Roman"/>
          <w:color w:val="auto"/>
          <w:sz w:val="21"/>
          <w:szCs w:val="21"/>
          <w:shd w:val="clear" w:color="auto" w:fill="auto"/>
        </w:rPr>
        <w:t>.</w:t>
      </w:r>
      <w:r>
        <w:rPr>
          <w:rFonts w:hint="eastAsia" w:eastAsia="黑体" w:cs="Times New Roman"/>
          <w:color w:val="auto"/>
          <w:sz w:val="21"/>
          <w:szCs w:val="21"/>
          <w:shd w:val="clear" w:color="auto" w:fill="auto"/>
          <w:lang w:val="en-US" w:eastAsia="zh-CN"/>
        </w:rPr>
        <w:t>3</w:t>
      </w:r>
      <w:r>
        <w:rPr>
          <w:rFonts w:hint="eastAsia" w:eastAsia="黑体" w:cs="Times New Roman"/>
          <w:color w:val="auto"/>
          <w:sz w:val="21"/>
          <w:szCs w:val="21"/>
          <w:shd w:val="clear" w:color="auto" w:fill="auto"/>
        </w:rPr>
        <w:t>-</w:t>
      </w:r>
      <w:r>
        <w:rPr>
          <w:rFonts w:hint="eastAsia" w:eastAsia="黑体" w:cs="Times New Roman"/>
          <w:color w:val="auto"/>
          <w:sz w:val="21"/>
          <w:szCs w:val="21"/>
          <w:shd w:val="clear" w:color="auto" w:fill="auto"/>
          <w:lang w:val="en-US" w:eastAsia="zh-CN"/>
        </w:rPr>
        <w:t>7</w:t>
      </w:r>
      <w:r>
        <w:rPr>
          <w:rFonts w:hint="eastAsia" w:eastAsia="黑体" w:cs="Times New Roman"/>
          <w:color w:val="auto"/>
          <w:sz w:val="21"/>
          <w:szCs w:val="21"/>
          <w:shd w:val="clear" w:color="auto" w:fill="auto"/>
          <w:lang w:eastAsia="zh-CN"/>
        </w:rPr>
        <w:t>（</w:t>
      </w:r>
      <w:r>
        <w:rPr>
          <w:rFonts w:hint="eastAsia" w:eastAsia="黑体" w:cs="Times New Roman"/>
          <w:color w:val="auto"/>
          <w:sz w:val="21"/>
          <w:szCs w:val="21"/>
          <w:shd w:val="clear" w:color="auto" w:fill="auto"/>
          <w:lang w:val="en-US" w:eastAsia="zh-CN"/>
        </w:rPr>
        <w:t>a</w:t>
      </w:r>
      <w:r>
        <w:rPr>
          <w:rFonts w:hint="eastAsia" w:eastAsia="黑体" w:cs="Times New Roman"/>
          <w:color w:val="auto"/>
          <w:sz w:val="21"/>
          <w:szCs w:val="21"/>
          <w:shd w:val="clear" w:color="auto" w:fill="auto"/>
          <w:lang w:eastAsia="zh-CN"/>
        </w:rPr>
        <w:t>）</w:t>
      </w:r>
      <w:r>
        <w:rPr>
          <w:rFonts w:hint="eastAsia" w:eastAsia="黑体" w:cs="Times New Roman"/>
          <w:color w:val="auto"/>
          <w:sz w:val="21"/>
          <w:szCs w:val="21"/>
          <w:shd w:val="clear" w:color="auto" w:fill="auto"/>
          <w:lang w:val="en-US" w:eastAsia="zh-CN"/>
        </w:rPr>
        <w:t xml:space="preserve"> TSP</w:t>
      </w:r>
      <w:r>
        <w:rPr>
          <w:rFonts w:hint="eastAsia" w:eastAsia="黑体" w:cs="Times New Roman"/>
          <w:color w:val="auto"/>
          <w:sz w:val="21"/>
          <w:szCs w:val="21"/>
          <w:shd w:val="clear" w:color="auto" w:fill="auto"/>
        </w:rPr>
        <w:t>无组织排放预测结果汇总表</w:t>
      </w:r>
    </w:p>
    <w:tbl>
      <w:tblPr>
        <w:tblStyle w:val="2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1"/>
        <w:gridCol w:w="1129"/>
        <w:gridCol w:w="2840"/>
        <w:gridCol w:w="2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gridSpan w:val="2"/>
            <w:vMerge w:val="restart"/>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eastAsia="zh-CN"/>
              </w:rPr>
              <w:t>下风向距离</w:t>
            </w:r>
            <w:r>
              <w:rPr>
                <w:rFonts w:hint="eastAsia" w:cs="Times New Roman"/>
                <w:color w:val="auto"/>
                <w:sz w:val="21"/>
                <w:shd w:val="clear" w:color="auto" w:fill="auto"/>
                <w:lang w:val="en-US" w:eastAsia="zh-CN"/>
              </w:rPr>
              <w:t>m</w:t>
            </w:r>
          </w:p>
        </w:tc>
        <w:tc>
          <w:tcPr>
            <w:tcW w:w="5682" w:type="dxa"/>
            <w:gridSpan w:val="2"/>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hd w:val="clear" w:color="auto" w:fill="auto"/>
                <w:lang w:eastAsia="zh-CN"/>
              </w:rPr>
              <w:t>散货装卸及道路扬尘（</w:t>
            </w:r>
            <w:r>
              <w:rPr>
                <w:rFonts w:hint="eastAsia" w:cs="Times New Roman"/>
                <w:color w:val="auto"/>
                <w:sz w:val="21"/>
                <w:szCs w:val="21"/>
                <w:shd w:val="clear" w:color="auto" w:fill="auto"/>
                <w:lang w:val="en-US" w:eastAsia="zh-CN"/>
              </w:rPr>
              <w:t>TSP</w:t>
            </w:r>
            <w:r>
              <w:rPr>
                <w:rFonts w:hint="eastAsia" w:cs="Times New Roman"/>
                <w:color w:val="auto"/>
                <w:sz w:val="21"/>
                <w:shd w:val="clear" w:color="auto" w:fil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gridSpan w:val="2"/>
            <w:vMerge w:val="continue"/>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p>
        </w:tc>
        <w:tc>
          <w:tcPr>
            <w:tcW w:w="284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最大落地浓度（</w:t>
            </w:r>
            <w:r>
              <w:rPr>
                <w:rFonts w:hint="eastAsia" w:cs="Times New Roman"/>
                <w:color w:val="auto"/>
                <w:sz w:val="21"/>
                <w:shd w:val="clear" w:color="auto" w:fill="auto"/>
                <w:lang w:eastAsia="zh-CN"/>
              </w:rPr>
              <w:t>m</w:t>
            </w:r>
            <w:r>
              <w:rPr>
                <w:rFonts w:hint="eastAsia" w:cs="Times New Roman"/>
                <w:color w:val="auto"/>
                <w:sz w:val="21"/>
                <w:shd w:val="clear" w:color="auto" w:fill="auto"/>
              </w:rPr>
              <w:t>g/</w:t>
            </w:r>
            <w:r>
              <w:rPr>
                <w:rFonts w:hint="eastAsia" w:cs="Times New Roman"/>
                <w:color w:val="auto"/>
                <w:sz w:val="21"/>
                <w:shd w:val="clear" w:color="auto" w:fill="auto"/>
                <w:vertAlign w:val="baseline"/>
                <w:lang w:eastAsia="zh-CN"/>
              </w:rPr>
              <w:t>m</w:t>
            </w:r>
            <w:r>
              <w:rPr>
                <w:rFonts w:hint="eastAsia" w:cs="Times New Roman"/>
                <w:color w:val="auto"/>
                <w:sz w:val="21"/>
                <w:shd w:val="clear" w:color="auto" w:fill="auto"/>
                <w:vertAlign w:val="superscript"/>
                <w:lang w:eastAsia="zh-CN"/>
              </w:rPr>
              <w:t>3</w:t>
            </w:r>
            <w:r>
              <w:rPr>
                <w:rFonts w:hint="eastAsia" w:cs="Times New Roman"/>
                <w:color w:val="auto"/>
                <w:sz w:val="21"/>
                <w:shd w:val="clear" w:color="auto" w:fill="auto"/>
              </w:rPr>
              <w:t>）</w:t>
            </w:r>
          </w:p>
        </w:tc>
        <w:tc>
          <w:tcPr>
            <w:tcW w:w="2842" w:type="dxa"/>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rPr>
              <w:t>最大落地</w:t>
            </w:r>
            <w:r>
              <w:rPr>
                <w:rFonts w:hint="eastAsia" w:cs="Times New Roman"/>
                <w:color w:val="auto"/>
                <w:sz w:val="21"/>
                <w:shd w:val="clear" w:color="auto" w:fill="auto"/>
                <w:lang w:eastAsia="zh-CN"/>
              </w:rPr>
              <w:t>浓度占标率</w:t>
            </w:r>
            <w:r>
              <w:rPr>
                <w:rFonts w:hint="eastAsia" w:cs="Times New Roman"/>
                <w:color w:val="auto"/>
                <w:sz w:val="21"/>
                <w:shd w:val="clear" w:color="auto" w:fil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10</w:t>
            </w:r>
          </w:p>
        </w:tc>
        <w:tc>
          <w:tcPr>
            <w:tcW w:w="284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3.25E-02</w:t>
            </w:r>
          </w:p>
        </w:tc>
        <w:tc>
          <w:tcPr>
            <w:tcW w:w="2842"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3.61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25</w:t>
            </w:r>
          </w:p>
        </w:tc>
        <w:tc>
          <w:tcPr>
            <w:tcW w:w="284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3.80E-02</w:t>
            </w:r>
          </w:p>
        </w:tc>
        <w:tc>
          <w:tcPr>
            <w:tcW w:w="2842"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4.22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50</w:t>
            </w:r>
          </w:p>
        </w:tc>
        <w:tc>
          <w:tcPr>
            <w:tcW w:w="284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4.74E-02</w:t>
            </w:r>
          </w:p>
        </w:tc>
        <w:tc>
          <w:tcPr>
            <w:tcW w:w="2842"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5.26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75</w:t>
            </w:r>
          </w:p>
        </w:tc>
        <w:tc>
          <w:tcPr>
            <w:tcW w:w="284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5.69E-02</w:t>
            </w:r>
          </w:p>
        </w:tc>
        <w:tc>
          <w:tcPr>
            <w:tcW w:w="2842"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6.33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100</w:t>
            </w:r>
          </w:p>
        </w:tc>
        <w:tc>
          <w:tcPr>
            <w:tcW w:w="284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6.44E-02</w:t>
            </w:r>
          </w:p>
        </w:tc>
        <w:tc>
          <w:tcPr>
            <w:tcW w:w="2842"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7.15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125</w:t>
            </w:r>
          </w:p>
        </w:tc>
        <w:tc>
          <w:tcPr>
            <w:tcW w:w="284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6.78E-02</w:t>
            </w:r>
          </w:p>
        </w:tc>
        <w:tc>
          <w:tcPr>
            <w:tcW w:w="2842"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7.53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150</w:t>
            </w:r>
          </w:p>
        </w:tc>
        <w:tc>
          <w:tcPr>
            <w:tcW w:w="284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6.78E-02</w:t>
            </w:r>
          </w:p>
        </w:tc>
        <w:tc>
          <w:tcPr>
            <w:tcW w:w="2842"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7.53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175</w:t>
            </w:r>
          </w:p>
        </w:tc>
        <w:tc>
          <w:tcPr>
            <w:tcW w:w="284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7.05E-02</w:t>
            </w:r>
          </w:p>
        </w:tc>
        <w:tc>
          <w:tcPr>
            <w:tcW w:w="2842"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7.83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200</w:t>
            </w:r>
          </w:p>
        </w:tc>
        <w:tc>
          <w:tcPr>
            <w:tcW w:w="284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7.22E-02</w:t>
            </w:r>
          </w:p>
        </w:tc>
        <w:tc>
          <w:tcPr>
            <w:tcW w:w="2842"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8.03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gridSpan w:val="2"/>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300</w:t>
            </w:r>
          </w:p>
        </w:tc>
        <w:tc>
          <w:tcPr>
            <w:tcW w:w="284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7.05E-02</w:t>
            </w:r>
          </w:p>
        </w:tc>
        <w:tc>
          <w:tcPr>
            <w:tcW w:w="2842"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7.84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gridSpan w:val="2"/>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400</w:t>
            </w:r>
          </w:p>
        </w:tc>
        <w:tc>
          <w:tcPr>
            <w:tcW w:w="284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6.38E-02</w:t>
            </w:r>
          </w:p>
        </w:tc>
        <w:tc>
          <w:tcPr>
            <w:tcW w:w="2842"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7.09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gridSpan w:val="2"/>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500</w:t>
            </w:r>
          </w:p>
        </w:tc>
        <w:tc>
          <w:tcPr>
            <w:tcW w:w="284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5.70E-02</w:t>
            </w:r>
          </w:p>
        </w:tc>
        <w:tc>
          <w:tcPr>
            <w:tcW w:w="2842"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6.33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1" w:type="dxa"/>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下风向最大质量浓度及占标率%</w:t>
            </w:r>
          </w:p>
        </w:tc>
        <w:tc>
          <w:tcPr>
            <w:tcW w:w="1129" w:type="dxa"/>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225m</w:t>
            </w:r>
          </w:p>
        </w:tc>
        <w:tc>
          <w:tcPr>
            <w:tcW w:w="2840"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7.29E-02</w:t>
            </w:r>
          </w:p>
        </w:tc>
        <w:tc>
          <w:tcPr>
            <w:tcW w:w="2842" w:type="dxa"/>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8.10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gridSpan w:val="2"/>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D%最远距离</w:t>
            </w:r>
          </w:p>
        </w:tc>
        <w:tc>
          <w:tcPr>
            <w:tcW w:w="5682"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eastAsia="宋体" w:cs="Times New Roman"/>
                <w:color w:val="auto"/>
                <w:sz w:val="21"/>
                <w:shd w:val="clear" w:color="auto" w:fill="auto"/>
                <w:lang w:val="en-US" w:eastAsia="zh-CN"/>
              </w:rPr>
              <w:t>0</w:t>
            </w:r>
            <w:r>
              <w:rPr>
                <w:rFonts w:hint="eastAsia" w:cs="Times New Roman"/>
                <w:color w:val="auto"/>
                <w:sz w:val="21"/>
                <w:shd w:val="clear" w:color="auto" w:fill="auto"/>
                <w:lang w:val="en-US" w:eastAsia="zh-CN"/>
              </w:rPr>
              <w:t>m</w:t>
            </w:r>
          </w:p>
        </w:tc>
      </w:tr>
    </w:tbl>
    <w:p>
      <w:pPr>
        <w:pStyle w:val="2"/>
        <w:keepNext w:val="0"/>
        <w:keepLines w:val="0"/>
        <w:pageBreakBefore w:val="0"/>
        <w:widowControl w:val="0"/>
        <w:kinsoku/>
        <w:wordWrap/>
        <w:overflowPunct/>
        <w:topLinePunct w:val="0"/>
        <w:autoSpaceDE/>
        <w:autoSpaceDN/>
        <w:bidi w:val="0"/>
        <w:adjustRightInd/>
        <w:snapToGrid/>
        <w:spacing w:before="157" w:beforeLines="50" w:line="240" w:lineRule="auto"/>
        <w:ind w:firstLine="0" w:firstLineChars="0"/>
        <w:jc w:val="center"/>
        <w:textAlignment w:val="auto"/>
        <w:rPr>
          <w:rFonts w:eastAsia="黑体" w:cs="Times New Roman"/>
          <w:color w:val="auto"/>
          <w:sz w:val="21"/>
          <w:szCs w:val="21"/>
          <w:shd w:val="clear" w:color="auto" w:fill="auto"/>
        </w:rPr>
      </w:pPr>
      <w:r>
        <w:rPr>
          <w:rFonts w:hint="eastAsia" w:eastAsia="黑体" w:cs="Times New Roman"/>
          <w:color w:val="auto"/>
          <w:sz w:val="21"/>
          <w:szCs w:val="21"/>
          <w:shd w:val="clear" w:color="auto" w:fill="auto"/>
        </w:rPr>
        <w:t>表</w:t>
      </w:r>
      <w:r>
        <w:rPr>
          <w:rFonts w:hint="eastAsia" w:eastAsia="黑体" w:cs="Times New Roman"/>
          <w:color w:val="auto"/>
          <w:sz w:val="21"/>
          <w:szCs w:val="21"/>
          <w:shd w:val="clear" w:color="auto" w:fill="auto"/>
          <w:lang w:val="en-US" w:eastAsia="zh-CN"/>
        </w:rPr>
        <w:t>4</w:t>
      </w:r>
      <w:r>
        <w:rPr>
          <w:rFonts w:hint="eastAsia" w:eastAsia="黑体" w:cs="Times New Roman"/>
          <w:color w:val="auto"/>
          <w:sz w:val="21"/>
          <w:szCs w:val="21"/>
          <w:shd w:val="clear" w:color="auto" w:fill="auto"/>
        </w:rPr>
        <w:t>.</w:t>
      </w:r>
      <w:r>
        <w:rPr>
          <w:rFonts w:hint="eastAsia" w:eastAsia="黑体" w:cs="Times New Roman"/>
          <w:color w:val="auto"/>
          <w:sz w:val="21"/>
          <w:szCs w:val="21"/>
          <w:shd w:val="clear" w:color="auto" w:fill="auto"/>
          <w:lang w:val="en-US" w:eastAsia="zh-CN"/>
        </w:rPr>
        <w:t>3</w:t>
      </w:r>
      <w:r>
        <w:rPr>
          <w:rFonts w:hint="eastAsia" w:eastAsia="黑体" w:cs="Times New Roman"/>
          <w:color w:val="auto"/>
          <w:sz w:val="21"/>
          <w:szCs w:val="21"/>
          <w:shd w:val="clear" w:color="auto" w:fill="auto"/>
        </w:rPr>
        <w:t>-</w:t>
      </w:r>
      <w:r>
        <w:rPr>
          <w:rFonts w:hint="eastAsia" w:eastAsia="黑体" w:cs="Times New Roman"/>
          <w:color w:val="auto"/>
          <w:sz w:val="21"/>
          <w:szCs w:val="21"/>
          <w:shd w:val="clear" w:color="auto" w:fill="auto"/>
          <w:lang w:val="en-US" w:eastAsia="zh-CN"/>
        </w:rPr>
        <w:t>7</w:t>
      </w:r>
      <w:r>
        <w:rPr>
          <w:rFonts w:hint="eastAsia" w:eastAsia="黑体" w:cs="Times New Roman"/>
          <w:color w:val="auto"/>
          <w:sz w:val="21"/>
          <w:szCs w:val="21"/>
          <w:shd w:val="clear" w:color="auto" w:fill="auto"/>
          <w:lang w:eastAsia="zh-CN"/>
        </w:rPr>
        <w:t>（</w:t>
      </w:r>
      <w:r>
        <w:rPr>
          <w:rFonts w:hint="eastAsia" w:eastAsia="黑体" w:cs="Times New Roman"/>
          <w:color w:val="auto"/>
          <w:sz w:val="21"/>
          <w:szCs w:val="21"/>
          <w:shd w:val="clear" w:color="auto" w:fill="auto"/>
          <w:lang w:val="en-US" w:eastAsia="zh-CN"/>
        </w:rPr>
        <w:t>b</w:t>
      </w:r>
      <w:r>
        <w:rPr>
          <w:rFonts w:hint="eastAsia" w:eastAsia="黑体" w:cs="Times New Roman"/>
          <w:color w:val="auto"/>
          <w:sz w:val="21"/>
          <w:szCs w:val="21"/>
          <w:shd w:val="clear" w:color="auto" w:fill="auto"/>
          <w:lang w:eastAsia="zh-CN"/>
        </w:rPr>
        <w:t>）</w:t>
      </w:r>
      <w:r>
        <w:rPr>
          <w:rFonts w:hint="eastAsia" w:eastAsia="黑体" w:cs="Times New Roman"/>
          <w:color w:val="auto"/>
          <w:sz w:val="21"/>
          <w:szCs w:val="21"/>
          <w:shd w:val="clear" w:color="auto" w:fill="auto"/>
        </w:rPr>
        <w:t xml:space="preserve">  </w:t>
      </w:r>
      <w:r>
        <w:rPr>
          <w:rFonts w:hint="eastAsia" w:eastAsia="黑体" w:cs="Times New Roman"/>
          <w:color w:val="auto"/>
          <w:sz w:val="21"/>
          <w:szCs w:val="21"/>
          <w:shd w:val="clear" w:color="auto" w:fill="auto"/>
          <w:lang w:val="en-US" w:eastAsia="zh-CN"/>
        </w:rPr>
        <w:t>SO</w:t>
      </w:r>
      <w:r>
        <w:rPr>
          <w:rFonts w:hint="eastAsia" w:eastAsia="黑体" w:cs="Times New Roman"/>
          <w:color w:val="auto"/>
          <w:sz w:val="21"/>
          <w:szCs w:val="21"/>
          <w:shd w:val="clear" w:color="auto" w:fill="auto"/>
          <w:vertAlign w:val="subscript"/>
          <w:lang w:val="en-US" w:eastAsia="zh-CN"/>
        </w:rPr>
        <w:t>2</w:t>
      </w:r>
      <w:r>
        <w:rPr>
          <w:rFonts w:hint="eastAsia" w:eastAsia="黑体" w:cs="Times New Roman"/>
          <w:color w:val="auto"/>
          <w:sz w:val="21"/>
          <w:szCs w:val="21"/>
          <w:shd w:val="clear" w:color="auto" w:fill="auto"/>
          <w:lang w:val="en-US" w:eastAsia="zh-CN"/>
        </w:rPr>
        <w:t>、NOx</w:t>
      </w:r>
      <w:r>
        <w:rPr>
          <w:rFonts w:hint="eastAsia" w:eastAsia="黑体" w:cs="Times New Roman"/>
          <w:color w:val="auto"/>
          <w:sz w:val="21"/>
          <w:szCs w:val="21"/>
          <w:shd w:val="clear" w:color="auto" w:fill="auto"/>
        </w:rPr>
        <w:t>无组织排放预测结果汇总表</w:t>
      </w:r>
    </w:p>
    <w:tbl>
      <w:tblPr>
        <w:tblStyle w:val="27"/>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697"/>
        <w:gridCol w:w="1616"/>
        <w:gridCol w:w="1706"/>
        <w:gridCol w:w="1705"/>
        <w:gridCol w:w="1697"/>
        <w:gridCol w:w="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4" w:type="dxa"/>
            <w:gridSpan w:val="2"/>
            <w:vMerge w:val="restart"/>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eastAsia="zh-CN"/>
              </w:rPr>
              <w:t>下风向距离</w:t>
            </w:r>
            <w:r>
              <w:rPr>
                <w:rFonts w:hint="eastAsia" w:cs="Times New Roman"/>
                <w:color w:val="auto"/>
                <w:sz w:val="21"/>
                <w:shd w:val="clear" w:color="auto" w:fill="auto"/>
                <w:lang w:val="en-US" w:eastAsia="zh-CN"/>
              </w:rPr>
              <w:t>m</w:t>
            </w:r>
          </w:p>
        </w:tc>
        <w:tc>
          <w:tcPr>
            <w:tcW w:w="3322" w:type="dxa"/>
            <w:gridSpan w:val="2"/>
            <w:vAlign w:val="center"/>
          </w:tcPr>
          <w:p>
            <w:pPr>
              <w:pStyle w:val="46"/>
              <w:spacing w:line="240" w:lineRule="auto"/>
              <w:ind w:firstLine="0" w:firstLineChars="0"/>
              <w:jc w:val="center"/>
              <w:rPr>
                <w:rFonts w:hint="default" w:cs="Times New Roman"/>
                <w:color w:val="auto"/>
                <w:sz w:val="21"/>
                <w:szCs w:val="21"/>
                <w:shd w:val="clear" w:color="auto" w:fill="auto"/>
                <w:vertAlign w:val="baseline"/>
                <w:lang w:val="en-US"/>
              </w:rPr>
            </w:pPr>
            <w:r>
              <w:rPr>
                <w:rFonts w:hint="eastAsia" w:cs="Times New Roman"/>
                <w:color w:val="auto"/>
                <w:sz w:val="21"/>
                <w:szCs w:val="21"/>
                <w:shd w:val="clear" w:color="auto" w:fill="auto"/>
                <w:lang w:val="en-US" w:eastAsia="zh-CN"/>
              </w:rPr>
              <w:t>船舶废气及汽车尾气（</w:t>
            </w:r>
            <w:r>
              <w:rPr>
                <w:rFonts w:hint="eastAsia" w:eastAsia="黑体" w:cs="Times New Roman"/>
                <w:color w:val="auto"/>
                <w:sz w:val="21"/>
                <w:szCs w:val="21"/>
                <w:shd w:val="clear" w:color="auto" w:fill="auto"/>
                <w:lang w:val="en-US" w:eastAsia="zh-CN"/>
              </w:rPr>
              <w:t>SO</w:t>
            </w:r>
            <w:r>
              <w:rPr>
                <w:rFonts w:hint="eastAsia" w:eastAsia="黑体" w:cs="Times New Roman"/>
                <w:color w:val="auto"/>
                <w:sz w:val="21"/>
                <w:szCs w:val="21"/>
                <w:shd w:val="clear" w:color="auto" w:fill="auto"/>
                <w:vertAlign w:val="subscript"/>
                <w:lang w:val="en-US" w:eastAsia="zh-CN"/>
              </w:rPr>
              <w:t>2</w:t>
            </w:r>
            <w:r>
              <w:rPr>
                <w:rFonts w:hint="eastAsia" w:cs="Times New Roman"/>
                <w:color w:val="auto"/>
                <w:sz w:val="21"/>
                <w:szCs w:val="21"/>
                <w:shd w:val="clear" w:color="auto" w:fill="auto"/>
                <w:lang w:val="en-US" w:eastAsia="zh-CN"/>
              </w:rPr>
              <w:t>）</w:t>
            </w:r>
          </w:p>
        </w:tc>
        <w:tc>
          <w:tcPr>
            <w:tcW w:w="3403" w:type="dxa"/>
            <w:gridSpan w:val="3"/>
            <w:vAlign w:val="center"/>
          </w:tcPr>
          <w:p>
            <w:pPr>
              <w:pStyle w:val="46"/>
              <w:spacing w:line="240" w:lineRule="auto"/>
              <w:ind w:firstLine="0" w:firstLineChars="0"/>
              <w:jc w:val="center"/>
              <w:rPr>
                <w:rFonts w:hint="eastAsia" w:cs="Times New Roman"/>
                <w:color w:val="auto"/>
                <w:sz w:val="21"/>
                <w:szCs w:val="21"/>
                <w:shd w:val="clear" w:color="auto" w:fill="auto"/>
                <w:lang w:eastAsia="zh-CN"/>
              </w:rPr>
            </w:pPr>
            <w:r>
              <w:rPr>
                <w:rFonts w:hint="eastAsia" w:cs="Times New Roman"/>
                <w:color w:val="auto"/>
                <w:sz w:val="21"/>
                <w:szCs w:val="21"/>
                <w:shd w:val="clear" w:color="auto" w:fill="auto"/>
                <w:lang w:val="en-US" w:eastAsia="zh-CN"/>
              </w:rPr>
              <w:t>船舶废气及汽车尾气（</w:t>
            </w:r>
            <w:r>
              <w:rPr>
                <w:rFonts w:hint="eastAsia" w:eastAsia="黑体" w:cs="Times New Roman"/>
                <w:color w:val="auto"/>
                <w:sz w:val="21"/>
                <w:szCs w:val="21"/>
                <w:shd w:val="clear" w:color="auto" w:fill="auto"/>
                <w:lang w:val="en-US" w:eastAsia="zh-CN"/>
              </w:rPr>
              <w:t>NOx</w:t>
            </w:r>
            <w:r>
              <w:rPr>
                <w:rFonts w:hint="eastAsia" w:cs="Times New Roman"/>
                <w:color w:val="auto"/>
                <w:sz w:val="21"/>
                <w:szCs w:val="21"/>
                <w:shd w:val="clear" w:color="auto" w:fil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40" w:hRule="atLeast"/>
        </w:trPr>
        <w:tc>
          <w:tcPr>
            <w:tcW w:w="1794" w:type="dxa"/>
            <w:gridSpan w:val="2"/>
            <w:vMerge w:val="continue"/>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p>
        </w:tc>
        <w:tc>
          <w:tcPr>
            <w:tcW w:w="1616" w:type="dxa"/>
            <w:vAlign w:val="center"/>
          </w:tcPr>
          <w:p>
            <w:pPr>
              <w:pStyle w:val="46"/>
              <w:spacing w:line="240" w:lineRule="auto"/>
              <w:ind w:firstLine="0" w:firstLineChars="0"/>
              <w:jc w:val="center"/>
              <w:rPr>
                <w:rFonts w:cs="Times New Roman"/>
                <w:color w:val="auto"/>
                <w:sz w:val="21"/>
                <w:szCs w:val="21"/>
                <w:shd w:val="clear" w:color="auto" w:fill="auto"/>
              </w:rPr>
            </w:pPr>
            <w:r>
              <w:rPr>
                <w:rFonts w:hint="eastAsia" w:cs="Times New Roman"/>
                <w:color w:val="auto"/>
                <w:sz w:val="21"/>
                <w:szCs w:val="21"/>
                <w:shd w:val="clear" w:color="auto" w:fill="auto"/>
              </w:rPr>
              <w:t>最大落地浓度（</w:t>
            </w:r>
            <w:r>
              <w:rPr>
                <w:rFonts w:hint="eastAsia" w:cs="Times New Roman"/>
                <w:color w:val="auto"/>
                <w:sz w:val="21"/>
                <w:szCs w:val="21"/>
                <w:shd w:val="clear" w:color="auto" w:fill="auto"/>
                <w:lang w:eastAsia="zh-CN"/>
              </w:rPr>
              <w:t>m</w:t>
            </w:r>
            <w:r>
              <w:rPr>
                <w:rFonts w:hint="eastAsia" w:cs="Times New Roman"/>
                <w:color w:val="auto"/>
                <w:sz w:val="21"/>
                <w:szCs w:val="21"/>
                <w:shd w:val="clear" w:color="auto" w:fill="auto"/>
              </w:rPr>
              <w:t>g/</w:t>
            </w:r>
            <w:r>
              <w:rPr>
                <w:rFonts w:hint="eastAsia" w:cs="Times New Roman"/>
                <w:color w:val="auto"/>
                <w:sz w:val="21"/>
                <w:szCs w:val="21"/>
                <w:shd w:val="clear" w:color="auto" w:fill="auto"/>
                <w:vertAlign w:val="baseline"/>
                <w:lang w:eastAsia="zh-CN"/>
              </w:rPr>
              <w:t>m</w:t>
            </w:r>
            <w:r>
              <w:rPr>
                <w:rFonts w:hint="eastAsia" w:cs="Times New Roman"/>
                <w:color w:val="auto"/>
                <w:sz w:val="21"/>
                <w:szCs w:val="21"/>
                <w:shd w:val="clear" w:color="auto" w:fill="auto"/>
                <w:vertAlign w:val="superscript"/>
                <w:lang w:eastAsia="zh-CN"/>
              </w:rPr>
              <w:t>3</w:t>
            </w:r>
            <w:r>
              <w:rPr>
                <w:rFonts w:hint="eastAsia" w:cs="Times New Roman"/>
                <w:color w:val="auto"/>
                <w:sz w:val="21"/>
                <w:szCs w:val="21"/>
                <w:shd w:val="clear" w:color="auto" w:fill="auto"/>
              </w:rPr>
              <w:t>）</w:t>
            </w:r>
          </w:p>
        </w:tc>
        <w:tc>
          <w:tcPr>
            <w:tcW w:w="1706" w:type="dxa"/>
            <w:vAlign w:val="center"/>
          </w:tcPr>
          <w:p>
            <w:pPr>
              <w:pStyle w:val="46"/>
              <w:spacing w:line="240" w:lineRule="auto"/>
              <w:ind w:firstLine="0" w:firstLineChars="0"/>
              <w:jc w:val="center"/>
              <w:rPr>
                <w:rFonts w:hint="default" w:eastAsia="宋体" w:cs="Times New Roman"/>
                <w:color w:val="auto"/>
                <w:sz w:val="21"/>
                <w:szCs w:val="21"/>
                <w:shd w:val="clear" w:color="auto" w:fill="auto"/>
                <w:lang w:val="en-US" w:eastAsia="zh-CN"/>
              </w:rPr>
            </w:pPr>
            <w:r>
              <w:rPr>
                <w:rFonts w:hint="eastAsia" w:cs="Times New Roman"/>
                <w:color w:val="auto"/>
                <w:sz w:val="21"/>
                <w:szCs w:val="21"/>
                <w:shd w:val="clear" w:color="auto" w:fill="auto"/>
              </w:rPr>
              <w:t>最大落地</w:t>
            </w:r>
            <w:r>
              <w:rPr>
                <w:rFonts w:hint="eastAsia" w:cs="Times New Roman"/>
                <w:color w:val="auto"/>
                <w:sz w:val="21"/>
                <w:szCs w:val="21"/>
                <w:shd w:val="clear" w:color="auto" w:fill="auto"/>
                <w:lang w:eastAsia="zh-CN"/>
              </w:rPr>
              <w:t>浓度占标率</w:t>
            </w:r>
            <w:r>
              <w:rPr>
                <w:rFonts w:hint="eastAsia" w:cs="Times New Roman"/>
                <w:color w:val="auto"/>
                <w:sz w:val="21"/>
                <w:szCs w:val="21"/>
                <w:shd w:val="clear" w:color="auto" w:fill="auto"/>
                <w:lang w:val="en-US" w:eastAsia="zh-CN"/>
              </w:rPr>
              <w:t>%</w:t>
            </w:r>
          </w:p>
        </w:tc>
        <w:tc>
          <w:tcPr>
            <w:tcW w:w="1705" w:type="dxa"/>
            <w:vAlign w:val="center"/>
          </w:tcPr>
          <w:p>
            <w:pPr>
              <w:pStyle w:val="46"/>
              <w:spacing w:line="240" w:lineRule="auto"/>
              <w:ind w:firstLine="0" w:firstLineChars="0"/>
              <w:jc w:val="center"/>
              <w:rPr>
                <w:rFonts w:hint="eastAsia" w:cs="Times New Roman"/>
                <w:color w:val="auto"/>
                <w:sz w:val="21"/>
                <w:szCs w:val="21"/>
                <w:shd w:val="clear" w:color="auto" w:fill="auto"/>
              </w:rPr>
            </w:pPr>
            <w:r>
              <w:rPr>
                <w:rFonts w:hint="eastAsia" w:cs="Times New Roman"/>
                <w:color w:val="auto"/>
                <w:sz w:val="21"/>
                <w:szCs w:val="21"/>
                <w:shd w:val="clear" w:color="auto" w:fill="auto"/>
              </w:rPr>
              <w:t>最大落地浓度（</w:t>
            </w:r>
            <w:r>
              <w:rPr>
                <w:rFonts w:hint="eastAsia" w:cs="Times New Roman"/>
                <w:color w:val="auto"/>
                <w:sz w:val="21"/>
                <w:szCs w:val="21"/>
                <w:shd w:val="clear" w:color="auto" w:fill="auto"/>
                <w:lang w:eastAsia="zh-CN"/>
              </w:rPr>
              <w:t>m</w:t>
            </w:r>
            <w:r>
              <w:rPr>
                <w:rFonts w:hint="eastAsia" w:cs="Times New Roman"/>
                <w:color w:val="auto"/>
                <w:sz w:val="21"/>
                <w:szCs w:val="21"/>
                <w:shd w:val="clear" w:color="auto" w:fill="auto"/>
              </w:rPr>
              <w:t>g/</w:t>
            </w:r>
            <w:r>
              <w:rPr>
                <w:rFonts w:hint="eastAsia" w:cs="Times New Roman"/>
                <w:color w:val="auto"/>
                <w:sz w:val="21"/>
                <w:szCs w:val="21"/>
                <w:shd w:val="clear" w:color="auto" w:fill="auto"/>
                <w:vertAlign w:val="baseline"/>
                <w:lang w:eastAsia="zh-CN"/>
              </w:rPr>
              <w:t>m</w:t>
            </w:r>
            <w:r>
              <w:rPr>
                <w:rFonts w:hint="eastAsia" w:cs="Times New Roman"/>
                <w:color w:val="auto"/>
                <w:sz w:val="21"/>
                <w:szCs w:val="21"/>
                <w:shd w:val="clear" w:color="auto" w:fill="auto"/>
                <w:vertAlign w:val="superscript"/>
                <w:lang w:eastAsia="zh-CN"/>
              </w:rPr>
              <w:t>3</w:t>
            </w:r>
            <w:r>
              <w:rPr>
                <w:rFonts w:hint="eastAsia" w:cs="Times New Roman"/>
                <w:color w:val="auto"/>
                <w:sz w:val="21"/>
                <w:szCs w:val="21"/>
                <w:shd w:val="clear" w:color="auto" w:fill="auto"/>
              </w:rPr>
              <w:t>）</w:t>
            </w:r>
          </w:p>
        </w:tc>
        <w:tc>
          <w:tcPr>
            <w:tcW w:w="1697" w:type="dxa"/>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zCs w:val="21"/>
                <w:shd w:val="clear" w:color="auto" w:fill="auto"/>
              </w:rPr>
              <w:t>最大落地</w:t>
            </w:r>
            <w:r>
              <w:rPr>
                <w:rFonts w:hint="eastAsia" w:cs="Times New Roman"/>
                <w:color w:val="auto"/>
                <w:sz w:val="21"/>
                <w:szCs w:val="21"/>
                <w:shd w:val="clear" w:color="auto" w:fill="auto"/>
                <w:lang w:eastAsia="zh-CN"/>
              </w:rPr>
              <w:t>浓度占标率</w:t>
            </w:r>
            <w:r>
              <w:rPr>
                <w:rFonts w:hint="eastAsia" w:cs="Times New Roman"/>
                <w:color w:val="auto"/>
                <w:sz w:val="21"/>
                <w:szCs w:val="21"/>
                <w:shd w:val="clear" w:color="auto" w:fil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40" w:hRule="atLeast"/>
        </w:trPr>
        <w:tc>
          <w:tcPr>
            <w:tcW w:w="1794"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10</w:t>
            </w:r>
          </w:p>
        </w:tc>
        <w:tc>
          <w:tcPr>
            <w:tcW w:w="161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6.51E-03</w:t>
            </w:r>
          </w:p>
        </w:tc>
        <w:tc>
          <w:tcPr>
            <w:tcW w:w="170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1.30</w:t>
            </w:r>
          </w:p>
        </w:tc>
        <w:tc>
          <w:tcPr>
            <w:tcW w:w="1705"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7.81E-03</w:t>
            </w:r>
          </w:p>
        </w:tc>
        <w:tc>
          <w:tcPr>
            <w:tcW w:w="1697"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3.12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40" w:hRule="atLeast"/>
        </w:trPr>
        <w:tc>
          <w:tcPr>
            <w:tcW w:w="1794"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25</w:t>
            </w:r>
          </w:p>
        </w:tc>
        <w:tc>
          <w:tcPr>
            <w:tcW w:w="161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7.62E-03</w:t>
            </w:r>
          </w:p>
        </w:tc>
        <w:tc>
          <w:tcPr>
            <w:tcW w:w="170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1.52</w:t>
            </w:r>
          </w:p>
        </w:tc>
        <w:tc>
          <w:tcPr>
            <w:tcW w:w="1705"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9.15E-03</w:t>
            </w:r>
          </w:p>
        </w:tc>
        <w:tc>
          <w:tcPr>
            <w:tcW w:w="1697"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3.66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40" w:hRule="atLeast"/>
        </w:trPr>
        <w:tc>
          <w:tcPr>
            <w:tcW w:w="1794"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50</w:t>
            </w:r>
          </w:p>
        </w:tc>
        <w:tc>
          <w:tcPr>
            <w:tcW w:w="161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6.95E-03</w:t>
            </w:r>
          </w:p>
        </w:tc>
        <w:tc>
          <w:tcPr>
            <w:tcW w:w="170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1.90</w:t>
            </w:r>
          </w:p>
        </w:tc>
        <w:tc>
          <w:tcPr>
            <w:tcW w:w="1705"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1.14E-02</w:t>
            </w:r>
          </w:p>
        </w:tc>
        <w:tc>
          <w:tcPr>
            <w:tcW w:w="1697"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4.56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40" w:hRule="atLeast"/>
        </w:trPr>
        <w:tc>
          <w:tcPr>
            <w:tcW w:w="1794"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75</w:t>
            </w:r>
          </w:p>
        </w:tc>
        <w:tc>
          <w:tcPr>
            <w:tcW w:w="161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1.14E-02</w:t>
            </w:r>
          </w:p>
        </w:tc>
        <w:tc>
          <w:tcPr>
            <w:tcW w:w="170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2.28</w:t>
            </w:r>
          </w:p>
        </w:tc>
        <w:tc>
          <w:tcPr>
            <w:tcW w:w="1705"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1.37E-02</w:t>
            </w:r>
          </w:p>
        </w:tc>
        <w:tc>
          <w:tcPr>
            <w:tcW w:w="1697"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5.48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40" w:hRule="atLeast"/>
        </w:trPr>
        <w:tc>
          <w:tcPr>
            <w:tcW w:w="1794"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100</w:t>
            </w:r>
          </w:p>
        </w:tc>
        <w:tc>
          <w:tcPr>
            <w:tcW w:w="161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1.29E-02</w:t>
            </w:r>
          </w:p>
        </w:tc>
        <w:tc>
          <w:tcPr>
            <w:tcW w:w="170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2.58</w:t>
            </w:r>
          </w:p>
        </w:tc>
        <w:tc>
          <w:tcPr>
            <w:tcW w:w="1705"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1.55E-02</w:t>
            </w:r>
          </w:p>
        </w:tc>
        <w:tc>
          <w:tcPr>
            <w:tcW w:w="1697"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6.20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40" w:hRule="atLeast"/>
        </w:trPr>
        <w:tc>
          <w:tcPr>
            <w:tcW w:w="1794"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125</w:t>
            </w:r>
          </w:p>
        </w:tc>
        <w:tc>
          <w:tcPr>
            <w:tcW w:w="161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1.36E-02</w:t>
            </w:r>
          </w:p>
        </w:tc>
        <w:tc>
          <w:tcPr>
            <w:tcW w:w="170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2.72</w:t>
            </w:r>
          </w:p>
        </w:tc>
        <w:tc>
          <w:tcPr>
            <w:tcW w:w="1705"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1.63E-02</w:t>
            </w:r>
          </w:p>
        </w:tc>
        <w:tc>
          <w:tcPr>
            <w:tcW w:w="1697"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6.52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40" w:hRule="atLeast"/>
        </w:trPr>
        <w:tc>
          <w:tcPr>
            <w:tcW w:w="1794"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150</w:t>
            </w:r>
          </w:p>
        </w:tc>
        <w:tc>
          <w:tcPr>
            <w:tcW w:w="161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1.36E-02</w:t>
            </w:r>
          </w:p>
        </w:tc>
        <w:tc>
          <w:tcPr>
            <w:tcW w:w="170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2.72</w:t>
            </w:r>
          </w:p>
        </w:tc>
        <w:tc>
          <w:tcPr>
            <w:tcW w:w="1705"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1.63E-02</w:t>
            </w:r>
          </w:p>
        </w:tc>
        <w:tc>
          <w:tcPr>
            <w:tcW w:w="1697"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6.52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40" w:hRule="atLeast"/>
        </w:trPr>
        <w:tc>
          <w:tcPr>
            <w:tcW w:w="1794"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175</w:t>
            </w:r>
          </w:p>
        </w:tc>
        <w:tc>
          <w:tcPr>
            <w:tcW w:w="161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1.41E-02</w:t>
            </w:r>
          </w:p>
        </w:tc>
        <w:tc>
          <w:tcPr>
            <w:tcW w:w="170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2.83</w:t>
            </w:r>
          </w:p>
        </w:tc>
        <w:tc>
          <w:tcPr>
            <w:tcW w:w="1705"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1.70E-02</w:t>
            </w:r>
          </w:p>
        </w:tc>
        <w:tc>
          <w:tcPr>
            <w:tcW w:w="1697"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6.78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40" w:hRule="atLeast"/>
        </w:trPr>
        <w:tc>
          <w:tcPr>
            <w:tcW w:w="1794" w:type="dxa"/>
            <w:gridSpan w:val="2"/>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200</w:t>
            </w:r>
          </w:p>
        </w:tc>
        <w:tc>
          <w:tcPr>
            <w:tcW w:w="161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1.45E-02</w:t>
            </w:r>
          </w:p>
        </w:tc>
        <w:tc>
          <w:tcPr>
            <w:tcW w:w="170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2.90</w:t>
            </w:r>
          </w:p>
        </w:tc>
        <w:tc>
          <w:tcPr>
            <w:tcW w:w="1705"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1.74E-02</w:t>
            </w:r>
          </w:p>
        </w:tc>
        <w:tc>
          <w:tcPr>
            <w:tcW w:w="1697"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6.95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40" w:hRule="atLeast"/>
        </w:trPr>
        <w:tc>
          <w:tcPr>
            <w:tcW w:w="1794" w:type="dxa"/>
            <w:gridSpan w:val="2"/>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300</w:t>
            </w:r>
          </w:p>
        </w:tc>
        <w:tc>
          <w:tcPr>
            <w:tcW w:w="161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1.41E-02</w:t>
            </w:r>
          </w:p>
        </w:tc>
        <w:tc>
          <w:tcPr>
            <w:tcW w:w="170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2.83</w:t>
            </w:r>
          </w:p>
        </w:tc>
        <w:tc>
          <w:tcPr>
            <w:tcW w:w="1705"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1.70E-02</w:t>
            </w:r>
          </w:p>
        </w:tc>
        <w:tc>
          <w:tcPr>
            <w:tcW w:w="1697"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40" w:hRule="atLeast"/>
        </w:trPr>
        <w:tc>
          <w:tcPr>
            <w:tcW w:w="1794" w:type="dxa"/>
            <w:gridSpan w:val="2"/>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400</w:t>
            </w:r>
          </w:p>
        </w:tc>
        <w:tc>
          <w:tcPr>
            <w:tcW w:w="161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1.28E-02</w:t>
            </w:r>
          </w:p>
        </w:tc>
        <w:tc>
          <w:tcPr>
            <w:tcW w:w="170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2.56</w:t>
            </w:r>
          </w:p>
        </w:tc>
        <w:tc>
          <w:tcPr>
            <w:tcW w:w="1705"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1.54E-02</w:t>
            </w:r>
          </w:p>
        </w:tc>
        <w:tc>
          <w:tcPr>
            <w:tcW w:w="1697"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6.14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40" w:hRule="atLeast"/>
        </w:trPr>
        <w:tc>
          <w:tcPr>
            <w:tcW w:w="1794" w:type="dxa"/>
            <w:gridSpan w:val="2"/>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500</w:t>
            </w:r>
          </w:p>
        </w:tc>
        <w:tc>
          <w:tcPr>
            <w:tcW w:w="161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1.14E-02</w:t>
            </w:r>
          </w:p>
        </w:tc>
        <w:tc>
          <w:tcPr>
            <w:tcW w:w="170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2.29</w:t>
            </w:r>
          </w:p>
        </w:tc>
        <w:tc>
          <w:tcPr>
            <w:tcW w:w="1705"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1.37E-02</w:t>
            </w:r>
          </w:p>
        </w:tc>
        <w:tc>
          <w:tcPr>
            <w:tcW w:w="1697"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5.49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40" w:hRule="atLeast"/>
        </w:trPr>
        <w:tc>
          <w:tcPr>
            <w:tcW w:w="1097" w:type="dxa"/>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下风向最大质量浓度及占标率%</w:t>
            </w:r>
          </w:p>
        </w:tc>
        <w:tc>
          <w:tcPr>
            <w:tcW w:w="697" w:type="dxa"/>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233m</w:t>
            </w:r>
          </w:p>
        </w:tc>
        <w:tc>
          <w:tcPr>
            <w:tcW w:w="161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1.46E-02</w:t>
            </w:r>
          </w:p>
        </w:tc>
        <w:tc>
          <w:tcPr>
            <w:tcW w:w="1706"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2.93</w:t>
            </w:r>
          </w:p>
        </w:tc>
        <w:tc>
          <w:tcPr>
            <w:tcW w:w="1705"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1.76E-02</w:t>
            </w:r>
          </w:p>
        </w:tc>
        <w:tc>
          <w:tcPr>
            <w:tcW w:w="1697" w:type="dxa"/>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s="Times New Roman"/>
                <w:color w:val="auto"/>
                <w:sz w:val="21"/>
                <w:shd w:val="clear" w:color="auto" w:fill="auto"/>
                <w:lang w:val="en-US" w:eastAsia="zh-CN"/>
              </w:rPr>
              <w:t>7.02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4" w:type="dxa"/>
            <w:gridSpan w:val="2"/>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D%最远距离</w:t>
            </w:r>
          </w:p>
        </w:tc>
        <w:tc>
          <w:tcPr>
            <w:tcW w:w="3322" w:type="dxa"/>
            <w:gridSpan w:val="2"/>
            <w:vAlign w:val="center"/>
          </w:tcPr>
          <w:p>
            <w:pPr>
              <w:pStyle w:val="46"/>
              <w:spacing w:line="240" w:lineRule="auto"/>
              <w:ind w:firstLine="0" w:firstLineChars="0"/>
              <w:jc w:val="center"/>
              <w:rPr>
                <w:rFonts w:hint="default" w:cs="Times New Roman"/>
                <w:color w:val="auto"/>
                <w:sz w:val="21"/>
                <w:shd w:val="clear" w:color="auto" w:fill="auto"/>
                <w:lang w:val="en-US" w:eastAsia="zh-CN"/>
              </w:rPr>
            </w:pPr>
            <w:r>
              <w:rPr>
                <w:rFonts w:hint="eastAsia" w:cs="Times New Roman"/>
                <w:color w:val="auto"/>
                <w:sz w:val="21"/>
                <w:shd w:val="clear" w:color="auto" w:fill="auto"/>
                <w:lang w:val="en-US" w:eastAsia="zh-CN"/>
              </w:rPr>
              <w:t>0m</w:t>
            </w:r>
          </w:p>
        </w:tc>
        <w:tc>
          <w:tcPr>
            <w:tcW w:w="3403" w:type="dxa"/>
            <w:gridSpan w:val="3"/>
            <w:vAlign w:val="center"/>
          </w:tcPr>
          <w:p>
            <w:pPr>
              <w:pStyle w:val="46"/>
              <w:spacing w:line="240" w:lineRule="auto"/>
              <w:ind w:firstLine="0" w:firstLineChars="0"/>
              <w:jc w:val="center"/>
              <w:rPr>
                <w:rFonts w:hint="default"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0m</w:t>
            </w:r>
          </w:p>
        </w:tc>
      </w:tr>
    </w:tbl>
    <w:p>
      <w:pPr>
        <w:bidi w:val="0"/>
        <w:rPr>
          <w:rFonts w:hint="eastAsia"/>
          <w:color w:val="auto"/>
          <w:shd w:val="clear" w:color="auto" w:fill="auto"/>
        </w:rPr>
      </w:pPr>
      <w:r>
        <w:rPr>
          <w:rFonts w:hint="eastAsia"/>
          <w:color w:val="auto"/>
          <w:shd w:val="clear" w:color="auto" w:fill="auto"/>
        </w:rPr>
        <w:t>由表</w:t>
      </w: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3</w:t>
      </w:r>
      <w:r>
        <w:rPr>
          <w:rFonts w:hint="eastAsia"/>
          <w:color w:val="auto"/>
          <w:shd w:val="clear" w:color="auto" w:fill="auto"/>
        </w:rPr>
        <w:t>-</w:t>
      </w:r>
      <w:r>
        <w:rPr>
          <w:rFonts w:hint="eastAsia"/>
          <w:color w:val="auto"/>
          <w:shd w:val="clear" w:color="auto" w:fill="auto"/>
          <w:lang w:val="en-US" w:eastAsia="zh-CN"/>
        </w:rPr>
        <w:t>7</w:t>
      </w:r>
      <w:r>
        <w:rPr>
          <w:rFonts w:hint="eastAsia"/>
          <w:color w:val="auto"/>
          <w:shd w:val="clear" w:color="auto" w:fill="auto"/>
        </w:rPr>
        <w:t>可以看出，建设项目排放的粉</w:t>
      </w:r>
      <w:r>
        <w:rPr>
          <w:rFonts w:hint="eastAsia" w:eastAsia="宋体"/>
          <w:color w:val="auto"/>
          <w:shd w:val="clear" w:color="auto" w:fill="auto"/>
        </w:rPr>
        <w:t>尘</w:t>
      </w:r>
      <w:r>
        <w:rPr>
          <w:rFonts w:hint="eastAsia" w:eastAsia="宋体"/>
          <w:color w:val="auto"/>
          <w:shd w:val="clear" w:color="auto" w:fill="auto"/>
          <w:lang w:val="en-US" w:eastAsia="zh-CN"/>
        </w:rPr>
        <w:t>（以</w:t>
      </w:r>
      <w:r>
        <w:rPr>
          <w:rFonts w:hint="eastAsia"/>
          <w:color w:val="auto"/>
          <w:shd w:val="clear" w:color="auto" w:fill="auto"/>
          <w:lang w:val="en-US" w:eastAsia="zh-CN"/>
        </w:rPr>
        <w:t>TSP</w:t>
      </w:r>
      <w:r>
        <w:rPr>
          <w:rFonts w:hint="eastAsia" w:eastAsia="宋体"/>
          <w:color w:val="auto"/>
          <w:shd w:val="clear" w:color="auto" w:fill="auto"/>
          <w:lang w:val="en-US" w:eastAsia="zh-CN"/>
        </w:rPr>
        <w:t>计）</w:t>
      </w:r>
      <w:r>
        <w:rPr>
          <w:rFonts w:hint="eastAsia"/>
          <w:color w:val="auto"/>
          <w:shd w:val="clear" w:color="auto" w:fill="auto"/>
        </w:rPr>
        <w:t>污染物最大落地浓度为</w:t>
      </w:r>
      <w:r>
        <w:rPr>
          <w:rFonts w:hint="eastAsia"/>
          <w:color w:val="auto"/>
          <w:highlight w:val="none"/>
          <w:shd w:val="clear" w:color="auto" w:fill="auto"/>
          <w:lang w:val="en-US" w:eastAsia="zh-CN"/>
        </w:rPr>
        <w:t>0.0729</w:t>
      </w:r>
      <w:r>
        <w:rPr>
          <w:rFonts w:hint="eastAsia"/>
          <w:color w:val="auto"/>
          <w:highlight w:val="none"/>
          <w:shd w:val="clear" w:color="auto" w:fill="auto"/>
          <w:lang w:eastAsia="zh-CN"/>
        </w:rPr>
        <w:t>m</w:t>
      </w:r>
      <w:r>
        <w:rPr>
          <w:rFonts w:hint="eastAsia"/>
          <w:color w:val="auto"/>
          <w:highlight w:val="none"/>
          <w:shd w:val="clear" w:color="auto" w:fill="auto"/>
        </w:rPr>
        <w:t>g/</w:t>
      </w:r>
      <w:r>
        <w:rPr>
          <w:rFonts w:hint="eastAsia"/>
          <w:color w:val="auto"/>
          <w:highlight w:val="none"/>
          <w:shd w:val="clear" w:color="auto" w:fill="auto"/>
          <w:vertAlign w:val="baseline"/>
          <w:lang w:eastAsia="zh-CN"/>
        </w:rPr>
        <w:t>m</w:t>
      </w:r>
      <w:r>
        <w:rPr>
          <w:rFonts w:hint="eastAsia"/>
          <w:color w:val="auto"/>
          <w:highlight w:val="none"/>
          <w:shd w:val="clear" w:color="auto" w:fill="auto"/>
          <w:vertAlign w:val="superscript"/>
          <w:lang w:eastAsia="zh-CN"/>
        </w:rPr>
        <w:t>3</w:t>
      </w:r>
      <w:r>
        <w:rPr>
          <w:rFonts w:hint="eastAsia"/>
          <w:color w:val="auto"/>
          <w:highlight w:val="none"/>
          <w:shd w:val="clear" w:color="auto" w:fill="auto"/>
        </w:rPr>
        <w:t>，占标率</w:t>
      </w:r>
      <w:r>
        <w:rPr>
          <w:rFonts w:hint="eastAsia"/>
          <w:color w:val="auto"/>
          <w:highlight w:val="none"/>
          <w:shd w:val="clear" w:color="auto" w:fill="auto"/>
          <w:lang w:val="en-US" w:eastAsia="zh-CN"/>
        </w:rPr>
        <w:t>8.10</w:t>
      </w:r>
      <w:r>
        <w:rPr>
          <w:rFonts w:hint="eastAsia"/>
          <w:color w:val="auto"/>
          <w:highlight w:val="none"/>
          <w:shd w:val="clear" w:color="auto" w:fill="auto"/>
        </w:rPr>
        <w:t>%</w:t>
      </w:r>
      <w:r>
        <w:rPr>
          <w:rFonts w:hint="eastAsia"/>
          <w:color w:val="auto"/>
          <w:highlight w:val="none"/>
          <w:shd w:val="clear" w:color="auto" w:fill="auto"/>
          <w:lang w:eastAsia="zh-CN"/>
        </w:rPr>
        <w:t>；</w:t>
      </w:r>
      <w:r>
        <w:rPr>
          <w:rFonts w:hint="eastAsia"/>
          <w:color w:val="auto"/>
          <w:highlight w:val="none"/>
          <w:shd w:val="clear" w:color="auto" w:fill="auto"/>
          <w:lang w:val="en-US" w:eastAsia="zh-CN"/>
        </w:rPr>
        <w:t>SO</w:t>
      </w:r>
      <w:r>
        <w:rPr>
          <w:rFonts w:hint="eastAsia"/>
          <w:color w:val="auto"/>
          <w:highlight w:val="none"/>
          <w:shd w:val="clear" w:color="auto" w:fill="auto"/>
          <w:vertAlign w:val="subscript"/>
          <w:lang w:val="en-US" w:eastAsia="zh-CN"/>
        </w:rPr>
        <w:t>2</w:t>
      </w:r>
      <w:r>
        <w:rPr>
          <w:rFonts w:hint="eastAsia"/>
          <w:color w:val="auto"/>
          <w:shd w:val="clear" w:color="auto" w:fill="auto"/>
        </w:rPr>
        <w:t>污染物最大落地浓度为</w:t>
      </w:r>
      <w:r>
        <w:rPr>
          <w:rFonts w:hint="eastAsia"/>
          <w:color w:val="auto"/>
          <w:highlight w:val="none"/>
          <w:shd w:val="clear" w:color="auto" w:fill="auto"/>
          <w:lang w:val="en-US" w:eastAsia="zh-CN"/>
        </w:rPr>
        <w:t>0.0146</w:t>
      </w:r>
      <w:r>
        <w:rPr>
          <w:rFonts w:hint="eastAsia"/>
          <w:color w:val="auto"/>
          <w:highlight w:val="none"/>
          <w:shd w:val="clear" w:color="auto" w:fill="auto"/>
          <w:lang w:eastAsia="zh-CN"/>
        </w:rPr>
        <w:t>m</w:t>
      </w:r>
      <w:r>
        <w:rPr>
          <w:rFonts w:hint="eastAsia"/>
          <w:color w:val="auto"/>
          <w:highlight w:val="none"/>
          <w:shd w:val="clear" w:color="auto" w:fill="auto"/>
        </w:rPr>
        <w:t>g/</w:t>
      </w:r>
      <w:r>
        <w:rPr>
          <w:rFonts w:hint="eastAsia"/>
          <w:color w:val="auto"/>
          <w:highlight w:val="none"/>
          <w:shd w:val="clear" w:color="auto" w:fill="auto"/>
          <w:vertAlign w:val="baseline"/>
          <w:lang w:eastAsia="zh-CN"/>
        </w:rPr>
        <w:t>m</w:t>
      </w:r>
      <w:r>
        <w:rPr>
          <w:rFonts w:hint="eastAsia"/>
          <w:color w:val="auto"/>
          <w:highlight w:val="none"/>
          <w:shd w:val="clear" w:color="auto" w:fill="auto"/>
          <w:vertAlign w:val="superscript"/>
          <w:lang w:eastAsia="zh-CN"/>
        </w:rPr>
        <w:t>3</w:t>
      </w:r>
      <w:r>
        <w:rPr>
          <w:rFonts w:hint="eastAsia"/>
          <w:color w:val="auto"/>
          <w:highlight w:val="none"/>
          <w:shd w:val="clear" w:color="auto" w:fill="auto"/>
        </w:rPr>
        <w:t>，占标率</w:t>
      </w:r>
      <w:r>
        <w:rPr>
          <w:rFonts w:hint="eastAsia"/>
          <w:color w:val="auto"/>
          <w:highlight w:val="none"/>
          <w:shd w:val="clear" w:color="auto" w:fill="auto"/>
          <w:lang w:val="en-US" w:eastAsia="zh-CN"/>
        </w:rPr>
        <w:t>2.93</w:t>
      </w:r>
      <w:r>
        <w:rPr>
          <w:rFonts w:hint="eastAsia"/>
          <w:color w:val="auto"/>
          <w:highlight w:val="none"/>
          <w:shd w:val="clear" w:color="auto" w:fill="auto"/>
        </w:rPr>
        <w:t>%</w:t>
      </w:r>
      <w:r>
        <w:rPr>
          <w:rFonts w:hint="eastAsia"/>
          <w:color w:val="auto"/>
          <w:highlight w:val="none"/>
          <w:shd w:val="clear" w:color="auto" w:fill="auto"/>
          <w:lang w:eastAsia="zh-CN"/>
        </w:rPr>
        <w:t>；</w:t>
      </w:r>
      <w:r>
        <w:rPr>
          <w:rFonts w:hint="eastAsia"/>
          <w:color w:val="auto"/>
          <w:highlight w:val="none"/>
          <w:shd w:val="clear" w:color="auto" w:fill="auto"/>
          <w:lang w:val="en-US" w:eastAsia="zh-CN"/>
        </w:rPr>
        <w:t>NOx</w:t>
      </w:r>
      <w:r>
        <w:rPr>
          <w:rFonts w:hint="eastAsia"/>
          <w:color w:val="auto"/>
          <w:shd w:val="clear" w:color="auto" w:fill="auto"/>
        </w:rPr>
        <w:t>污染物最大落地浓度为</w:t>
      </w:r>
      <w:r>
        <w:rPr>
          <w:rFonts w:hint="eastAsia"/>
          <w:color w:val="auto"/>
          <w:highlight w:val="none"/>
          <w:shd w:val="clear" w:color="auto" w:fill="auto"/>
          <w:lang w:val="en-US" w:eastAsia="zh-CN"/>
        </w:rPr>
        <w:t>0.0176</w:t>
      </w:r>
      <w:r>
        <w:rPr>
          <w:rFonts w:hint="eastAsia"/>
          <w:color w:val="auto"/>
          <w:highlight w:val="none"/>
          <w:shd w:val="clear" w:color="auto" w:fill="auto"/>
          <w:lang w:eastAsia="zh-CN"/>
        </w:rPr>
        <w:t>m</w:t>
      </w:r>
      <w:r>
        <w:rPr>
          <w:rFonts w:hint="eastAsia"/>
          <w:color w:val="auto"/>
          <w:highlight w:val="none"/>
          <w:shd w:val="clear" w:color="auto" w:fill="auto"/>
        </w:rPr>
        <w:t>g/</w:t>
      </w:r>
      <w:r>
        <w:rPr>
          <w:rFonts w:hint="eastAsia"/>
          <w:color w:val="auto"/>
          <w:highlight w:val="none"/>
          <w:shd w:val="clear" w:color="auto" w:fill="auto"/>
          <w:vertAlign w:val="baseline"/>
          <w:lang w:eastAsia="zh-CN"/>
        </w:rPr>
        <w:t>m</w:t>
      </w:r>
      <w:r>
        <w:rPr>
          <w:rFonts w:hint="eastAsia"/>
          <w:color w:val="auto"/>
          <w:highlight w:val="none"/>
          <w:shd w:val="clear" w:color="auto" w:fill="auto"/>
          <w:vertAlign w:val="superscript"/>
          <w:lang w:eastAsia="zh-CN"/>
        </w:rPr>
        <w:t>3</w:t>
      </w:r>
      <w:r>
        <w:rPr>
          <w:rFonts w:hint="eastAsia"/>
          <w:color w:val="auto"/>
          <w:highlight w:val="none"/>
          <w:shd w:val="clear" w:color="auto" w:fill="auto"/>
        </w:rPr>
        <w:t>，占标率</w:t>
      </w:r>
      <w:r>
        <w:rPr>
          <w:rFonts w:hint="eastAsia"/>
          <w:color w:val="auto"/>
          <w:highlight w:val="none"/>
          <w:shd w:val="clear" w:color="auto" w:fill="auto"/>
          <w:lang w:val="en-US" w:eastAsia="zh-CN"/>
        </w:rPr>
        <w:t>7.02</w:t>
      </w:r>
      <w:r>
        <w:rPr>
          <w:rFonts w:hint="eastAsia"/>
          <w:color w:val="auto"/>
          <w:highlight w:val="none"/>
          <w:shd w:val="clear" w:color="auto" w:fill="auto"/>
        </w:rPr>
        <w:t>%</w:t>
      </w:r>
      <w:r>
        <w:rPr>
          <w:rFonts w:hint="eastAsia"/>
          <w:color w:val="auto"/>
          <w:highlight w:val="none"/>
          <w:shd w:val="clear" w:color="auto" w:fill="auto"/>
          <w:lang w:eastAsia="zh-CN"/>
        </w:rPr>
        <w:t>。</w:t>
      </w:r>
      <w:r>
        <w:rPr>
          <w:rFonts w:hint="eastAsia"/>
          <w:color w:val="auto"/>
          <w:shd w:val="clear" w:color="auto" w:fill="auto"/>
        </w:rPr>
        <w:t>估算模式已考虑了最不利的气象条件，分析预测结果表明，拟建项目对周围大气环境质量影响不大，不会改变当地环境功能。</w:t>
      </w:r>
    </w:p>
    <w:p>
      <w:pPr>
        <w:pStyle w:val="6"/>
        <w:rPr>
          <w:rFonts w:hint="eastAsia"/>
          <w:color w:val="auto"/>
          <w:shd w:val="clear" w:color="auto" w:fill="auto"/>
          <w:lang w:val="en-US" w:eastAsia="zh-CN"/>
        </w:rPr>
      </w:pP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3</w:t>
      </w:r>
      <w:r>
        <w:rPr>
          <w:rFonts w:hint="eastAsia"/>
          <w:color w:val="auto"/>
          <w:shd w:val="clear" w:color="auto" w:fill="auto"/>
        </w:rPr>
        <w:t>.1.3</w:t>
      </w:r>
      <w:r>
        <w:rPr>
          <w:rFonts w:hint="eastAsia"/>
          <w:color w:val="auto"/>
          <w:shd w:val="clear" w:color="auto" w:fill="auto"/>
          <w:lang w:val="en-US" w:eastAsia="zh-CN"/>
        </w:rPr>
        <w:t xml:space="preserve"> 大气环境防护距离</w:t>
      </w:r>
    </w:p>
    <w:p>
      <w:pPr>
        <w:pStyle w:val="12"/>
        <w:ind w:firstLine="480"/>
        <w:rPr>
          <w:color w:val="auto"/>
          <w:shd w:val="clear" w:color="auto" w:fill="auto"/>
        </w:rPr>
      </w:pPr>
      <w:r>
        <w:rPr>
          <w:rFonts w:hint="eastAsia"/>
          <w:color w:val="auto"/>
          <w:sz w:val="24"/>
          <w:shd w:val="clear" w:color="auto" w:fill="auto"/>
        </w:rPr>
        <w:t>大气环境防护距离是为了保护人群健康，减少正常排放条件下大气污染物对居住区的环境影响，在项目厂界以外设置的环境防护距离。</w:t>
      </w:r>
      <w:r>
        <w:rPr>
          <w:rFonts w:hint="eastAsia"/>
          <w:color w:val="auto"/>
          <w:sz w:val="24"/>
          <w:shd w:val="clear" w:color="auto" w:fill="auto"/>
          <w:lang w:eastAsia="zh-CN"/>
        </w:rPr>
        <w:t>根据</w:t>
      </w:r>
      <w:r>
        <w:rPr>
          <w:rFonts w:hint="eastAsia"/>
          <w:color w:val="auto"/>
          <w:sz w:val="24"/>
          <w:shd w:val="clear" w:color="auto" w:fill="auto"/>
        </w:rPr>
        <w:t>《环境影响评价技术导则</w:t>
      </w:r>
      <w:r>
        <w:rPr>
          <w:rFonts w:hint="eastAsia"/>
          <w:color w:val="auto"/>
          <w:sz w:val="24"/>
          <w:shd w:val="clear" w:color="auto" w:fill="auto"/>
          <w:lang w:val="en-US" w:eastAsia="zh-CN"/>
        </w:rPr>
        <w:t xml:space="preserve">  </w:t>
      </w:r>
      <w:r>
        <w:rPr>
          <w:color w:val="auto"/>
          <w:shd w:val="clear" w:color="auto" w:fill="auto"/>
        </w:rPr>
        <w:t>大气环境</w:t>
      </w:r>
      <w:r>
        <w:rPr>
          <w:rFonts w:hint="eastAsia"/>
          <w:color w:val="auto"/>
          <w:sz w:val="24"/>
          <w:shd w:val="clear" w:color="auto" w:fill="auto"/>
        </w:rPr>
        <w:t>》（HJ2.2-20</w:t>
      </w:r>
      <w:r>
        <w:rPr>
          <w:rFonts w:hint="eastAsia"/>
          <w:color w:val="auto"/>
          <w:sz w:val="24"/>
          <w:shd w:val="clear" w:color="auto" w:fill="auto"/>
          <w:lang w:val="en-US" w:eastAsia="zh-CN"/>
        </w:rPr>
        <w:t>1</w:t>
      </w:r>
      <w:r>
        <w:rPr>
          <w:rFonts w:hint="eastAsia"/>
          <w:color w:val="auto"/>
          <w:sz w:val="24"/>
          <w:shd w:val="clear" w:color="auto" w:fill="auto"/>
        </w:rPr>
        <w:t>8）</w:t>
      </w:r>
      <w:r>
        <w:rPr>
          <w:rFonts w:hint="eastAsia"/>
          <w:color w:val="auto"/>
          <w:sz w:val="24"/>
          <w:shd w:val="clear" w:color="auto" w:fill="auto"/>
          <w:lang w:eastAsia="zh-CN"/>
        </w:rPr>
        <w:t>的</w:t>
      </w:r>
      <w:r>
        <w:rPr>
          <w:rFonts w:hint="eastAsia"/>
          <w:color w:val="auto"/>
          <w:lang w:val="en-US" w:eastAsia="zh-CN"/>
        </w:rPr>
        <w:t>要求，大气环境二级评价不需要计算大气环境防护距离，</w:t>
      </w:r>
      <w:r>
        <w:rPr>
          <w:color w:val="auto"/>
          <w:shd w:val="clear" w:color="auto" w:fill="auto"/>
        </w:rPr>
        <w:t>因此，本项目</w:t>
      </w:r>
      <w:r>
        <w:rPr>
          <w:rFonts w:hint="eastAsia"/>
          <w:color w:val="auto"/>
          <w:shd w:val="clear" w:color="auto" w:fill="auto"/>
          <w:lang w:eastAsia="zh-CN"/>
        </w:rPr>
        <w:t>无需</w:t>
      </w:r>
      <w:r>
        <w:rPr>
          <w:rFonts w:hint="eastAsia"/>
          <w:color w:val="auto"/>
          <w:shd w:val="clear" w:color="auto" w:fill="auto"/>
          <w:lang w:val="en-US" w:eastAsia="zh-CN"/>
        </w:rPr>
        <w:t>设置大气</w:t>
      </w:r>
      <w:r>
        <w:rPr>
          <w:color w:val="auto"/>
          <w:shd w:val="clear" w:color="auto" w:fill="auto"/>
        </w:rPr>
        <w:t>环境防护距离。</w:t>
      </w:r>
    </w:p>
    <w:p>
      <w:pPr>
        <w:pStyle w:val="5"/>
        <w:rPr>
          <w:color w:val="auto"/>
          <w:shd w:val="clear" w:color="auto" w:fill="auto"/>
        </w:rPr>
      </w:pP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3</w:t>
      </w:r>
      <w:r>
        <w:rPr>
          <w:rFonts w:hint="eastAsia"/>
          <w:color w:val="auto"/>
          <w:shd w:val="clear" w:color="auto" w:fill="auto"/>
        </w:rPr>
        <w:t>.2 营运期地表水环境</w:t>
      </w:r>
      <w:r>
        <w:rPr>
          <w:color w:val="auto"/>
          <w:shd w:val="clear" w:color="auto" w:fill="auto"/>
        </w:rPr>
        <w:t>影响分析</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1</w:t>
      </w:r>
      <w:r>
        <w:rPr>
          <w:rFonts w:hint="eastAsia"/>
          <w:color w:val="auto"/>
          <w:shd w:val="clear" w:color="auto" w:fill="auto"/>
        </w:rPr>
        <w:t>）船舶舱底油污水</w:t>
      </w:r>
    </w:p>
    <w:p>
      <w:pPr>
        <w:bidi w:val="0"/>
        <w:rPr>
          <w:color w:val="auto"/>
          <w:shd w:val="clear" w:color="auto" w:fill="auto"/>
        </w:rPr>
      </w:pPr>
      <w:r>
        <w:rPr>
          <w:rFonts w:hint="eastAsia"/>
          <w:color w:val="auto"/>
          <w:shd w:val="clear" w:color="auto" w:fill="auto"/>
        </w:rPr>
        <w:t>本项目船舶舱底油污水发生量为</w:t>
      </w:r>
      <w:r>
        <w:rPr>
          <w:rFonts w:hint="eastAsia"/>
          <w:color w:val="auto"/>
          <w:shd w:val="clear" w:color="auto" w:fill="auto"/>
          <w:lang w:val="en-US" w:eastAsia="zh-CN"/>
        </w:rPr>
        <w:t>216</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/a，石油类污染物浓度为6000</w:t>
      </w:r>
      <w:r>
        <w:rPr>
          <w:rFonts w:hint="eastAsia"/>
          <w:color w:val="auto"/>
          <w:shd w:val="clear" w:color="auto" w:fill="auto"/>
          <w:lang w:eastAsia="zh-CN"/>
        </w:rPr>
        <w:t>m</w:t>
      </w:r>
      <w:r>
        <w:rPr>
          <w:rFonts w:hint="eastAsia"/>
          <w:color w:val="auto"/>
          <w:shd w:val="clear" w:color="auto" w:fill="auto"/>
        </w:rPr>
        <w:t>g/L，产生石油类污染物约为</w:t>
      </w:r>
      <w:r>
        <w:rPr>
          <w:rFonts w:hint="eastAsia"/>
          <w:color w:val="auto"/>
          <w:shd w:val="clear" w:color="auto" w:fill="auto"/>
          <w:lang w:val="en-US" w:eastAsia="zh-CN"/>
        </w:rPr>
        <w:t>1.3</w:t>
      </w:r>
      <w:r>
        <w:rPr>
          <w:rFonts w:hint="eastAsia"/>
          <w:color w:val="auto"/>
          <w:shd w:val="clear" w:color="auto" w:fill="auto"/>
        </w:rPr>
        <w:t>t/a。</w:t>
      </w:r>
    </w:p>
    <w:p>
      <w:pPr>
        <w:bidi w:val="0"/>
        <w:rPr>
          <w:rFonts w:hAnsi="宋体"/>
          <w:color w:val="auto"/>
          <w:shd w:val="clear" w:color="auto" w:fill="auto"/>
        </w:rPr>
      </w:pPr>
      <w:r>
        <w:rPr>
          <w:rFonts w:hint="eastAsia"/>
          <w:color w:val="auto"/>
          <w:shd w:val="clear" w:color="auto" w:fill="auto"/>
        </w:rPr>
        <w:t>根据《中华人民共和国防治船舶污染内河水域环境管理规定》，船舶排放含有有毒物质的洗舱水，应由有资质的单位按照有关规定接收和处理，不得直接排放进入内河水域。</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）船舶生活污水</w:t>
      </w:r>
    </w:p>
    <w:p>
      <w:pPr>
        <w:pStyle w:val="2"/>
        <w:ind w:firstLine="480"/>
        <w:rPr>
          <w:color w:val="auto"/>
          <w:shd w:val="clear" w:color="auto" w:fill="auto"/>
        </w:rPr>
      </w:pPr>
      <w:r>
        <w:rPr>
          <w:rFonts w:hint="eastAsia"/>
          <w:color w:val="auto"/>
          <w:shd w:val="clear" w:color="auto" w:fill="auto"/>
        </w:rPr>
        <w:t>本项目船舶生活污水量</w:t>
      </w:r>
      <w:r>
        <w:rPr>
          <w:rFonts w:hint="eastAsia"/>
          <w:bCs/>
          <w:color w:val="auto"/>
          <w:shd w:val="clear" w:color="auto" w:fill="auto"/>
        </w:rPr>
        <w:t>为</w:t>
      </w:r>
      <w:r>
        <w:rPr>
          <w:rFonts w:hint="eastAsia"/>
          <w:bCs/>
          <w:color w:val="auto"/>
          <w:shd w:val="clear" w:color="auto" w:fill="auto"/>
          <w:lang w:val="en-US" w:eastAsia="zh-CN"/>
        </w:rPr>
        <w:t>4.8</w:t>
      </w:r>
      <w:r>
        <w:rPr>
          <w:rFonts w:hint="eastAsia"/>
          <w:bCs/>
          <w:color w:val="auto"/>
          <w:shd w:val="clear" w:color="auto" w:fill="auto"/>
          <w:vertAlign w:val="baseline"/>
          <w:lang w:eastAsia="zh-CN"/>
        </w:rPr>
        <w:t>m</w:t>
      </w:r>
      <w:r>
        <w:rPr>
          <w:rFonts w:hint="eastAsia"/>
          <w:bCs/>
          <w:color w:val="auto"/>
          <w:shd w:val="clear" w:color="auto" w:fill="auto"/>
          <w:vertAlign w:val="superscript"/>
          <w:lang w:eastAsia="zh-CN"/>
        </w:rPr>
        <w:t>3</w:t>
      </w:r>
      <w:r>
        <w:rPr>
          <w:rFonts w:hint="eastAsia"/>
          <w:bCs/>
          <w:color w:val="auto"/>
          <w:shd w:val="clear" w:color="auto" w:fill="auto"/>
        </w:rPr>
        <w:t>/d（</w:t>
      </w:r>
      <w:r>
        <w:rPr>
          <w:rFonts w:hint="eastAsia"/>
          <w:bCs/>
          <w:color w:val="auto"/>
          <w:shd w:val="clear" w:color="auto" w:fill="auto"/>
          <w:lang w:val="en-US" w:eastAsia="zh-CN"/>
        </w:rPr>
        <w:t>1536</w:t>
      </w:r>
      <w:r>
        <w:rPr>
          <w:rFonts w:hint="eastAsia"/>
          <w:bCs/>
          <w:color w:val="auto"/>
          <w:shd w:val="clear" w:color="auto" w:fill="auto"/>
          <w:vertAlign w:val="baseline"/>
          <w:lang w:eastAsia="zh-CN"/>
        </w:rPr>
        <w:t>m</w:t>
      </w:r>
      <w:r>
        <w:rPr>
          <w:rFonts w:hint="eastAsia"/>
          <w:bCs/>
          <w:color w:val="auto"/>
          <w:shd w:val="clear" w:color="auto" w:fill="auto"/>
          <w:vertAlign w:val="superscript"/>
          <w:lang w:eastAsia="zh-CN"/>
        </w:rPr>
        <w:t>3</w:t>
      </w:r>
      <w:r>
        <w:rPr>
          <w:rFonts w:hint="eastAsia"/>
          <w:bCs/>
          <w:color w:val="auto"/>
          <w:shd w:val="clear" w:color="auto" w:fill="auto"/>
        </w:rPr>
        <w:t>/a）。</w:t>
      </w:r>
      <w:r>
        <w:rPr>
          <w:rFonts w:hint="eastAsia" w:hAnsi="宋体"/>
          <w:color w:val="auto"/>
          <w:shd w:val="clear" w:color="auto" w:fill="auto"/>
        </w:rPr>
        <w:t>废水中主要污染物浓度为：COD 30</w:t>
      </w:r>
      <w:r>
        <w:rPr>
          <w:rFonts w:hAnsi="宋体"/>
          <w:color w:val="auto"/>
          <w:shd w:val="clear" w:color="auto" w:fill="auto"/>
        </w:rPr>
        <w:t>0</w:t>
      </w:r>
      <w:r>
        <w:rPr>
          <w:rFonts w:hint="eastAsia" w:hAnsi="宋体"/>
          <w:color w:val="auto"/>
          <w:shd w:val="clear" w:color="auto" w:fill="auto"/>
          <w:lang w:eastAsia="zh-CN"/>
        </w:rPr>
        <w:t>m</w:t>
      </w:r>
      <w:r>
        <w:rPr>
          <w:rFonts w:hAnsi="宋体"/>
          <w:color w:val="auto"/>
          <w:shd w:val="clear" w:color="auto" w:fill="auto"/>
        </w:rPr>
        <w:t>g/</w:t>
      </w:r>
      <w:r>
        <w:rPr>
          <w:rFonts w:hint="eastAsia" w:hAnsi="宋体"/>
          <w:color w:val="auto"/>
          <w:shd w:val="clear" w:color="auto" w:fill="auto"/>
        </w:rPr>
        <w:t>L、</w:t>
      </w:r>
      <w:r>
        <w:rPr>
          <w:rFonts w:hAnsi="宋体"/>
          <w:color w:val="auto"/>
          <w:shd w:val="clear" w:color="auto" w:fill="auto"/>
        </w:rPr>
        <w:t>BOD</w:t>
      </w:r>
      <w:r>
        <w:rPr>
          <w:rFonts w:hAnsi="宋体"/>
          <w:color w:val="auto"/>
          <w:shd w:val="clear" w:color="auto" w:fill="auto"/>
          <w:vertAlign w:val="subscript"/>
        </w:rPr>
        <w:t>5</w:t>
      </w:r>
      <w:r>
        <w:rPr>
          <w:rFonts w:hint="eastAsia" w:hAnsi="宋体"/>
          <w:color w:val="auto"/>
          <w:shd w:val="clear" w:color="auto" w:fill="auto"/>
        </w:rPr>
        <w:t xml:space="preserve"> 200</w:t>
      </w:r>
      <w:r>
        <w:rPr>
          <w:rFonts w:hint="eastAsia" w:hAnsi="宋体"/>
          <w:color w:val="auto"/>
          <w:shd w:val="clear" w:color="auto" w:fill="auto"/>
          <w:lang w:eastAsia="zh-CN"/>
        </w:rPr>
        <w:t>m</w:t>
      </w:r>
      <w:r>
        <w:rPr>
          <w:rFonts w:hAnsi="宋体"/>
          <w:color w:val="auto"/>
          <w:shd w:val="clear" w:color="auto" w:fill="auto"/>
        </w:rPr>
        <w:t>g/</w:t>
      </w:r>
      <w:r>
        <w:rPr>
          <w:rFonts w:hint="eastAsia" w:hAnsi="宋体"/>
          <w:color w:val="auto"/>
          <w:shd w:val="clear" w:color="auto" w:fill="auto"/>
        </w:rPr>
        <w:t>L、</w:t>
      </w:r>
      <w:r>
        <w:rPr>
          <w:rFonts w:hint="eastAsia"/>
          <w:color w:val="auto"/>
          <w:shd w:val="clear" w:color="auto" w:fill="auto"/>
        </w:rPr>
        <w:t>NH</w:t>
      </w:r>
      <w:r>
        <w:rPr>
          <w:rFonts w:hint="eastAsia"/>
          <w:color w:val="auto"/>
          <w:shd w:val="clear" w:color="auto" w:fill="auto"/>
          <w:vertAlign w:val="subscript"/>
        </w:rPr>
        <w:t>3</w:t>
      </w:r>
      <w:r>
        <w:rPr>
          <w:rFonts w:hint="eastAsia"/>
          <w:color w:val="auto"/>
          <w:shd w:val="clear" w:color="auto" w:fill="auto"/>
        </w:rPr>
        <w:t xml:space="preserve">-N </w:t>
      </w:r>
      <w:r>
        <w:rPr>
          <w:rFonts w:hint="eastAsia" w:hAnsi="宋体"/>
          <w:color w:val="auto"/>
          <w:shd w:val="clear" w:color="auto" w:fill="auto"/>
        </w:rPr>
        <w:t>35</w:t>
      </w:r>
      <w:r>
        <w:rPr>
          <w:rFonts w:hint="eastAsia" w:hAnsi="宋体"/>
          <w:color w:val="auto"/>
          <w:shd w:val="clear" w:color="auto" w:fill="auto"/>
          <w:lang w:eastAsia="zh-CN"/>
        </w:rPr>
        <w:t>m</w:t>
      </w:r>
      <w:r>
        <w:rPr>
          <w:rFonts w:hAnsi="宋体"/>
          <w:color w:val="auto"/>
          <w:shd w:val="clear" w:color="auto" w:fill="auto"/>
        </w:rPr>
        <w:t>g/</w:t>
      </w:r>
      <w:r>
        <w:rPr>
          <w:rFonts w:hint="eastAsia" w:hAnsi="宋体"/>
          <w:color w:val="auto"/>
          <w:shd w:val="clear" w:color="auto" w:fill="auto"/>
        </w:rPr>
        <w:t>L，</w:t>
      </w:r>
      <w:r>
        <w:rPr>
          <w:color w:val="auto"/>
          <w:shd w:val="clear" w:color="auto" w:fill="auto"/>
        </w:rPr>
        <w:t>SS</w:t>
      </w:r>
      <w:r>
        <w:rPr>
          <w:rFonts w:hAnsi="宋体"/>
          <w:color w:val="auto"/>
          <w:shd w:val="clear" w:color="auto" w:fill="auto"/>
        </w:rPr>
        <w:t>为</w:t>
      </w:r>
      <w:r>
        <w:rPr>
          <w:color w:val="auto"/>
          <w:shd w:val="clear" w:color="auto" w:fill="auto"/>
        </w:rPr>
        <w:t>350</w:t>
      </w:r>
      <w:r>
        <w:rPr>
          <w:rFonts w:hint="eastAsia"/>
          <w:color w:val="auto"/>
          <w:shd w:val="clear" w:color="auto" w:fill="auto"/>
          <w:lang w:eastAsia="zh-CN"/>
        </w:rPr>
        <w:t>m</w:t>
      </w:r>
      <w:r>
        <w:rPr>
          <w:color w:val="auto"/>
          <w:shd w:val="clear" w:color="auto" w:fill="auto"/>
        </w:rPr>
        <w:t>g/</w:t>
      </w:r>
      <w:r>
        <w:rPr>
          <w:rFonts w:hint="eastAsia"/>
          <w:color w:val="auto"/>
          <w:shd w:val="clear" w:color="auto" w:fill="auto"/>
        </w:rPr>
        <w:t>L。</w:t>
      </w:r>
    </w:p>
    <w:p>
      <w:pPr>
        <w:pStyle w:val="2"/>
        <w:ind w:firstLine="480"/>
        <w:rPr>
          <w:rFonts w:hint="eastAsia" w:hAnsi="宋体"/>
          <w:color w:val="auto"/>
          <w:shd w:val="clear" w:color="auto" w:fill="auto"/>
        </w:rPr>
      </w:pPr>
      <w:r>
        <w:rPr>
          <w:rFonts w:hint="eastAsia" w:hAnsi="宋体"/>
          <w:color w:val="auto"/>
          <w:shd w:val="clear" w:color="auto" w:fill="auto"/>
        </w:rPr>
        <w:t>本项目到港船舶生活污水</w:t>
      </w:r>
      <w:r>
        <w:rPr>
          <w:rFonts w:hint="eastAsia"/>
          <w:color w:val="auto"/>
          <w:shd w:val="clear" w:color="auto" w:fill="auto"/>
        </w:rPr>
        <w:t>由船舶生活污水收集罐车</w:t>
      </w:r>
      <w:r>
        <w:rPr>
          <w:rFonts w:hint="eastAsia"/>
          <w:color w:val="auto"/>
          <w:shd w:val="clear" w:color="auto" w:fill="auto"/>
          <w:lang w:eastAsia="zh-CN"/>
        </w:rPr>
        <w:t>收集，</w:t>
      </w:r>
      <w:r>
        <w:rPr>
          <w:rFonts w:hint="eastAsia"/>
          <w:color w:val="auto"/>
          <w:shd w:val="clear" w:color="auto" w:fill="auto"/>
        </w:rPr>
        <w:t>定期外运至</w:t>
      </w:r>
      <w:r>
        <w:rPr>
          <w:rFonts w:hint="eastAsia"/>
          <w:color w:val="auto"/>
          <w:shd w:val="clear" w:color="auto" w:fill="auto"/>
          <w:lang w:eastAsia="zh-CN"/>
        </w:rPr>
        <w:t>有资质的</w:t>
      </w:r>
      <w:r>
        <w:rPr>
          <w:rFonts w:hint="eastAsia"/>
          <w:color w:val="auto"/>
          <w:shd w:val="clear" w:color="auto" w:fill="auto"/>
        </w:rPr>
        <w:t>接收处理单位。</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3</w:t>
      </w:r>
      <w:r>
        <w:rPr>
          <w:rFonts w:hint="eastAsia"/>
          <w:color w:val="auto"/>
          <w:shd w:val="clear" w:color="auto" w:fill="auto"/>
        </w:rPr>
        <w:t>）流动机械冲洗废水</w:t>
      </w:r>
    </w:p>
    <w:p>
      <w:pPr>
        <w:pStyle w:val="2"/>
        <w:ind w:firstLine="480"/>
        <w:rPr>
          <w:color w:val="auto"/>
          <w:shd w:val="clear" w:color="auto" w:fill="auto"/>
        </w:rPr>
      </w:pPr>
      <w:r>
        <w:rPr>
          <w:rFonts w:hint="eastAsia"/>
          <w:color w:val="auto"/>
          <w:shd w:val="clear" w:color="auto" w:fill="auto"/>
        </w:rPr>
        <w:t>运输车辆等流动机械冲洗废水产生量约</w:t>
      </w:r>
      <w:r>
        <w:rPr>
          <w:rFonts w:hint="eastAsia" w:ascii="Times New Roman" w:eastAsia="宋体"/>
          <w:color w:val="auto"/>
          <w:lang w:val="en-US" w:eastAsia="zh-CN"/>
        </w:rPr>
        <w:t>2110.08</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/a，</w:t>
      </w:r>
      <w:r>
        <w:rPr>
          <w:color w:val="auto"/>
          <w:kern w:val="0"/>
          <w:szCs w:val="21"/>
          <w:shd w:val="clear" w:color="auto" w:fill="auto"/>
        </w:rPr>
        <w:t>主要污染物为SS和石油类，浓度分别为</w:t>
      </w:r>
      <w:r>
        <w:rPr>
          <w:rFonts w:hint="eastAsia"/>
          <w:color w:val="auto"/>
          <w:kern w:val="0"/>
          <w:szCs w:val="21"/>
          <w:shd w:val="clear" w:color="auto" w:fill="auto"/>
        </w:rPr>
        <w:t>200</w:t>
      </w:r>
      <w:r>
        <w:rPr>
          <w:rFonts w:hint="eastAsia"/>
          <w:color w:val="auto"/>
          <w:kern w:val="0"/>
          <w:szCs w:val="21"/>
          <w:shd w:val="clear" w:color="auto" w:fill="auto"/>
          <w:lang w:eastAsia="zh-CN"/>
        </w:rPr>
        <w:t>m</w:t>
      </w:r>
      <w:r>
        <w:rPr>
          <w:color w:val="auto"/>
          <w:kern w:val="0"/>
          <w:szCs w:val="21"/>
          <w:shd w:val="clear" w:color="auto" w:fill="auto"/>
        </w:rPr>
        <w:t>g/L和</w:t>
      </w:r>
      <w:r>
        <w:rPr>
          <w:rFonts w:hint="eastAsia"/>
          <w:color w:val="auto"/>
          <w:kern w:val="0"/>
          <w:szCs w:val="21"/>
          <w:shd w:val="clear" w:color="auto" w:fill="auto"/>
        </w:rPr>
        <w:t>50</w:t>
      </w:r>
      <w:r>
        <w:rPr>
          <w:rFonts w:hint="eastAsia"/>
          <w:color w:val="auto"/>
          <w:kern w:val="0"/>
          <w:szCs w:val="21"/>
          <w:shd w:val="clear" w:color="auto" w:fill="auto"/>
          <w:lang w:eastAsia="zh-CN"/>
        </w:rPr>
        <w:t>m</w:t>
      </w:r>
      <w:r>
        <w:rPr>
          <w:color w:val="auto"/>
          <w:kern w:val="0"/>
          <w:szCs w:val="21"/>
          <w:shd w:val="clear" w:color="auto" w:fill="auto"/>
        </w:rPr>
        <w:t>g/L</w:t>
      </w:r>
      <w:r>
        <w:rPr>
          <w:rFonts w:hint="eastAsia"/>
          <w:color w:val="auto"/>
          <w:shd w:val="clear" w:color="auto" w:fill="auto"/>
        </w:rPr>
        <w:t>。</w:t>
      </w:r>
    </w:p>
    <w:p>
      <w:pPr>
        <w:ind w:firstLine="480"/>
        <w:rPr>
          <w:rFonts w:hAnsi="宋体"/>
          <w:color w:val="auto"/>
          <w:shd w:val="clear" w:color="auto" w:fill="auto"/>
        </w:rPr>
      </w:pPr>
      <w:r>
        <w:rPr>
          <w:rFonts w:hint="eastAsia"/>
          <w:color w:val="auto"/>
          <w:shd w:val="clear" w:color="auto" w:fill="auto"/>
        </w:rPr>
        <w:t>流动机械冲洗废水</w:t>
      </w:r>
      <w:r>
        <w:rPr>
          <w:rFonts w:hAnsi="宋体"/>
          <w:color w:val="auto"/>
          <w:shd w:val="clear" w:color="auto" w:fill="auto"/>
        </w:rPr>
        <w:t>经</w:t>
      </w:r>
      <w:r>
        <w:rPr>
          <w:rFonts w:hint="eastAsia" w:hAnsi="宋体"/>
          <w:color w:val="auto"/>
          <w:shd w:val="clear" w:color="auto" w:fill="auto"/>
          <w:lang w:val="en-US" w:eastAsia="zh-CN"/>
        </w:rPr>
        <w:t>1个10</w:t>
      </w:r>
      <w:r>
        <w:rPr>
          <w:rFonts w:hint="eastAsia" w:hAnsi="宋体"/>
          <w:color w:val="auto"/>
          <w:shd w:val="clear" w:color="auto" w:fill="auto"/>
          <w:vertAlign w:val="baseline"/>
          <w:lang w:val="en-US" w:eastAsia="zh-CN"/>
        </w:rPr>
        <w:t>m</w:t>
      </w:r>
      <w:r>
        <w:rPr>
          <w:rFonts w:hint="eastAsia" w:hAnsi="宋体"/>
          <w:color w:val="auto"/>
          <w:shd w:val="clear" w:color="auto" w:fill="auto"/>
          <w:vertAlign w:val="superscript"/>
          <w:lang w:val="en-US" w:eastAsia="zh-CN"/>
        </w:rPr>
        <w:t>3</w:t>
      </w:r>
      <w:r>
        <w:rPr>
          <w:rFonts w:hAnsi="宋体"/>
          <w:color w:val="auto"/>
          <w:shd w:val="clear" w:color="auto" w:fill="auto"/>
        </w:rPr>
        <w:t>隔油沉淀池</w:t>
      </w:r>
      <w:r>
        <w:rPr>
          <w:rFonts w:hint="eastAsia" w:hAnsi="宋体"/>
          <w:color w:val="auto"/>
          <w:shd w:val="clear" w:color="auto" w:fill="auto"/>
          <w:lang w:val="en-US" w:eastAsia="zh-CN"/>
        </w:rPr>
        <w:t>处理</w:t>
      </w:r>
      <w:r>
        <w:rPr>
          <w:rFonts w:hAnsi="宋体"/>
          <w:color w:val="auto"/>
          <w:shd w:val="clear" w:color="auto" w:fill="auto"/>
        </w:rPr>
        <w:t>后</w:t>
      </w:r>
      <w:r>
        <w:rPr>
          <w:rFonts w:hint="eastAsia" w:hAnsi="宋体"/>
          <w:color w:val="auto"/>
          <w:shd w:val="clear" w:color="auto" w:fill="auto"/>
        </w:rPr>
        <w:t>，</w:t>
      </w:r>
      <w:r>
        <w:rPr>
          <w:rFonts w:hint="eastAsia" w:hAnsi="宋体"/>
          <w:color w:val="auto"/>
          <w:shd w:val="clear" w:color="auto" w:fill="auto"/>
          <w:lang w:eastAsia="zh-CN"/>
        </w:rPr>
        <w:t>循环使用</w:t>
      </w:r>
      <w:r>
        <w:rPr>
          <w:rFonts w:hint="eastAsia" w:hAnsi="宋体"/>
          <w:color w:val="auto"/>
          <w:shd w:val="clear" w:color="auto" w:fill="auto"/>
        </w:rPr>
        <w:t>，</w:t>
      </w:r>
      <w:r>
        <w:rPr>
          <w:rFonts w:hint="eastAsia" w:hAnsi="宋体"/>
          <w:color w:val="auto"/>
          <w:shd w:val="clear" w:color="auto" w:fill="auto"/>
          <w:lang w:eastAsia="zh-CN"/>
        </w:rPr>
        <w:t>不外排</w:t>
      </w:r>
      <w:r>
        <w:rPr>
          <w:rFonts w:hAnsi="宋体"/>
          <w:color w:val="auto"/>
          <w:shd w:val="clear" w:color="auto" w:fill="auto"/>
        </w:rPr>
        <w:t>。</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4</w:t>
      </w:r>
      <w:r>
        <w:rPr>
          <w:rFonts w:hint="eastAsia"/>
          <w:color w:val="auto"/>
          <w:shd w:val="clear" w:color="auto" w:fill="auto"/>
        </w:rPr>
        <w:t>）港区生活污水</w:t>
      </w:r>
    </w:p>
    <w:p>
      <w:pPr>
        <w:pStyle w:val="2"/>
        <w:rPr>
          <w:rFonts w:hint="eastAsia"/>
          <w:color w:val="auto"/>
          <w:shd w:val="clear" w:color="auto" w:fill="auto"/>
        </w:rPr>
      </w:pPr>
      <w:r>
        <w:rPr>
          <w:rFonts w:hint="eastAsia"/>
          <w:color w:val="auto"/>
          <w:shd w:val="clear" w:color="auto" w:fill="auto"/>
        </w:rPr>
        <w:t>港区生活污水发生量为</w:t>
      </w:r>
      <w:r>
        <w:rPr>
          <w:rFonts w:hint="eastAsia"/>
          <w:color w:val="auto"/>
          <w:shd w:val="clear" w:color="auto" w:fill="auto"/>
          <w:lang w:val="en-US" w:eastAsia="zh-CN"/>
        </w:rPr>
        <w:t>211.2</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/a，主要污染因子为COD、BOD</w:t>
      </w:r>
      <w:r>
        <w:rPr>
          <w:rFonts w:hint="eastAsia"/>
          <w:color w:val="auto"/>
          <w:shd w:val="clear" w:color="auto" w:fill="auto"/>
          <w:vertAlign w:val="subscript"/>
        </w:rPr>
        <w:t>5</w:t>
      </w:r>
      <w:r>
        <w:rPr>
          <w:rFonts w:hint="eastAsia"/>
          <w:color w:val="auto"/>
          <w:shd w:val="clear" w:color="auto" w:fill="auto"/>
        </w:rPr>
        <w:t>、NH</w:t>
      </w:r>
      <w:r>
        <w:rPr>
          <w:rFonts w:hint="eastAsia"/>
          <w:color w:val="auto"/>
          <w:shd w:val="clear" w:color="auto" w:fill="auto"/>
          <w:vertAlign w:val="subscript"/>
        </w:rPr>
        <w:t>3</w:t>
      </w:r>
      <w:r>
        <w:rPr>
          <w:rFonts w:hint="eastAsia"/>
          <w:color w:val="auto"/>
          <w:shd w:val="clear" w:color="auto" w:fill="auto"/>
        </w:rPr>
        <w:t>-N和</w:t>
      </w:r>
      <w:r>
        <w:rPr>
          <w:color w:val="auto"/>
          <w:shd w:val="clear" w:color="auto" w:fill="auto"/>
        </w:rPr>
        <w:t>S</w:t>
      </w:r>
      <w:r>
        <w:rPr>
          <w:rFonts w:hint="eastAsia"/>
          <w:color w:val="auto"/>
          <w:shd w:val="clear" w:color="auto" w:fill="auto"/>
        </w:rPr>
        <w:t>S等，港区污水由移动厕所收集储存，定期由清掏车外运至相关接收处理单位。</w:t>
      </w:r>
    </w:p>
    <w:p>
      <w:pPr>
        <w:pStyle w:val="2"/>
        <w:rPr>
          <w:rFonts w:hint="eastAsia" w:eastAsia="宋体"/>
          <w:lang w:eastAsia="zh-CN"/>
        </w:rPr>
      </w:pPr>
      <w:r>
        <w:rPr>
          <w:rFonts w:hint="eastAsia"/>
          <w:color w:val="auto"/>
          <w:shd w:val="clear" w:color="auto" w:fill="auto"/>
          <w:lang w:eastAsia="zh-CN"/>
        </w:rPr>
        <w:t>（</w:t>
      </w:r>
      <w:r>
        <w:rPr>
          <w:rFonts w:hint="eastAsia"/>
          <w:color w:val="auto"/>
          <w:shd w:val="clear" w:color="auto" w:fill="auto"/>
          <w:lang w:val="en-US" w:eastAsia="zh-CN"/>
        </w:rPr>
        <w:t>6</w:t>
      </w:r>
      <w:r>
        <w:rPr>
          <w:rFonts w:hint="eastAsia"/>
          <w:color w:val="auto"/>
          <w:shd w:val="clear" w:color="auto" w:fill="auto"/>
          <w:lang w:eastAsia="zh-CN"/>
        </w:rPr>
        <w:t>）</w:t>
      </w:r>
      <w:r>
        <w:rPr>
          <w:rFonts w:hint="eastAsia"/>
          <w:color w:val="auto"/>
          <w:shd w:val="clear" w:color="auto" w:fill="auto"/>
          <w:lang w:val="en-US" w:eastAsia="zh-CN"/>
        </w:rPr>
        <w:t>陆域</w:t>
      </w:r>
      <w:r>
        <w:rPr>
          <w:rFonts w:hint="eastAsia"/>
          <w:color w:val="auto"/>
          <w:shd w:val="clear" w:color="auto" w:fill="auto"/>
          <w:lang w:eastAsia="zh-CN"/>
        </w:rPr>
        <w:t>生活污水</w:t>
      </w:r>
    </w:p>
    <w:p>
      <w:pPr>
        <w:ind w:firstLine="480"/>
        <w:rPr>
          <w:rFonts w:hint="eastAsia"/>
          <w:color w:val="auto"/>
          <w:shd w:val="clear" w:color="auto" w:fill="auto"/>
          <w:lang w:eastAsia="zh-CN"/>
        </w:rPr>
      </w:pPr>
      <w:r>
        <w:rPr>
          <w:rFonts w:hint="eastAsia"/>
          <w:color w:val="auto"/>
          <w:shd w:val="clear" w:color="auto" w:fill="auto"/>
          <w:lang w:val="en-US" w:eastAsia="zh-CN"/>
        </w:rPr>
        <w:t>陆域</w:t>
      </w:r>
      <w:r>
        <w:rPr>
          <w:rFonts w:hint="eastAsia"/>
          <w:color w:val="auto"/>
          <w:shd w:val="clear" w:color="auto" w:fill="auto"/>
          <w:lang w:eastAsia="zh-CN"/>
        </w:rPr>
        <w:t>生活污水发生量为</w:t>
      </w:r>
      <w:r>
        <w:rPr>
          <w:rFonts w:hint="eastAsia"/>
          <w:color w:val="auto"/>
          <w:shd w:val="clear" w:color="auto" w:fill="auto"/>
          <w:lang w:val="en-US" w:eastAsia="zh-CN"/>
        </w:rPr>
        <w:t>384</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lang w:eastAsia="zh-CN"/>
        </w:rPr>
        <w:t>/a，主要污染因子为COD、BOD</w:t>
      </w:r>
      <w:r>
        <w:rPr>
          <w:rFonts w:hint="eastAsia"/>
          <w:color w:val="auto"/>
          <w:shd w:val="clear" w:color="auto" w:fill="auto"/>
          <w:vertAlign w:val="subscript"/>
          <w:lang w:eastAsia="zh-CN"/>
        </w:rPr>
        <w:t>5</w:t>
      </w:r>
      <w:r>
        <w:rPr>
          <w:rFonts w:hint="eastAsia"/>
          <w:color w:val="auto"/>
          <w:shd w:val="clear" w:color="auto" w:fill="auto"/>
          <w:lang w:eastAsia="zh-CN"/>
        </w:rPr>
        <w:t>、NH</w:t>
      </w:r>
      <w:r>
        <w:rPr>
          <w:rFonts w:hint="eastAsia"/>
          <w:color w:val="auto"/>
          <w:shd w:val="clear" w:color="auto" w:fill="auto"/>
          <w:vertAlign w:val="subscript"/>
          <w:lang w:eastAsia="zh-CN"/>
        </w:rPr>
        <w:t>3</w:t>
      </w:r>
      <w:r>
        <w:rPr>
          <w:rFonts w:hint="eastAsia"/>
          <w:color w:val="auto"/>
          <w:shd w:val="clear" w:color="auto" w:fill="auto"/>
          <w:lang w:eastAsia="zh-CN"/>
        </w:rPr>
        <w:t>-N和SS等，港区污水由移动厕所收集储存，定期由清掏车外运至相关接收处理单位。</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7</w:t>
      </w:r>
      <w:r>
        <w:rPr>
          <w:rFonts w:hint="eastAsia"/>
          <w:color w:val="auto"/>
          <w:shd w:val="clear" w:color="auto" w:fill="auto"/>
        </w:rPr>
        <w:t>）初期雨水、</w:t>
      </w:r>
      <w:r>
        <w:rPr>
          <w:color w:val="auto"/>
          <w:shd w:val="clear" w:color="auto" w:fill="auto"/>
        </w:rPr>
        <w:t>码头面冲洗水</w:t>
      </w:r>
    </w:p>
    <w:p>
      <w:pPr>
        <w:ind w:firstLine="480"/>
        <w:rPr>
          <w:color w:val="auto"/>
          <w:shd w:val="clear" w:color="auto" w:fill="auto"/>
        </w:rPr>
      </w:pPr>
      <w:r>
        <w:rPr>
          <w:rFonts w:hint="eastAsia"/>
          <w:color w:val="auto"/>
          <w:shd w:val="clear" w:color="auto" w:fill="auto"/>
        </w:rPr>
        <w:t>本项目码头装卸作业过程中，在码头平台洒落有少量粉尘，清扫后对码头面进行冲洗，产生冲洗废水量约为</w:t>
      </w:r>
      <w:r>
        <w:rPr>
          <w:rFonts w:hint="eastAsia"/>
          <w:color w:val="auto"/>
          <w:shd w:val="clear" w:color="auto" w:fill="auto"/>
          <w:lang w:val="en-US" w:eastAsia="zh-CN"/>
        </w:rPr>
        <w:t>5592.67</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/a</w:t>
      </w:r>
      <w:r>
        <w:rPr>
          <w:rFonts w:hint="eastAsia"/>
          <w:color w:val="auto"/>
          <w:shd w:val="clear" w:color="auto" w:fill="auto"/>
        </w:rPr>
        <w:t>，</w:t>
      </w:r>
      <w:r>
        <w:rPr>
          <w:color w:val="auto"/>
          <w:shd w:val="clear" w:color="auto" w:fill="auto"/>
        </w:rPr>
        <w:t>SS</w:t>
      </w:r>
      <w:r>
        <w:rPr>
          <w:rFonts w:hint="eastAsia"/>
          <w:color w:val="auto"/>
          <w:shd w:val="clear" w:color="auto" w:fill="auto"/>
        </w:rPr>
        <w:t>浓度为2</w:t>
      </w:r>
      <w:r>
        <w:rPr>
          <w:color w:val="auto"/>
          <w:shd w:val="clear" w:color="auto" w:fill="auto"/>
        </w:rPr>
        <w:t>000</w:t>
      </w:r>
      <w:r>
        <w:rPr>
          <w:rFonts w:hint="eastAsia"/>
          <w:color w:val="auto"/>
          <w:shd w:val="clear" w:color="auto" w:fill="auto"/>
          <w:lang w:eastAsia="zh-CN"/>
        </w:rPr>
        <w:t>m</w:t>
      </w:r>
      <w:r>
        <w:rPr>
          <w:color w:val="auto"/>
          <w:shd w:val="clear" w:color="auto" w:fill="auto"/>
        </w:rPr>
        <w:t>g/L</w:t>
      </w:r>
      <w:r>
        <w:rPr>
          <w:rFonts w:hint="eastAsia"/>
          <w:color w:val="auto"/>
          <w:shd w:val="clear" w:color="auto" w:fill="auto"/>
        </w:rPr>
        <w:t>。</w:t>
      </w:r>
    </w:p>
    <w:p>
      <w:pPr>
        <w:ind w:firstLine="480"/>
        <w:rPr>
          <w:rFonts w:hint="eastAsia"/>
          <w:color w:val="auto"/>
          <w:shd w:val="clear" w:color="auto" w:fill="auto"/>
        </w:rPr>
      </w:pPr>
      <w:r>
        <w:rPr>
          <w:rFonts w:hint="eastAsia"/>
          <w:color w:val="auto"/>
          <w:shd w:val="clear" w:color="auto" w:fill="auto"/>
          <w:lang w:eastAsia="zh-CN"/>
        </w:rPr>
        <w:t>码头面</w:t>
      </w:r>
      <w:r>
        <w:rPr>
          <w:rFonts w:hint="eastAsia"/>
          <w:color w:val="auto"/>
          <w:shd w:val="clear" w:color="auto" w:fill="auto"/>
        </w:rPr>
        <w:t>采用排水明沟收集初期雨水和冲洗废水，排入</w:t>
      </w:r>
      <w:r>
        <w:rPr>
          <w:rFonts w:hint="eastAsia"/>
          <w:color w:val="auto"/>
          <w:shd w:val="clear" w:color="auto" w:fill="auto"/>
          <w:lang w:eastAsia="zh-CN"/>
        </w:rPr>
        <w:t>三级</w:t>
      </w:r>
      <w:r>
        <w:rPr>
          <w:rFonts w:hint="eastAsia"/>
          <w:color w:val="auto"/>
          <w:shd w:val="clear" w:color="auto" w:fill="auto"/>
        </w:rPr>
        <w:t>沉淀池经沉淀处理后，可去除大部分悬浮物，全部回用于</w:t>
      </w:r>
      <w:r>
        <w:rPr>
          <w:rFonts w:hint="eastAsia"/>
          <w:color w:val="auto"/>
          <w:shd w:val="clear" w:color="auto" w:fill="auto"/>
          <w:lang w:val="en-US" w:eastAsia="zh-CN"/>
        </w:rPr>
        <w:t>港区</w:t>
      </w:r>
      <w:r>
        <w:rPr>
          <w:rFonts w:hint="eastAsia"/>
          <w:color w:val="auto"/>
          <w:shd w:val="clear" w:color="auto" w:fill="auto"/>
        </w:rPr>
        <w:t>洒水抑尘，不外排，不会对</w:t>
      </w:r>
      <w:r>
        <w:rPr>
          <w:rFonts w:hint="eastAsia"/>
          <w:color w:val="auto"/>
          <w:shd w:val="clear" w:color="auto" w:fill="auto"/>
          <w:lang w:eastAsia="zh-CN"/>
        </w:rPr>
        <w:t>沙颍河</w:t>
      </w:r>
      <w:r>
        <w:rPr>
          <w:rFonts w:hint="eastAsia"/>
          <w:color w:val="auto"/>
          <w:shd w:val="clear" w:color="auto" w:fill="auto"/>
        </w:rPr>
        <w:t>水环境造成影响。</w:t>
      </w:r>
    </w:p>
    <w:p>
      <w:pPr>
        <w:pStyle w:val="5"/>
        <w:rPr>
          <w:color w:val="auto"/>
          <w:highlight w:val="none"/>
          <w:shd w:val="clear" w:color="auto" w:fill="auto"/>
        </w:rPr>
      </w:pPr>
      <w:r>
        <w:rPr>
          <w:rFonts w:hint="eastAsia"/>
          <w:color w:val="auto"/>
          <w:highlight w:val="none"/>
          <w:shd w:val="clear" w:color="auto" w:fill="auto"/>
          <w:lang w:val="en-US" w:eastAsia="zh-CN"/>
        </w:rPr>
        <w:t>4</w:t>
      </w:r>
      <w:r>
        <w:rPr>
          <w:rFonts w:hint="eastAsia"/>
          <w:color w:val="auto"/>
          <w:highlight w:val="none"/>
          <w:shd w:val="clear" w:color="auto" w:fill="auto"/>
        </w:rPr>
        <w:t>.</w:t>
      </w:r>
      <w:r>
        <w:rPr>
          <w:rFonts w:hint="eastAsia"/>
          <w:color w:val="auto"/>
          <w:highlight w:val="none"/>
          <w:shd w:val="clear" w:color="auto" w:fill="auto"/>
          <w:lang w:val="en-US" w:eastAsia="zh-CN"/>
        </w:rPr>
        <w:t>3</w:t>
      </w:r>
      <w:r>
        <w:rPr>
          <w:rFonts w:hint="eastAsia"/>
          <w:color w:val="auto"/>
          <w:highlight w:val="none"/>
          <w:shd w:val="clear" w:color="auto" w:fill="auto"/>
        </w:rPr>
        <w:t>.3 营运期噪声</w:t>
      </w:r>
      <w:r>
        <w:rPr>
          <w:color w:val="auto"/>
          <w:highlight w:val="none"/>
          <w:shd w:val="clear" w:color="auto" w:fill="auto"/>
        </w:rPr>
        <w:t>环境影响分析</w:t>
      </w:r>
    </w:p>
    <w:p>
      <w:pPr>
        <w:pStyle w:val="6"/>
        <w:bidi w:val="0"/>
        <w:rPr>
          <w:rFonts w:hint="eastAsia"/>
          <w:lang w:eastAsia="zh-CN"/>
        </w:rPr>
      </w:pPr>
      <w:r>
        <w:rPr>
          <w:rFonts w:hint="eastAsia"/>
          <w:lang w:val="en-US" w:eastAsia="zh-CN"/>
        </w:rPr>
        <w:t>4.3.3.1.</w:t>
      </w:r>
      <w:r>
        <w:rPr>
          <w:rFonts w:hint="eastAsia"/>
          <w:lang w:eastAsia="zh-CN"/>
        </w:rPr>
        <w:t>噪声源情况</w:t>
      </w:r>
    </w:p>
    <w:p>
      <w:pPr>
        <w:ind w:firstLine="480"/>
        <w:jc w:val="left"/>
        <w:rPr>
          <w:rFonts w:hint="eastAsia" w:hAnsi="宋体"/>
          <w:color w:val="auto"/>
          <w:shd w:val="clear" w:color="auto" w:fill="auto"/>
        </w:rPr>
      </w:pPr>
      <w:r>
        <w:rPr>
          <w:rFonts w:hint="eastAsia" w:hAnsi="宋体"/>
          <w:color w:val="auto"/>
          <w:shd w:val="clear" w:color="auto" w:fill="auto"/>
        </w:rPr>
        <w:t>项目建成运行后，码头区的噪声源主要来自于机械设备、运输车辆</w:t>
      </w:r>
      <w:r>
        <w:rPr>
          <w:rFonts w:hint="eastAsia" w:hAnsi="宋体"/>
          <w:color w:val="auto"/>
          <w:shd w:val="clear" w:color="auto" w:fill="auto"/>
          <w:lang w:eastAsia="zh-CN"/>
        </w:rPr>
        <w:t>等</w:t>
      </w:r>
      <w:r>
        <w:rPr>
          <w:rFonts w:hint="eastAsia" w:hAnsi="宋体"/>
          <w:color w:val="auto"/>
          <w:shd w:val="clear" w:color="auto" w:fill="auto"/>
        </w:rPr>
        <w:t>。</w:t>
      </w:r>
    </w:p>
    <w:p>
      <w:pPr>
        <w:ind w:firstLine="480"/>
        <w:jc w:val="left"/>
        <w:rPr>
          <w:rFonts w:hint="eastAsia"/>
          <w:color w:val="auto"/>
          <w:shd w:val="clear" w:color="auto" w:fill="auto"/>
          <w:lang w:val="en-US" w:eastAsia="zh-CN"/>
        </w:rPr>
      </w:pPr>
      <w:r>
        <w:rPr>
          <w:rFonts w:hint="eastAsia" w:hAnsi="宋体"/>
          <w:color w:val="auto"/>
          <w:shd w:val="clear" w:color="auto" w:fill="auto"/>
        </w:rPr>
        <w:t>根据</w:t>
      </w:r>
      <w:r>
        <w:rPr>
          <w:rFonts w:hint="eastAsia" w:hAnsi="宋体"/>
          <w:color w:val="auto"/>
          <w:shd w:val="clear" w:color="auto" w:fill="auto"/>
          <w:lang w:eastAsia="zh-CN"/>
        </w:rPr>
        <w:t>工程</w:t>
      </w:r>
      <w:r>
        <w:rPr>
          <w:rFonts w:hint="eastAsia" w:hAnsi="宋体"/>
          <w:color w:val="auto"/>
          <w:shd w:val="clear" w:color="auto" w:fill="auto"/>
        </w:rPr>
        <w:t>分析，各种设备噪声源强见表</w:t>
      </w:r>
      <w:r>
        <w:rPr>
          <w:rFonts w:hint="eastAsia"/>
          <w:color w:val="auto"/>
          <w:shd w:val="clear" w:color="auto" w:fill="auto"/>
          <w:lang w:val="en-US" w:eastAsia="zh-CN"/>
        </w:rPr>
        <w:t>4.3-8。</w:t>
      </w:r>
    </w:p>
    <w:p>
      <w:pPr>
        <w:pStyle w:val="2"/>
        <w:spacing w:before="156" w:beforeLines="50" w:line="240" w:lineRule="auto"/>
        <w:ind w:firstLine="0" w:firstLineChars="0"/>
        <w:jc w:val="center"/>
        <w:rPr>
          <w:rFonts w:hint="eastAsia" w:hAnsi="宋体"/>
          <w:color w:val="auto"/>
          <w:sz w:val="21"/>
          <w:szCs w:val="21"/>
          <w:shd w:val="clear" w:color="auto" w:fill="auto"/>
        </w:rPr>
      </w:pPr>
      <w:r>
        <w:rPr>
          <w:rFonts w:hint="eastAsia" w:eastAsia="黑体" w:cs="Times New Roman"/>
          <w:color w:val="auto"/>
          <w:sz w:val="21"/>
          <w:szCs w:val="21"/>
          <w:shd w:val="clear" w:color="auto" w:fill="auto"/>
        </w:rPr>
        <w:t>表</w:t>
      </w:r>
      <w:r>
        <w:rPr>
          <w:rFonts w:hint="eastAsia" w:eastAsia="黑体" w:cs="Times New Roman"/>
          <w:color w:val="auto"/>
          <w:sz w:val="21"/>
          <w:szCs w:val="21"/>
          <w:shd w:val="clear" w:color="auto" w:fill="auto"/>
          <w:lang w:val="en-US" w:eastAsia="zh-CN"/>
        </w:rPr>
        <w:t>4</w:t>
      </w:r>
      <w:r>
        <w:rPr>
          <w:rFonts w:hint="eastAsia" w:eastAsia="黑体" w:cs="Times New Roman"/>
          <w:color w:val="auto"/>
          <w:sz w:val="21"/>
          <w:szCs w:val="21"/>
          <w:shd w:val="clear" w:color="auto" w:fill="auto"/>
        </w:rPr>
        <w:t>.</w:t>
      </w:r>
      <w:r>
        <w:rPr>
          <w:rFonts w:hint="eastAsia" w:eastAsia="黑体" w:cs="Times New Roman"/>
          <w:color w:val="auto"/>
          <w:sz w:val="21"/>
          <w:szCs w:val="21"/>
          <w:shd w:val="clear" w:color="auto" w:fill="auto"/>
          <w:lang w:val="en-US" w:eastAsia="zh-CN"/>
        </w:rPr>
        <w:t>3</w:t>
      </w:r>
      <w:r>
        <w:rPr>
          <w:rFonts w:hint="eastAsia" w:eastAsia="黑体" w:cs="Times New Roman"/>
          <w:color w:val="auto"/>
          <w:sz w:val="21"/>
          <w:szCs w:val="21"/>
          <w:shd w:val="clear" w:color="auto" w:fill="auto"/>
        </w:rPr>
        <w:t>-</w:t>
      </w:r>
      <w:r>
        <w:rPr>
          <w:rFonts w:hint="eastAsia" w:eastAsia="黑体" w:cs="Times New Roman"/>
          <w:color w:val="auto"/>
          <w:sz w:val="21"/>
          <w:szCs w:val="21"/>
          <w:shd w:val="clear" w:color="auto" w:fill="auto"/>
          <w:lang w:val="en-US" w:eastAsia="zh-CN"/>
        </w:rPr>
        <w:t>8</w:t>
      </w:r>
      <w:r>
        <w:rPr>
          <w:rFonts w:hint="eastAsia" w:eastAsia="黑体" w:cs="Times New Roman"/>
          <w:color w:val="auto"/>
          <w:sz w:val="21"/>
          <w:szCs w:val="21"/>
          <w:shd w:val="clear" w:color="auto" w:fill="auto"/>
        </w:rPr>
        <w:t xml:space="preserve">  项目</w:t>
      </w:r>
      <w:r>
        <w:rPr>
          <w:rFonts w:hint="eastAsia" w:eastAsia="黑体" w:cs="Times New Roman"/>
          <w:color w:val="auto"/>
          <w:sz w:val="21"/>
          <w:szCs w:val="21"/>
          <w:shd w:val="clear" w:color="auto" w:fill="auto"/>
          <w:lang w:eastAsia="zh-CN"/>
        </w:rPr>
        <w:t>主要设备</w:t>
      </w:r>
      <w:r>
        <w:rPr>
          <w:rFonts w:hint="eastAsia" w:eastAsia="黑体" w:cs="Times New Roman"/>
          <w:color w:val="auto"/>
          <w:sz w:val="21"/>
          <w:szCs w:val="21"/>
          <w:shd w:val="clear" w:color="auto" w:fill="auto"/>
        </w:rPr>
        <w:t>噪声源强一览表  单位：dB（A）</w:t>
      </w:r>
    </w:p>
    <w:tbl>
      <w:tblPr>
        <w:tblStyle w:val="26"/>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4"/>
        <w:gridCol w:w="1827"/>
        <w:gridCol w:w="876"/>
        <w:gridCol w:w="1514"/>
        <w:gridCol w:w="1238"/>
        <w:gridCol w:w="1239"/>
        <w:gridCol w:w="11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684" w:type="dxa"/>
            <w:tcBorders>
              <w:tl2br w:val="nil"/>
              <w:tr2bl w:val="nil"/>
            </w:tcBorders>
            <w:vAlign w:val="center"/>
          </w:tcPr>
          <w:p>
            <w:pPr>
              <w:pStyle w:val="44"/>
              <w:rPr>
                <w:rFonts w:eastAsia="宋体" w:cs="Times New Roman"/>
                <w:color w:val="auto"/>
                <w:shd w:val="clear" w:color="auto" w:fill="auto"/>
              </w:rPr>
            </w:pPr>
            <w:r>
              <w:rPr>
                <w:rFonts w:eastAsia="宋体" w:cs="Times New Roman"/>
                <w:color w:val="auto"/>
                <w:shd w:val="clear" w:color="auto" w:fill="auto"/>
              </w:rPr>
              <w:t>序号</w:t>
            </w:r>
          </w:p>
        </w:tc>
        <w:tc>
          <w:tcPr>
            <w:tcW w:w="1827" w:type="dxa"/>
            <w:tcBorders>
              <w:tl2br w:val="nil"/>
              <w:tr2bl w:val="nil"/>
            </w:tcBorders>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噪声源（设备）</w:t>
            </w:r>
            <w:r>
              <w:rPr>
                <w:rFonts w:eastAsia="宋体" w:cs="Times New Roman"/>
                <w:color w:val="auto"/>
                <w:shd w:val="clear" w:color="auto" w:fill="auto"/>
              </w:rPr>
              <w:t>名称</w:t>
            </w:r>
          </w:p>
        </w:tc>
        <w:tc>
          <w:tcPr>
            <w:tcW w:w="876" w:type="dxa"/>
            <w:tcBorders>
              <w:tl2br w:val="nil"/>
              <w:tr2bl w:val="nil"/>
            </w:tcBorders>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数量</w:t>
            </w:r>
          </w:p>
        </w:tc>
        <w:tc>
          <w:tcPr>
            <w:tcW w:w="1514" w:type="dxa"/>
            <w:tcBorders>
              <w:tl2br w:val="nil"/>
              <w:tr2bl w:val="nil"/>
            </w:tcBorders>
            <w:vAlign w:val="center"/>
          </w:tcPr>
          <w:p>
            <w:pPr>
              <w:pStyle w:val="44"/>
              <w:rPr>
                <w:rFonts w:hint="eastAsia" w:eastAsia="宋体" w:cs="Times New Roman"/>
                <w:color w:val="auto"/>
                <w:shd w:val="clear" w:color="auto" w:fill="auto"/>
                <w:lang w:eastAsia="zh-CN"/>
              </w:rPr>
            </w:pPr>
            <w:r>
              <w:rPr>
                <w:rFonts w:hint="eastAsia" w:eastAsia="宋体" w:cs="Times New Roman"/>
                <w:color w:val="auto"/>
                <w:shd w:val="clear" w:color="auto" w:fill="auto"/>
              </w:rPr>
              <w:t>单台设备</w:t>
            </w:r>
            <w:r>
              <w:rPr>
                <w:rFonts w:hint="eastAsia" w:cs="Times New Roman"/>
                <w:color w:val="auto"/>
                <w:shd w:val="clear" w:color="auto" w:fill="auto"/>
                <w:lang w:eastAsia="zh-CN"/>
              </w:rPr>
              <w:t>噪声源强</w:t>
            </w:r>
            <w:r>
              <w:rPr>
                <w:rFonts w:hint="eastAsia" w:eastAsia="黑体" w:cs="Times New Roman"/>
                <w:color w:val="auto"/>
                <w:shd w:val="clear" w:color="auto" w:fill="auto"/>
              </w:rPr>
              <w:t>dB（A）</w:t>
            </w:r>
          </w:p>
        </w:tc>
        <w:tc>
          <w:tcPr>
            <w:tcW w:w="1238" w:type="dxa"/>
            <w:tcBorders>
              <w:tl2br w:val="nil"/>
              <w:tr2bl w:val="nil"/>
            </w:tcBorders>
            <w:vAlign w:val="center"/>
          </w:tcPr>
          <w:p>
            <w:pPr>
              <w:pStyle w:val="44"/>
              <w:rPr>
                <w:rFonts w:hint="eastAsia" w:eastAsia="宋体" w:cs="Times New Roman"/>
                <w:color w:val="auto"/>
                <w:shd w:val="clear" w:color="auto" w:fill="auto"/>
                <w:lang w:eastAsia="zh-CN"/>
              </w:rPr>
            </w:pPr>
            <w:r>
              <w:rPr>
                <w:rFonts w:hint="eastAsia" w:cs="Times New Roman" w:eastAsiaTheme="minorEastAsia"/>
                <w:color w:val="auto"/>
                <w:shd w:val="clear" w:color="auto" w:fill="auto"/>
              </w:rPr>
              <w:t>与最近厂界距离</w:t>
            </w:r>
          </w:p>
        </w:tc>
        <w:tc>
          <w:tcPr>
            <w:tcW w:w="1239" w:type="dxa"/>
            <w:tcBorders>
              <w:tl2br w:val="nil"/>
              <w:tr2bl w:val="nil"/>
            </w:tcBorders>
            <w:vAlign w:val="center"/>
          </w:tcPr>
          <w:p>
            <w:pPr>
              <w:pStyle w:val="44"/>
              <w:rPr>
                <w:color w:val="auto"/>
                <w:shd w:val="clear" w:color="auto" w:fill="auto"/>
              </w:rPr>
            </w:pPr>
            <w:r>
              <w:rPr>
                <w:rFonts w:hint="eastAsia" w:eastAsia="宋体" w:cs="Times New Roman"/>
                <w:color w:val="auto"/>
                <w:shd w:val="clear" w:color="auto" w:fill="auto"/>
              </w:rPr>
              <w:t>所在位置</w:t>
            </w:r>
          </w:p>
        </w:tc>
        <w:tc>
          <w:tcPr>
            <w:tcW w:w="1144" w:type="dxa"/>
            <w:tcBorders>
              <w:tl2br w:val="nil"/>
              <w:tr2bl w:val="nil"/>
            </w:tcBorders>
            <w:vAlign w:val="center"/>
          </w:tcPr>
          <w:p>
            <w:pPr>
              <w:pStyle w:val="44"/>
              <w:ind w:firstLine="0" w:firstLineChars="0"/>
              <w:rPr>
                <w:color w:val="auto"/>
                <w:shd w:val="clear" w:color="auto" w:fill="auto"/>
              </w:rPr>
            </w:pPr>
            <w:r>
              <w:rPr>
                <w:rFonts w:eastAsia="宋体" w:cs="Times New Roman"/>
                <w:color w:val="auto"/>
                <w:shd w:val="clear" w:color="auto" w:fill="auto"/>
              </w:rPr>
              <w:t>排放规律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tcBorders>
              <w:tl2br w:val="nil"/>
              <w:tr2bl w:val="nil"/>
            </w:tcBorders>
            <w:vAlign w:val="center"/>
          </w:tcPr>
          <w:p>
            <w:pPr>
              <w:pStyle w:val="44"/>
              <w:rPr>
                <w:rFonts w:eastAsia="宋体" w:cs="Times New Roman"/>
                <w:color w:val="auto"/>
                <w:shd w:val="clear" w:color="auto" w:fill="auto"/>
              </w:rPr>
            </w:pPr>
            <w:r>
              <w:rPr>
                <w:rFonts w:eastAsia="宋体" w:cs="Times New Roman"/>
                <w:color w:val="auto"/>
                <w:shd w:val="clear" w:color="auto" w:fill="auto"/>
              </w:rPr>
              <w:t>1</w:t>
            </w:r>
          </w:p>
        </w:tc>
        <w:tc>
          <w:tcPr>
            <w:tcW w:w="1827" w:type="dxa"/>
            <w:tcBorders>
              <w:tl2br w:val="nil"/>
              <w:tr2bl w:val="nil"/>
            </w:tcBorders>
            <w:vAlign w:val="center"/>
          </w:tcPr>
          <w:p>
            <w:pPr>
              <w:pStyle w:val="44"/>
              <w:rPr>
                <w:rFonts w:hint="eastAsia" w:eastAsia="宋体" w:cs="Times New Roman"/>
                <w:color w:val="auto"/>
                <w:shd w:val="clear" w:color="auto" w:fill="auto"/>
                <w:lang w:eastAsia="zh-CN"/>
              </w:rPr>
            </w:pPr>
            <w:r>
              <w:rPr>
                <w:rFonts w:hint="eastAsia" w:cs="Times New Roman"/>
                <w:color w:val="auto"/>
                <w:shd w:val="clear" w:color="auto" w:fill="auto"/>
                <w:lang w:val="en-US" w:eastAsia="zh-CN"/>
              </w:rPr>
              <w:t>10t-20</w:t>
            </w:r>
            <w:r>
              <w:rPr>
                <w:rFonts w:hint="eastAsia" w:cs="Times New Roman"/>
                <w:color w:val="auto"/>
                <w:shd w:val="clear" w:color="auto" w:fill="auto"/>
                <w:lang w:eastAsia="zh-CN"/>
              </w:rPr>
              <w:t>m</w:t>
            </w:r>
            <w:r>
              <w:rPr>
                <w:rFonts w:hint="eastAsia" w:eastAsia="宋体" w:cs="Times New Roman"/>
                <w:color w:val="auto"/>
                <w:shd w:val="clear" w:color="auto" w:fill="auto"/>
                <w:lang w:eastAsia="zh-CN"/>
              </w:rPr>
              <w:t>固定吊</w:t>
            </w:r>
          </w:p>
        </w:tc>
        <w:tc>
          <w:tcPr>
            <w:tcW w:w="876" w:type="dxa"/>
            <w:tcBorders>
              <w:tl2br w:val="nil"/>
              <w:tr2bl w:val="nil"/>
            </w:tcBorders>
            <w:vAlign w:val="center"/>
          </w:tcPr>
          <w:p>
            <w:pPr>
              <w:pStyle w:val="44"/>
              <w:rPr>
                <w:rFonts w:hint="eastAsia" w:eastAsia="宋体" w:cs="Times New Roman"/>
                <w:color w:val="auto"/>
                <w:shd w:val="clear" w:color="auto" w:fill="auto"/>
                <w:lang w:eastAsia="zh-CN"/>
              </w:rPr>
            </w:pPr>
            <w:r>
              <w:rPr>
                <w:rFonts w:hint="eastAsia" w:eastAsia="宋体" w:cs="Times New Roman"/>
                <w:color w:val="auto"/>
                <w:shd w:val="clear" w:color="auto" w:fill="auto"/>
                <w:lang w:val="en-US" w:eastAsia="zh-CN"/>
              </w:rPr>
              <w:t>6</w:t>
            </w:r>
          </w:p>
        </w:tc>
        <w:tc>
          <w:tcPr>
            <w:tcW w:w="1514" w:type="dxa"/>
            <w:tcBorders>
              <w:tl2br w:val="nil"/>
              <w:tr2bl w:val="nil"/>
            </w:tcBorders>
            <w:vAlign w:val="center"/>
          </w:tcPr>
          <w:p>
            <w:pPr>
              <w:pStyle w:val="44"/>
              <w:ind w:firstLine="0" w:firstLineChars="0"/>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85</w:t>
            </w:r>
          </w:p>
        </w:tc>
        <w:tc>
          <w:tcPr>
            <w:tcW w:w="1238" w:type="dxa"/>
            <w:tcBorders>
              <w:tl2br w:val="nil"/>
              <w:tr2bl w:val="nil"/>
            </w:tcBorders>
            <w:vAlign w:val="center"/>
          </w:tcPr>
          <w:p>
            <w:pPr>
              <w:pStyle w:val="44"/>
              <w:ind w:firstLine="0" w:firstLineChars="0"/>
              <w:rPr>
                <w:rFonts w:hint="default" w:cs="Times New Roman"/>
                <w:color w:val="auto"/>
                <w:shd w:val="clear" w:color="auto" w:fill="auto"/>
                <w:lang w:val="en-US" w:eastAsia="zh-CN"/>
              </w:rPr>
            </w:pPr>
            <w:r>
              <w:rPr>
                <w:rFonts w:hint="eastAsia" w:cs="Times New Roman"/>
                <w:color w:val="auto"/>
                <w:shd w:val="clear" w:color="auto" w:fill="auto"/>
                <w:lang w:val="en-US" w:eastAsia="zh-CN"/>
              </w:rPr>
              <w:t>30</w:t>
            </w:r>
          </w:p>
        </w:tc>
        <w:tc>
          <w:tcPr>
            <w:tcW w:w="1239" w:type="dxa"/>
            <w:tcBorders>
              <w:tl2br w:val="nil"/>
              <w:tr2bl w:val="nil"/>
            </w:tcBorders>
            <w:vAlign w:val="center"/>
          </w:tcPr>
          <w:p>
            <w:pPr>
              <w:spacing w:line="240" w:lineRule="auto"/>
              <w:ind w:firstLine="0" w:firstLineChars="0"/>
              <w:jc w:val="center"/>
              <w:rPr>
                <w:rFonts w:hint="eastAsia" w:eastAsia="宋体" w:cs="Times New Roman"/>
                <w:color w:val="auto"/>
                <w:shd w:val="clear" w:color="auto" w:fill="auto"/>
              </w:rPr>
            </w:pPr>
            <w:r>
              <w:rPr>
                <w:rFonts w:hint="eastAsia" w:ascii="宋体" w:hAnsi="宋体"/>
                <w:color w:val="auto"/>
                <w:sz w:val="21"/>
                <w:shd w:val="clear" w:color="auto" w:fill="auto"/>
                <w:lang w:eastAsia="zh-CN"/>
              </w:rPr>
              <w:t>散</w:t>
            </w:r>
            <w:r>
              <w:rPr>
                <w:rFonts w:hint="eastAsia" w:ascii="宋体" w:hAnsi="宋体"/>
                <w:color w:val="auto"/>
                <w:sz w:val="21"/>
                <w:shd w:val="clear" w:color="auto" w:fill="auto"/>
              </w:rPr>
              <w:t>货泊位</w:t>
            </w:r>
          </w:p>
        </w:tc>
        <w:tc>
          <w:tcPr>
            <w:tcW w:w="1144" w:type="dxa"/>
            <w:tcBorders>
              <w:tl2br w:val="nil"/>
              <w:tr2bl w:val="nil"/>
            </w:tcBorders>
            <w:vAlign w:val="center"/>
          </w:tcPr>
          <w:p>
            <w:pPr>
              <w:pStyle w:val="44"/>
              <w:ind w:firstLine="0" w:firstLineChars="0"/>
              <w:rPr>
                <w:color w:val="auto"/>
                <w:shd w:val="clear" w:color="auto" w:fill="auto"/>
              </w:rPr>
            </w:pPr>
            <w:r>
              <w:rPr>
                <w:rFonts w:hint="eastAsia" w:eastAsia="宋体" w:cs="Times New Roman"/>
                <w:color w:val="auto"/>
                <w:shd w:val="clear" w:color="auto" w:fill="auto"/>
              </w:rPr>
              <w:t>间断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tcBorders>
              <w:tl2br w:val="nil"/>
              <w:tr2bl w:val="nil"/>
            </w:tcBorders>
            <w:vAlign w:val="center"/>
          </w:tcPr>
          <w:p>
            <w:pPr>
              <w:pStyle w:val="44"/>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2</w:t>
            </w:r>
          </w:p>
        </w:tc>
        <w:tc>
          <w:tcPr>
            <w:tcW w:w="1827" w:type="dxa"/>
            <w:tcBorders>
              <w:tl2br w:val="nil"/>
              <w:tr2bl w:val="nil"/>
            </w:tcBorders>
            <w:vAlign w:val="center"/>
          </w:tcPr>
          <w:p>
            <w:pPr>
              <w:pStyle w:val="44"/>
              <w:rPr>
                <w:rFonts w:hint="default" w:eastAsia="宋体" w:cs="Times New Roman"/>
                <w:color w:val="auto"/>
                <w:shd w:val="clear" w:color="auto" w:fill="auto"/>
                <w:lang w:val="en-US" w:eastAsia="zh-CN"/>
              </w:rPr>
            </w:pPr>
            <w:r>
              <w:rPr>
                <w:rFonts w:hint="default" w:eastAsia="宋体" w:cs="Times New Roman"/>
                <w:color w:val="auto"/>
                <w:shd w:val="clear" w:color="auto" w:fill="auto"/>
                <w:lang w:val="en-US" w:eastAsia="zh-CN"/>
              </w:rPr>
              <w:t>运输载重车辆</w:t>
            </w:r>
          </w:p>
        </w:tc>
        <w:tc>
          <w:tcPr>
            <w:tcW w:w="876" w:type="dxa"/>
            <w:tcBorders>
              <w:tl2br w:val="nil"/>
              <w:tr2bl w:val="nil"/>
            </w:tcBorders>
            <w:vAlign w:val="center"/>
          </w:tcPr>
          <w:p>
            <w:pPr>
              <w:pStyle w:val="44"/>
              <w:rPr>
                <w:rFonts w:hint="default" w:eastAsia="宋体" w:cs="Times New Roman"/>
                <w:color w:val="auto"/>
                <w:shd w:val="clear" w:color="auto" w:fill="auto"/>
                <w:lang w:val="en-US" w:eastAsia="zh-CN"/>
              </w:rPr>
            </w:pPr>
            <w:r>
              <w:rPr>
                <w:rFonts w:hint="eastAsia" w:eastAsia="宋体" w:cs="Times New Roman"/>
                <w:color w:val="auto"/>
                <w:shd w:val="clear" w:color="auto" w:fill="auto"/>
                <w:lang w:val="en-US" w:eastAsia="zh-CN"/>
              </w:rPr>
              <w:t>9</w:t>
            </w:r>
            <w:r>
              <w:rPr>
                <w:rFonts w:hint="default" w:eastAsia="宋体" w:cs="Times New Roman"/>
                <w:color w:val="auto"/>
                <w:shd w:val="clear" w:color="auto" w:fill="auto"/>
                <w:lang w:val="en-US" w:eastAsia="zh-CN"/>
              </w:rPr>
              <w:t>辆/h</w:t>
            </w:r>
          </w:p>
        </w:tc>
        <w:tc>
          <w:tcPr>
            <w:tcW w:w="1514" w:type="dxa"/>
            <w:tcBorders>
              <w:tl2br w:val="nil"/>
              <w:tr2bl w:val="nil"/>
            </w:tcBorders>
            <w:vAlign w:val="center"/>
          </w:tcPr>
          <w:p>
            <w:pPr>
              <w:pStyle w:val="44"/>
              <w:ind w:firstLine="0" w:firstLineChars="0"/>
              <w:rPr>
                <w:rFonts w:hint="default" w:eastAsia="宋体" w:cs="Times New Roman"/>
                <w:color w:val="auto"/>
                <w:shd w:val="clear" w:color="auto" w:fill="auto"/>
                <w:lang w:val="en-US" w:eastAsia="zh-CN"/>
              </w:rPr>
            </w:pPr>
            <w:r>
              <w:rPr>
                <w:rFonts w:hint="default" w:eastAsia="宋体" w:cs="Times New Roman"/>
                <w:color w:val="auto"/>
                <w:shd w:val="clear" w:color="auto" w:fill="auto"/>
                <w:lang w:val="en-US" w:eastAsia="zh-CN"/>
              </w:rPr>
              <w:t>75～8</w:t>
            </w:r>
            <w:r>
              <w:rPr>
                <w:rFonts w:hint="eastAsia" w:eastAsia="宋体" w:cs="Times New Roman"/>
                <w:color w:val="auto"/>
                <w:shd w:val="clear" w:color="auto" w:fill="auto"/>
                <w:lang w:val="en-US" w:eastAsia="zh-CN"/>
              </w:rPr>
              <w:t>0</w:t>
            </w:r>
          </w:p>
        </w:tc>
        <w:tc>
          <w:tcPr>
            <w:tcW w:w="1238" w:type="dxa"/>
            <w:tcBorders>
              <w:tl2br w:val="nil"/>
              <w:tr2bl w:val="nil"/>
            </w:tcBorders>
            <w:vAlign w:val="center"/>
          </w:tcPr>
          <w:p>
            <w:pPr>
              <w:pStyle w:val="44"/>
              <w:ind w:firstLine="0" w:firstLineChars="0"/>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6</w:t>
            </w:r>
          </w:p>
        </w:tc>
        <w:tc>
          <w:tcPr>
            <w:tcW w:w="1239" w:type="dxa"/>
            <w:tcBorders>
              <w:tl2br w:val="nil"/>
              <w:tr2bl w:val="nil"/>
            </w:tcBorders>
            <w:vAlign w:val="center"/>
          </w:tcPr>
          <w:p>
            <w:pPr>
              <w:pStyle w:val="44"/>
              <w:rPr>
                <w:rFonts w:hint="default" w:eastAsia="宋体" w:cs="Times New Roman"/>
                <w:color w:val="auto"/>
                <w:shd w:val="clear" w:color="auto" w:fill="auto"/>
                <w:lang w:val="en-US" w:eastAsia="zh-CN"/>
              </w:rPr>
            </w:pPr>
            <w:r>
              <w:rPr>
                <w:rFonts w:hint="eastAsia" w:eastAsia="宋体" w:cs="Times New Roman"/>
                <w:color w:val="auto"/>
                <w:shd w:val="clear" w:color="auto" w:fill="auto"/>
                <w:lang w:val="en-US" w:eastAsia="zh-CN"/>
              </w:rPr>
              <w:t>港区道路</w:t>
            </w:r>
          </w:p>
        </w:tc>
        <w:tc>
          <w:tcPr>
            <w:tcW w:w="1144" w:type="dxa"/>
            <w:tcBorders>
              <w:tl2br w:val="nil"/>
              <w:tr2bl w:val="nil"/>
            </w:tcBorders>
            <w:vAlign w:val="center"/>
          </w:tcPr>
          <w:p>
            <w:pPr>
              <w:pStyle w:val="44"/>
              <w:ind w:firstLine="0" w:firstLineChars="0"/>
              <w:rPr>
                <w:color w:val="auto"/>
                <w:shd w:val="clear" w:color="auto" w:fill="auto"/>
              </w:rPr>
            </w:pPr>
            <w:r>
              <w:rPr>
                <w:rFonts w:eastAsia="宋体" w:cs="Times New Roman"/>
                <w:color w:val="auto"/>
                <w:shd w:val="clear" w:color="auto" w:fill="auto"/>
              </w:rPr>
              <w:t>间断</w:t>
            </w:r>
          </w:p>
        </w:tc>
      </w:tr>
    </w:tbl>
    <w:p>
      <w:pPr>
        <w:pStyle w:val="6"/>
        <w:bidi w:val="0"/>
        <w:rPr>
          <w:rFonts w:hint="eastAsia"/>
          <w:lang w:val="en-US" w:eastAsia="zh-CN"/>
        </w:rPr>
      </w:pPr>
      <w:r>
        <w:rPr>
          <w:rFonts w:hint="eastAsia"/>
          <w:lang w:val="en-US" w:eastAsia="zh-CN"/>
        </w:rPr>
        <w:t>4.3.3.2预测点布设</w:t>
      </w:r>
    </w:p>
    <w:p>
      <w:pPr>
        <w:pStyle w:val="2"/>
        <w:rPr>
          <w:rFonts w:hint="eastAsia"/>
          <w:color w:val="auto"/>
          <w:shd w:val="clear" w:color="auto" w:fill="auto"/>
          <w:lang w:val="en-US" w:eastAsia="zh-CN"/>
        </w:rPr>
      </w:pPr>
      <w:r>
        <w:rPr>
          <w:rFonts w:hint="eastAsia"/>
          <w:color w:val="auto"/>
          <w:shd w:val="clear" w:color="auto" w:fill="auto"/>
          <w:lang w:val="en-US" w:eastAsia="zh-CN"/>
        </w:rPr>
        <w:t>本项目声环境现状评价中分别在拟建项目东、南、西、北厂界以及后陶桥各布置一个监测点，噪声环境影响预测评价的各受点原则上与现状监测点的同一位置，并根据噪声最大影响点的位置进行适当调整，厂界预测点位于厂界外1m，离地面高度1.2m处。</w:t>
      </w:r>
    </w:p>
    <w:p>
      <w:pPr>
        <w:pStyle w:val="6"/>
        <w:bidi w:val="0"/>
        <w:rPr>
          <w:rFonts w:hint="eastAsia"/>
          <w:lang w:val="en-US" w:eastAsia="zh-CN"/>
        </w:rPr>
      </w:pPr>
      <w:r>
        <w:rPr>
          <w:rFonts w:hint="eastAsia"/>
          <w:lang w:val="en-US" w:eastAsia="zh-CN"/>
        </w:rPr>
        <w:t>4.3.3.3预测模式</w:t>
      </w:r>
    </w:p>
    <w:p>
      <w:pPr>
        <w:ind w:left="0" w:leftChars="0" w:firstLine="480" w:firstLineChars="200"/>
        <w:rPr>
          <w:color w:val="auto"/>
          <w:shd w:val="clear" w:color="auto" w:fill="auto"/>
        </w:rPr>
      </w:pPr>
      <w:r>
        <w:rPr>
          <w:rFonts w:hint="eastAsia"/>
          <w:color w:val="auto"/>
          <w:shd w:val="clear" w:color="auto" w:fill="auto"/>
        </w:rPr>
        <w:t>根据《环境影响评价技术导则</w:t>
      </w:r>
      <w:r>
        <w:rPr>
          <w:rFonts w:hint="eastAsia"/>
          <w:color w:val="auto"/>
          <w:shd w:val="clear" w:color="auto" w:fill="auto"/>
          <w:lang w:val="en-US" w:eastAsia="zh-CN"/>
        </w:rPr>
        <w:t xml:space="preserve">  </w:t>
      </w:r>
      <w:r>
        <w:rPr>
          <w:rFonts w:hint="eastAsia"/>
          <w:color w:val="auto"/>
          <w:shd w:val="clear" w:color="auto" w:fill="auto"/>
        </w:rPr>
        <w:t>声环境》（HJ2.4－2009）、《港口建设项目环境影响评价规范》（JTS105-1-2011）、《内河航运建设项目环境影响评价规范》（JTJ227-2001），本项目噪声源主要为码头区域的</w:t>
      </w:r>
      <w:r>
        <w:rPr>
          <w:rFonts w:hint="eastAsia"/>
          <w:color w:val="auto"/>
          <w:shd w:val="clear" w:color="auto" w:fill="auto"/>
          <w:lang w:eastAsia="zh-CN"/>
        </w:rPr>
        <w:t>抓斗固定吊和</w:t>
      </w:r>
      <w:r>
        <w:rPr>
          <w:rFonts w:hint="eastAsia"/>
          <w:color w:val="auto"/>
          <w:shd w:val="clear" w:color="auto" w:fill="auto"/>
        </w:rPr>
        <w:t>运输</w:t>
      </w:r>
      <w:r>
        <w:rPr>
          <w:rFonts w:hint="eastAsia"/>
          <w:color w:val="auto"/>
          <w:shd w:val="clear" w:color="auto" w:fill="auto"/>
          <w:lang w:eastAsia="zh-CN"/>
        </w:rPr>
        <w:t>载重汽车</w:t>
      </w:r>
      <w:r>
        <w:rPr>
          <w:rFonts w:hint="eastAsia"/>
          <w:color w:val="auto"/>
          <w:shd w:val="clear" w:color="auto" w:fill="auto"/>
        </w:rPr>
        <w:t>，由于项目区空旷，本次预测未考虑其他因素的衰减，主要考虑距离衰减，预测模式如下：</w:t>
      </w:r>
    </w:p>
    <w:p>
      <w:pPr>
        <w:ind w:firstLine="480"/>
        <w:rPr>
          <w:color w:val="auto"/>
          <w:shd w:val="clear" w:color="auto" w:fill="auto"/>
        </w:rPr>
      </w:pPr>
      <w:r>
        <w:rPr>
          <w:color w:val="auto"/>
          <w:shd w:val="clear" w:color="auto" w:fill="auto"/>
        </w:rPr>
        <w:t>（1）点声源衰减模式如下：</w:t>
      </w:r>
    </w:p>
    <w:p>
      <w:pPr>
        <w:pStyle w:val="64"/>
        <w:spacing w:before="93" w:after="93"/>
        <w:ind w:left="0" w:leftChars="0" w:right="-60" w:firstLine="0" w:firstLineChars="0"/>
        <w:rPr>
          <w:rFonts w:ascii="Times New Roman" w:cs="Times New Roman"/>
          <w:color w:val="auto"/>
          <w:shd w:val="clear" w:color="auto" w:fill="auto"/>
        </w:rPr>
      </w:pPr>
      <w:r>
        <w:rPr>
          <w:rFonts w:ascii="Times New Roman" w:cs="Times New Roman"/>
          <w:color w:val="auto"/>
          <w:shd w:val="clear" w:color="auto" w:fill="auto"/>
        </w:rPr>
        <w:drawing>
          <wp:inline distT="0" distB="0" distL="114300" distR="114300">
            <wp:extent cx="2257425" cy="428625"/>
            <wp:effectExtent l="0" t="0" r="9525" b="9525"/>
            <wp:docPr id="4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9"/>
                    <pic:cNvPicPr>
                      <a:picLocks noChangeAspect="1"/>
                    </pic:cNvPicPr>
                  </pic:nvPicPr>
                  <pic:blipFill>
                    <a:blip r:embed="rId61"/>
                    <a:srcRect t="18182"/>
                    <a:stretch>
                      <a:fillRect/>
                    </a:stretch>
                  </pic:blipFill>
                  <pic:spPr>
                    <a:xfrm>
                      <a:off x="0" y="0"/>
                      <a:ext cx="2257425" cy="428625"/>
                    </a:xfrm>
                    <a:prstGeom prst="rect">
                      <a:avLst/>
                    </a:prstGeom>
                    <a:noFill/>
                    <a:ln w="9525">
                      <a:noFill/>
                    </a:ln>
                  </pic:spPr>
                </pic:pic>
              </a:graphicData>
            </a:graphic>
          </wp:inline>
        </w:drawing>
      </w:r>
    </w:p>
    <w:p>
      <w:pPr>
        <w:ind w:firstLine="480"/>
        <w:jc w:val="left"/>
        <w:rPr>
          <w:rFonts w:cs="Times New Roman"/>
          <w:color w:val="auto"/>
          <w:kern w:val="0"/>
          <w:shd w:val="clear" w:color="auto" w:fill="auto"/>
        </w:rPr>
      </w:pPr>
      <w:r>
        <w:rPr>
          <w:rFonts w:cs="Times New Roman"/>
          <w:color w:val="auto"/>
          <w:kern w:val="0"/>
          <w:shd w:val="clear" w:color="auto" w:fill="auto"/>
        </w:rPr>
        <w:t>式中：</w:t>
      </w:r>
    </w:p>
    <w:p>
      <w:pPr>
        <w:ind w:firstLine="480"/>
        <w:jc w:val="left"/>
        <w:rPr>
          <w:rFonts w:cs="Times New Roman"/>
          <w:color w:val="auto"/>
          <w:kern w:val="0"/>
          <w:shd w:val="clear" w:color="auto" w:fill="auto"/>
        </w:rPr>
      </w:pPr>
      <w:r>
        <w:rPr>
          <w:rFonts w:cs="Times New Roman"/>
          <w:color w:val="auto"/>
          <w:kern w:val="0"/>
          <w:shd w:val="clear" w:color="auto" w:fill="auto"/>
        </w:rPr>
        <w:t>L</w:t>
      </w:r>
      <w:r>
        <w:rPr>
          <w:rFonts w:cs="Times New Roman"/>
          <w:color w:val="auto"/>
          <w:kern w:val="0"/>
          <w:shd w:val="clear" w:color="auto" w:fill="auto"/>
          <w:vertAlign w:val="subscript"/>
        </w:rPr>
        <w:t>A</w:t>
      </w:r>
      <w:r>
        <w:rPr>
          <w:rFonts w:cs="Times New Roman"/>
          <w:color w:val="auto"/>
          <w:kern w:val="0"/>
          <w:shd w:val="clear" w:color="auto" w:fill="auto"/>
        </w:rPr>
        <w:t>（r）</w:t>
      </w:r>
      <w:r>
        <w:rPr>
          <w:rFonts w:hint="eastAsia" w:cs="Times New Roman"/>
          <w:color w:val="auto"/>
          <w:kern w:val="0"/>
          <w:shd w:val="clear" w:color="auto" w:fill="auto"/>
        </w:rPr>
        <w:t xml:space="preserve">— </w:t>
      </w:r>
      <w:r>
        <w:rPr>
          <w:rFonts w:cs="Times New Roman"/>
          <w:color w:val="auto"/>
          <w:kern w:val="0"/>
          <w:shd w:val="clear" w:color="auto" w:fill="auto"/>
        </w:rPr>
        <w:t>距声源r 处的声级，dB（A）；</w:t>
      </w:r>
    </w:p>
    <w:p>
      <w:pPr>
        <w:ind w:firstLine="480"/>
        <w:jc w:val="left"/>
        <w:rPr>
          <w:rFonts w:cs="Times New Roman"/>
          <w:color w:val="auto"/>
          <w:kern w:val="0"/>
          <w:shd w:val="clear" w:color="auto" w:fill="auto"/>
        </w:rPr>
      </w:pPr>
      <w:r>
        <w:rPr>
          <w:rFonts w:cs="Times New Roman"/>
          <w:color w:val="auto"/>
          <w:kern w:val="0"/>
          <w:shd w:val="clear" w:color="auto" w:fill="auto"/>
        </w:rPr>
        <w:t>L</w:t>
      </w:r>
      <w:r>
        <w:rPr>
          <w:rFonts w:cs="Times New Roman"/>
          <w:color w:val="auto"/>
          <w:kern w:val="0"/>
          <w:shd w:val="clear" w:color="auto" w:fill="auto"/>
          <w:vertAlign w:val="subscript"/>
        </w:rPr>
        <w:t>A</w:t>
      </w:r>
      <w:r>
        <w:rPr>
          <w:rFonts w:cs="Times New Roman"/>
          <w:color w:val="auto"/>
          <w:kern w:val="0"/>
          <w:shd w:val="clear" w:color="auto" w:fill="auto"/>
        </w:rPr>
        <w:t>（r</w:t>
      </w:r>
      <w:r>
        <w:rPr>
          <w:rFonts w:cs="Times New Roman"/>
          <w:color w:val="auto"/>
          <w:kern w:val="0"/>
          <w:shd w:val="clear" w:color="auto" w:fill="auto"/>
          <w:vertAlign w:val="subscript"/>
        </w:rPr>
        <w:t>0</w:t>
      </w:r>
      <w:r>
        <w:rPr>
          <w:rFonts w:cs="Times New Roman"/>
          <w:color w:val="auto"/>
          <w:kern w:val="0"/>
          <w:shd w:val="clear" w:color="auto" w:fill="auto"/>
        </w:rPr>
        <w:t>）</w:t>
      </w:r>
      <w:r>
        <w:rPr>
          <w:rFonts w:hint="eastAsia" w:cs="Times New Roman"/>
          <w:color w:val="auto"/>
          <w:kern w:val="0"/>
          <w:shd w:val="clear" w:color="auto" w:fill="auto"/>
        </w:rPr>
        <w:t xml:space="preserve">— </w:t>
      </w:r>
      <w:r>
        <w:rPr>
          <w:rFonts w:cs="Times New Roman"/>
          <w:color w:val="auto"/>
          <w:kern w:val="0"/>
          <w:shd w:val="clear" w:color="auto" w:fill="auto"/>
        </w:rPr>
        <w:t>参考位置r</w:t>
      </w:r>
      <w:r>
        <w:rPr>
          <w:rFonts w:cs="Times New Roman"/>
          <w:color w:val="auto"/>
          <w:kern w:val="0"/>
          <w:shd w:val="clear" w:color="auto" w:fill="auto"/>
          <w:vertAlign w:val="subscript"/>
        </w:rPr>
        <w:t>0</w:t>
      </w:r>
      <w:r>
        <w:rPr>
          <w:rFonts w:cs="Times New Roman"/>
          <w:color w:val="auto"/>
          <w:kern w:val="0"/>
          <w:shd w:val="clear" w:color="auto" w:fill="auto"/>
        </w:rPr>
        <w:t>处的声级，dB（A）；</w:t>
      </w:r>
    </w:p>
    <w:p>
      <w:pPr>
        <w:ind w:firstLine="480"/>
        <w:jc w:val="left"/>
        <w:rPr>
          <w:rFonts w:cs="Times New Roman"/>
          <w:color w:val="auto"/>
          <w:kern w:val="0"/>
          <w:shd w:val="clear" w:color="auto" w:fill="auto"/>
        </w:rPr>
      </w:pPr>
      <w:r>
        <w:rPr>
          <w:rFonts w:cs="Times New Roman"/>
          <w:color w:val="auto"/>
          <w:kern w:val="0"/>
          <w:shd w:val="clear" w:color="auto" w:fill="auto"/>
        </w:rPr>
        <w:t>R</w:t>
      </w:r>
      <w:r>
        <w:rPr>
          <w:rFonts w:hint="eastAsia" w:cs="Times New Roman"/>
          <w:color w:val="auto"/>
          <w:kern w:val="0"/>
          <w:shd w:val="clear" w:color="auto" w:fill="auto"/>
        </w:rPr>
        <w:t xml:space="preserve">— </w:t>
      </w:r>
      <w:r>
        <w:rPr>
          <w:rFonts w:cs="Times New Roman"/>
          <w:color w:val="auto"/>
          <w:kern w:val="0"/>
          <w:shd w:val="clear" w:color="auto" w:fill="auto"/>
        </w:rPr>
        <w:t>预测点与点声源之间的距离（</w:t>
      </w:r>
      <w:r>
        <w:rPr>
          <w:rFonts w:hint="eastAsia" w:cs="Times New Roman"/>
          <w:color w:val="auto"/>
          <w:kern w:val="0"/>
          <w:shd w:val="clear" w:color="auto" w:fill="auto"/>
          <w:lang w:eastAsia="zh-CN"/>
        </w:rPr>
        <w:t>m</w:t>
      </w:r>
      <w:r>
        <w:rPr>
          <w:rFonts w:cs="Times New Roman"/>
          <w:color w:val="auto"/>
          <w:kern w:val="0"/>
          <w:shd w:val="clear" w:color="auto" w:fill="auto"/>
        </w:rPr>
        <w:t>）；</w:t>
      </w:r>
    </w:p>
    <w:p>
      <w:pPr>
        <w:pStyle w:val="64"/>
        <w:adjustRightInd/>
        <w:snapToGrid/>
        <w:spacing w:beforeLines="0" w:afterLines="0"/>
        <w:ind w:left="0" w:leftChars="0" w:right="0" w:rightChars="0" w:firstLine="480"/>
        <w:jc w:val="both"/>
        <w:textAlignment w:val="auto"/>
        <w:rPr>
          <w:rFonts w:ascii="Times New Roman" w:cs="Times New Roman"/>
          <w:color w:val="auto"/>
          <w:shd w:val="clear" w:color="auto" w:fill="auto"/>
        </w:rPr>
      </w:pPr>
      <w:r>
        <w:rPr>
          <w:rFonts w:ascii="Times New Roman" w:cs="Times New Roman"/>
          <w:color w:val="auto"/>
          <w:shd w:val="clear" w:color="auto" w:fill="auto"/>
        </w:rPr>
        <w:t>r</w:t>
      </w:r>
      <w:r>
        <w:rPr>
          <w:rFonts w:ascii="Times New Roman" w:cs="Times New Roman"/>
          <w:color w:val="auto"/>
          <w:shd w:val="clear" w:color="auto" w:fill="auto"/>
          <w:vertAlign w:val="subscript"/>
        </w:rPr>
        <w:t>0</w:t>
      </w:r>
      <w:r>
        <w:rPr>
          <w:rFonts w:hint="eastAsia" w:ascii="Times New Roman" w:cs="Times New Roman"/>
          <w:color w:val="auto"/>
          <w:shd w:val="clear" w:color="auto" w:fill="auto"/>
        </w:rPr>
        <w:t xml:space="preserve">— </w:t>
      </w:r>
      <w:r>
        <w:rPr>
          <w:rFonts w:ascii="Times New Roman" w:cs="Times New Roman"/>
          <w:color w:val="auto"/>
          <w:shd w:val="clear" w:color="auto" w:fill="auto"/>
        </w:rPr>
        <w:t>参考位置与点声源之间的距离（</w:t>
      </w:r>
      <w:r>
        <w:rPr>
          <w:rFonts w:hint="eastAsia" w:ascii="Times New Roman" w:cs="Times New Roman"/>
          <w:color w:val="auto"/>
          <w:shd w:val="clear" w:color="auto" w:fill="auto"/>
          <w:lang w:eastAsia="zh-CN"/>
        </w:rPr>
        <w:t>m</w:t>
      </w:r>
      <w:r>
        <w:rPr>
          <w:rFonts w:ascii="Times New Roman" w:cs="Times New Roman"/>
          <w:color w:val="auto"/>
          <w:shd w:val="clear" w:color="auto" w:fill="auto"/>
        </w:rPr>
        <w:t>）；</w:t>
      </w:r>
    </w:p>
    <w:p>
      <w:pPr>
        <w:ind w:firstLine="480"/>
        <w:rPr>
          <w:color w:val="auto"/>
          <w:shd w:val="clear" w:color="auto" w:fill="auto"/>
        </w:rPr>
      </w:pPr>
      <w:r>
        <w:rPr>
          <w:color w:val="auto"/>
          <w:shd w:val="clear" w:color="auto" w:fill="auto"/>
        </w:rPr>
        <w:t>（2）等效声级</w:t>
      </w:r>
      <w:r>
        <w:rPr>
          <w:rFonts w:hint="eastAsia"/>
          <w:color w:val="auto"/>
          <w:shd w:val="clear" w:color="auto" w:fill="auto"/>
        </w:rPr>
        <w:t>贡献值计算公式：</w:t>
      </w:r>
    </w:p>
    <w:p>
      <w:pPr>
        <w:pStyle w:val="64"/>
        <w:spacing w:before="93" w:after="93"/>
        <w:ind w:left="0" w:leftChars="0" w:right="-60" w:firstLine="0" w:firstLineChars="0"/>
        <w:rPr>
          <w:color w:val="auto"/>
          <w:shd w:val="clear" w:color="auto" w:fill="auto"/>
        </w:rPr>
      </w:pPr>
      <w:r>
        <w:rPr>
          <w:color w:val="auto"/>
          <w:shd w:val="clear" w:color="auto" w:fill="auto"/>
        </w:rPr>
        <w:drawing>
          <wp:inline distT="0" distB="0" distL="114300" distR="114300">
            <wp:extent cx="2066925" cy="495300"/>
            <wp:effectExtent l="0" t="0" r="9525" b="0"/>
            <wp:docPr id="4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0"/>
                    <pic:cNvPicPr>
                      <a:picLocks noChangeAspect="1"/>
                    </pic:cNvPicPr>
                  </pic:nvPicPr>
                  <pic:blipFill>
                    <a:blip r:embed="rId62"/>
                    <a:srcRect t="8064" b="8064"/>
                    <a:stretch>
                      <a:fillRect/>
                    </a:stretch>
                  </pic:blipFill>
                  <pic:spPr>
                    <a:xfrm>
                      <a:off x="0" y="0"/>
                      <a:ext cx="2066925" cy="495300"/>
                    </a:xfrm>
                    <a:prstGeom prst="rect">
                      <a:avLst/>
                    </a:prstGeom>
                    <a:noFill/>
                    <a:ln w="9525">
                      <a:noFill/>
                    </a:ln>
                  </pic:spPr>
                </pic:pic>
              </a:graphicData>
            </a:graphic>
          </wp:inline>
        </w:drawing>
      </w:r>
    </w:p>
    <w:p>
      <w:pPr>
        <w:ind w:firstLine="480"/>
        <w:jc w:val="left"/>
        <w:rPr>
          <w:rFonts w:hAnsi="宋体"/>
          <w:color w:val="auto"/>
          <w:kern w:val="0"/>
          <w:shd w:val="clear" w:color="auto" w:fill="auto"/>
        </w:rPr>
      </w:pPr>
      <w:r>
        <w:rPr>
          <w:rFonts w:hint="eastAsia" w:hAnsi="宋体"/>
          <w:color w:val="auto"/>
          <w:kern w:val="0"/>
          <w:shd w:val="clear" w:color="auto" w:fill="auto"/>
        </w:rPr>
        <w:t>式中：</w:t>
      </w:r>
    </w:p>
    <w:p>
      <w:pPr>
        <w:ind w:firstLine="480"/>
        <w:jc w:val="left"/>
        <w:rPr>
          <w:rFonts w:hAnsi="宋体"/>
          <w:color w:val="auto"/>
          <w:kern w:val="0"/>
          <w:shd w:val="clear" w:color="auto" w:fill="auto"/>
        </w:rPr>
      </w:pPr>
      <w:r>
        <w:rPr>
          <w:rFonts w:hint="eastAsia" w:hAnsi="宋体"/>
          <w:color w:val="auto"/>
          <w:kern w:val="0"/>
          <w:shd w:val="clear" w:color="auto" w:fill="auto"/>
        </w:rPr>
        <w:t>L</w:t>
      </w:r>
      <w:r>
        <w:rPr>
          <w:rFonts w:hint="eastAsia" w:hAnsi="宋体"/>
          <w:color w:val="auto"/>
          <w:kern w:val="0"/>
          <w:shd w:val="clear" w:color="auto" w:fill="auto"/>
          <w:vertAlign w:val="subscript"/>
        </w:rPr>
        <w:t xml:space="preserve">eqg </w:t>
      </w:r>
      <w:r>
        <w:rPr>
          <w:rFonts w:hint="eastAsia" w:hAnsi="宋体"/>
          <w:color w:val="auto"/>
          <w:kern w:val="0"/>
          <w:shd w:val="clear" w:color="auto" w:fill="auto"/>
        </w:rPr>
        <w:t>— 建设项目声源在预测点的等效声级贡献值，dB(A)；</w:t>
      </w:r>
    </w:p>
    <w:p>
      <w:pPr>
        <w:ind w:firstLine="480"/>
        <w:jc w:val="left"/>
        <w:rPr>
          <w:rFonts w:hAnsi="宋体"/>
          <w:color w:val="auto"/>
          <w:kern w:val="0"/>
          <w:shd w:val="clear" w:color="auto" w:fill="auto"/>
        </w:rPr>
      </w:pPr>
      <w:r>
        <w:rPr>
          <w:rFonts w:hint="eastAsia" w:hAnsi="宋体"/>
          <w:color w:val="auto"/>
          <w:kern w:val="0"/>
          <w:shd w:val="clear" w:color="auto" w:fill="auto"/>
        </w:rPr>
        <w:t>L</w:t>
      </w:r>
      <w:r>
        <w:rPr>
          <w:rFonts w:hint="eastAsia" w:hAnsi="宋体"/>
          <w:color w:val="auto"/>
          <w:kern w:val="0"/>
          <w:shd w:val="clear" w:color="auto" w:fill="auto"/>
          <w:vertAlign w:val="subscript"/>
        </w:rPr>
        <w:t xml:space="preserve">Ai </w:t>
      </w:r>
      <w:r>
        <w:rPr>
          <w:rFonts w:hint="eastAsia" w:hAnsi="宋体"/>
          <w:color w:val="auto"/>
          <w:kern w:val="0"/>
          <w:shd w:val="clear" w:color="auto" w:fill="auto"/>
        </w:rPr>
        <w:t>— i声源在预测点产生的A 声级，dB(A)；</w:t>
      </w:r>
    </w:p>
    <w:p>
      <w:pPr>
        <w:ind w:firstLine="480"/>
        <w:jc w:val="left"/>
        <w:rPr>
          <w:rFonts w:hAnsi="宋体"/>
          <w:color w:val="auto"/>
          <w:kern w:val="0"/>
          <w:shd w:val="clear" w:color="auto" w:fill="auto"/>
        </w:rPr>
      </w:pPr>
      <w:r>
        <w:rPr>
          <w:rFonts w:hint="eastAsia" w:hAnsi="宋体"/>
          <w:color w:val="auto"/>
          <w:kern w:val="0"/>
          <w:shd w:val="clear" w:color="auto" w:fill="auto"/>
        </w:rPr>
        <w:t>T — 预测计算的时间段，s；</w:t>
      </w:r>
    </w:p>
    <w:p>
      <w:pPr>
        <w:ind w:firstLine="480"/>
        <w:jc w:val="left"/>
        <w:rPr>
          <w:rFonts w:hAnsi="宋体"/>
          <w:color w:val="auto"/>
          <w:kern w:val="0"/>
          <w:shd w:val="clear" w:color="auto" w:fill="auto"/>
        </w:rPr>
      </w:pPr>
      <w:r>
        <w:rPr>
          <w:rFonts w:hint="eastAsia" w:hAnsi="宋体"/>
          <w:color w:val="auto"/>
          <w:kern w:val="0"/>
          <w:shd w:val="clear" w:color="auto" w:fill="auto"/>
        </w:rPr>
        <w:t>ti — i 声源在T 时段内的运行时间，s。</w:t>
      </w:r>
    </w:p>
    <w:p>
      <w:pPr>
        <w:pStyle w:val="64"/>
        <w:adjustRightInd/>
        <w:snapToGrid/>
        <w:spacing w:before="93" w:after="93"/>
        <w:ind w:left="0" w:leftChars="0" w:right="0" w:rightChars="0" w:firstLine="480"/>
        <w:jc w:val="both"/>
        <w:textAlignment w:val="auto"/>
        <w:rPr>
          <w:rFonts w:ascii="Times New Roman" w:eastAsia="SimSun-Identity-H" w:cs="Times New Roman"/>
          <w:color w:val="auto"/>
          <w:shd w:val="clear" w:color="auto" w:fill="auto"/>
        </w:rPr>
      </w:pPr>
      <w:r>
        <w:rPr>
          <w:rFonts w:hint="eastAsia" w:ascii="Times New Roman" w:eastAsia="SimSun-Identity-H" w:cs="Times New Roman"/>
          <w:color w:val="auto"/>
          <w:shd w:val="clear" w:color="auto" w:fill="auto"/>
        </w:rPr>
        <w:t>（3）预测点的预测等效声级(Leq )计算公式</w:t>
      </w:r>
    </w:p>
    <w:p>
      <w:pPr>
        <w:pStyle w:val="64"/>
        <w:spacing w:before="93" w:after="93"/>
        <w:ind w:left="0" w:leftChars="0" w:right="-60" w:firstLine="0" w:firstLineChars="0"/>
        <w:rPr>
          <w:color w:val="auto"/>
          <w:shd w:val="clear" w:color="auto" w:fill="auto"/>
        </w:rPr>
      </w:pPr>
      <w:r>
        <w:rPr>
          <w:color w:val="auto"/>
          <w:shd w:val="clear" w:color="auto" w:fill="auto"/>
        </w:rPr>
        <w:drawing>
          <wp:inline distT="0" distB="0" distL="114300" distR="114300">
            <wp:extent cx="2219325" cy="400050"/>
            <wp:effectExtent l="0" t="0" r="9525" b="0"/>
            <wp:docPr id="4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1"/>
                    <pic:cNvPicPr>
                      <a:picLocks noChangeAspect="1"/>
                    </pic:cNvPicPr>
                  </pic:nvPicPr>
                  <pic:blipFill>
                    <a:blip r:embed="rId63"/>
                    <a:stretch>
                      <a:fillRect/>
                    </a:stretch>
                  </pic:blipFill>
                  <pic:spPr>
                    <a:xfrm>
                      <a:off x="0" y="0"/>
                      <a:ext cx="2219325" cy="400050"/>
                    </a:xfrm>
                    <a:prstGeom prst="rect">
                      <a:avLst/>
                    </a:prstGeom>
                    <a:noFill/>
                    <a:ln w="9525">
                      <a:noFill/>
                    </a:ln>
                  </pic:spPr>
                </pic:pic>
              </a:graphicData>
            </a:graphic>
          </wp:inline>
        </w:drawing>
      </w:r>
    </w:p>
    <w:p>
      <w:pPr>
        <w:ind w:firstLine="480"/>
        <w:rPr>
          <w:color w:val="auto"/>
          <w:shd w:val="clear" w:color="auto" w:fill="auto"/>
        </w:rPr>
      </w:pPr>
      <w:r>
        <w:rPr>
          <w:rFonts w:hint="eastAsia"/>
          <w:color w:val="auto"/>
          <w:shd w:val="clear" w:color="auto" w:fill="auto"/>
        </w:rPr>
        <w:t>式中：</w:t>
      </w:r>
    </w:p>
    <w:p>
      <w:pPr>
        <w:ind w:firstLine="480"/>
        <w:rPr>
          <w:color w:val="auto"/>
          <w:shd w:val="clear" w:color="auto" w:fill="auto"/>
        </w:rPr>
      </w:pPr>
      <w:r>
        <w:rPr>
          <w:rFonts w:hint="eastAsia"/>
          <w:color w:val="auto"/>
          <w:shd w:val="clear" w:color="auto" w:fill="auto"/>
        </w:rPr>
        <w:t>L</w:t>
      </w:r>
      <w:r>
        <w:rPr>
          <w:rFonts w:hint="eastAsia"/>
          <w:color w:val="auto"/>
          <w:shd w:val="clear" w:color="auto" w:fill="auto"/>
          <w:vertAlign w:val="subscript"/>
        </w:rPr>
        <w:t>eqg</w:t>
      </w:r>
      <w:r>
        <w:rPr>
          <w:rFonts w:hint="eastAsia"/>
          <w:color w:val="auto"/>
          <w:shd w:val="clear" w:color="auto" w:fill="auto"/>
        </w:rPr>
        <w:t xml:space="preserve"> —建设项目声源在预测点的等效声级贡献值，dB(A)；</w:t>
      </w:r>
    </w:p>
    <w:p>
      <w:pPr>
        <w:ind w:firstLine="480"/>
        <w:rPr>
          <w:rFonts w:hint="eastAsia"/>
          <w:color w:val="auto"/>
          <w:shd w:val="clear" w:color="auto" w:fill="auto"/>
        </w:rPr>
      </w:pPr>
      <w:r>
        <w:rPr>
          <w:rFonts w:hint="eastAsia"/>
          <w:color w:val="auto"/>
          <w:shd w:val="clear" w:color="auto" w:fill="auto"/>
        </w:rPr>
        <w:t>L</w:t>
      </w:r>
      <w:r>
        <w:rPr>
          <w:rFonts w:hint="eastAsia"/>
          <w:color w:val="auto"/>
          <w:shd w:val="clear" w:color="auto" w:fill="auto"/>
          <w:vertAlign w:val="subscript"/>
        </w:rPr>
        <w:t>eqb</w:t>
      </w:r>
      <w:r>
        <w:rPr>
          <w:rFonts w:hint="eastAsia"/>
          <w:color w:val="auto"/>
          <w:shd w:val="clear" w:color="auto" w:fill="auto"/>
        </w:rPr>
        <w:t xml:space="preserve"> —预测点的背景值，dB(A)。</w:t>
      </w:r>
    </w:p>
    <w:p>
      <w:pPr>
        <w:pStyle w:val="6"/>
        <w:bidi w:val="0"/>
        <w:rPr>
          <w:rFonts w:hint="eastAsia"/>
          <w:lang w:val="en-US" w:eastAsia="zh-CN"/>
        </w:rPr>
      </w:pPr>
      <w:r>
        <w:rPr>
          <w:rFonts w:hint="eastAsia"/>
          <w:lang w:val="en-US" w:eastAsia="zh-CN"/>
        </w:rPr>
        <w:t>4.3.3.4预测结果</w:t>
      </w:r>
    </w:p>
    <w:p>
      <w:pPr>
        <w:bidi w:val="0"/>
        <w:rPr>
          <w:rFonts w:hint="default"/>
          <w:color w:val="auto"/>
          <w:shd w:val="clear" w:color="auto" w:fill="auto"/>
          <w:lang w:val="en-US" w:eastAsia="zh-CN"/>
        </w:rPr>
      </w:pPr>
      <w:r>
        <w:rPr>
          <w:rFonts w:hint="eastAsia"/>
          <w:color w:val="auto"/>
          <w:shd w:val="clear" w:color="auto" w:fill="auto"/>
          <w:lang w:val="en-US" w:eastAsia="zh-CN"/>
        </w:rPr>
        <w:t>根据上述的预测方法和模式，根据平面布置图、高噪声设备数量及距厂界距离（流动设备考虑为离厂界最近距离），在考虑采取设备噪声减震的情况下（可降噪10dB左右），计算对距离最近的四个厂界的噪声贡献值，预测结果见表4.3-9。</w:t>
      </w:r>
    </w:p>
    <w:p>
      <w:pPr>
        <w:pStyle w:val="42"/>
        <w:spacing w:before="156" w:beforeLines="50" w:line="240" w:lineRule="auto"/>
        <w:ind w:firstLine="0" w:firstLineChars="0"/>
        <w:jc w:val="center"/>
        <w:rPr>
          <w:rFonts w:hint="eastAsia" w:ascii="Times New Roman" w:hAnsi="Times New Roman" w:eastAsia="黑体" w:cs="Times New Roman"/>
          <w:color w:val="auto"/>
          <w:kern w:val="2"/>
          <w:sz w:val="21"/>
          <w:szCs w:val="21"/>
          <w:shd w:val="clear" w:color="auto" w:fill="auto"/>
          <w:lang w:val="en-US" w:eastAsia="zh-CN" w:bidi="ar-SA"/>
        </w:rPr>
      </w:pPr>
      <w:r>
        <w:rPr>
          <w:rFonts w:hint="eastAsia" w:ascii="Times New Roman" w:hAnsi="Times New Roman" w:eastAsia="黑体" w:cs="Times New Roman"/>
          <w:color w:val="auto"/>
          <w:kern w:val="2"/>
          <w:sz w:val="21"/>
          <w:szCs w:val="21"/>
          <w:shd w:val="clear" w:color="auto" w:fill="auto"/>
          <w:lang w:val="en-US" w:eastAsia="zh-CN" w:bidi="ar-SA"/>
        </w:rPr>
        <w:t>表4.3-</w:t>
      </w:r>
      <w:r>
        <w:rPr>
          <w:rFonts w:hint="eastAsia" w:eastAsia="黑体" w:cs="Times New Roman"/>
          <w:color w:val="auto"/>
          <w:kern w:val="2"/>
          <w:sz w:val="21"/>
          <w:szCs w:val="21"/>
          <w:shd w:val="clear" w:color="auto" w:fill="auto"/>
          <w:lang w:val="en-US" w:eastAsia="zh-CN" w:bidi="ar-SA"/>
        </w:rPr>
        <w:t>9</w:t>
      </w:r>
      <w:r>
        <w:rPr>
          <w:rFonts w:hint="eastAsia" w:ascii="Times New Roman" w:hAnsi="Times New Roman" w:eastAsia="黑体" w:cs="Times New Roman"/>
          <w:color w:val="auto"/>
          <w:kern w:val="2"/>
          <w:sz w:val="21"/>
          <w:szCs w:val="21"/>
          <w:shd w:val="clear" w:color="auto" w:fill="auto"/>
          <w:lang w:val="en-US" w:eastAsia="zh-CN" w:bidi="ar-SA"/>
        </w:rPr>
        <w:t>（a） 厂界噪声预测结果表（等效声级LAeq:dB）</w:t>
      </w:r>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1"/>
        <w:gridCol w:w="1515"/>
        <w:gridCol w:w="1564"/>
        <w:gridCol w:w="1564"/>
        <w:gridCol w:w="1564"/>
        <w:gridCol w:w="15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1"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序号</w:t>
            </w:r>
          </w:p>
        </w:tc>
        <w:tc>
          <w:tcPr>
            <w:tcW w:w="1515"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点位</w:t>
            </w:r>
          </w:p>
        </w:tc>
        <w:tc>
          <w:tcPr>
            <w:tcW w:w="1564"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时段</w:t>
            </w:r>
          </w:p>
        </w:tc>
        <w:tc>
          <w:tcPr>
            <w:tcW w:w="1564"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lang w:val="en-US" w:eastAsia="zh-CN"/>
              </w:rPr>
              <w:t>预测</w:t>
            </w:r>
            <w:r>
              <w:rPr>
                <w:rFonts w:hint="eastAsia" w:eastAsia="宋体" w:cs="Times New Roman"/>
                <w:color w:val="auto"/>
                <w:shd w:val="clear" w:color="auto" w:fill="auto"/>
              </w:rPr>
              <w:t>贡献值</w:t>
            </w:r>
          </w:p>
        </w:tc>
        <w:tc>
          <w:tcPr>
            <w:tcW w:w="1564"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标准值</w:t>
            </w:r>
          </w:p>
        </w:tc>
        <w:tc>
          <w:tcPr>
            <w:tcW w:w="1564"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1" w:type="dxa"/>
            <w:vMerge w:val="restart"/>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1</w:t>
            </w:r>
          </w:p>
        </w:tc>
        <w:tc>
          <w:tcPr>
            <w:tcW w:w="1515" w:type="dxa"/>
            <w:vMerge w:val="restart"/>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东厂界</w:t>
            </w:r>
          </w:p>
        </w:tc>
        <w:tc>
          <w:tcPr>
            <w:tcW w:w="1564"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昼间</w:t>
            </w:r>
          </w:p>
        </w:tc>
        <w:tc>
          <w:tcPr>
            <w:tcW w:w="1564" w:type="dxa"/>
            <w:vAlign w:val="center"/>
          </w:tcPr>
          <w:p>
            <w:pPr>
              <w:pStyle w:val="44"/>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46.63</w:t>
            </w:r>
          </w:p>
        </w:tc>
        <w:tc>
          <w:tcPr>
            <w:tcW w:w="1564" w:type="dxa"/>
            <w:vAlign w:val="center"/>
          </w:tcPr>
          <w:p>
            <w:pPr>
              <w:pStyle w:val="44"/>
              <w:rPr>
                <w:rFonts w:hint="eastAsia" w:eastAsia="宋体" w:cs="Times New Roman"/>
                <w:color w:val="auto"/>
                <w:shd w:val="clear" w:color="auto" w:fill="auto"/>
                <w:lang w:val="en-US" w:eastAsia="zh-CN"/>
              </w:rPr>
            </w:pPr>
            <w:r>
              <w:rPr>
                <w:rFonts w:hint="eastAsia" w:eastAsia="宋体" w:cs="Times New Roman"/>
                <w:color w:val="auto"/>
                <w:shd w:val="clear" w:color="auto" w:fill="auto"/>
              </w:rPr>
              <w:t>6</w:t>
            </w:r>
            <w:r>
              <w:rPr>
                <w:rFonts w:hint="eastAsia" w:cs="Times New Roman"/>
                <w:color w:val="auto"/>
                <w:shd w:val="clear" w:color="auto" w:fill="auto"/>
                <w:lang w:val="en-US" w:eastAsia="zh-CN"/>
              </w:rPr>
              <w:t>5</w:t>
            </w:r>
          </w:p>
        </w:tc>
        <w:tc>
          <w:tcPr>
            <w:tcW w:w="1564"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1" w:type="dxa"/>
            <w:vMerge w:val="continue"/>
            <w:vAlign w:val="center"/>
          </w:tcPr>
          <w:p>
            <w:pPr>
              <w:pStyle w:val="44"/>
              <w:rPr>
                <w:rFonts w:eastAsia="宋体" w:cs="Times New Roman"/>
                <w:color w:val="auto"/>
                <w:shd w:val="clear" w:color="auto" w:fill="auto"/>
              </w:rPr>
            </w:pPr>
          </w:p>
        </w:tc>
        <w:tc>
          <w:tcPr>
            <w:tcW w:w="1515" w:type="dxa"/>
            <w:vMerge w:val="continue"/>
            <w:vAlign w:val="center"/>
          </w:tcPr>
          <w:p>
            <w:pPr>
              <w:pStyle w:val="44"/>
              <w:rPr>
                <w:rFonts w:eastAsia="宋体" w:cs="Times New Roman"/>
                <w:color w:val="auto"/>
                <w:shd w:val="clear" w:color="auto" w:fill="auto"/>
              </w:rPr>
            </w:pPr>
          </w:p>
        </w:tc>
        <w:tc>
          <w:tcPr>
            <w:tcW w:w="1564"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夜间</w:t>
            </w:r>
          </w:p>
        </w:tc>
        <w:tc>
          <w:tcPr>
            <w:tcW w:w="1564" w:type="dxa"/>
            <w:vAlign w:val="center"/>
          </w:tcPr>
          <w:p>
            <w:pPr>
              <w:pStyle w:val="44"/>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46.63</w:t>
            </w:r>
          </w:p>
        </w:tc>
        <w:tc>
          <w:tcPr>
            <w:tcW w:w="1564" w:type="dxa"/>
            <w:vAlign w:val="center"/>
          </w:tcPr>
          <w:p>
            <w:pPr>
              <w:pStyle w:val="44"/>
              <w:rPr>
                <w:rFonts w:hint="eastAsia" w:eastAsia="宋体" w:cs="Times New Roman"/>
                <w:color w:val="auto"/>
                <w:shd w:val="clear" w:color="auto" w:fill="auto"/>
                <w:lang w:val="en-US" w:eastAsia="zh-CN"/>
              </w:rPr>
            </w:pPr>
            <w:r>
              <w:rPr>
                <w:rFonts w:hint="eastAsia" w:eastAsia="宋体" w:cs="Times New Roman"/>
                <w:color w:val="auto"/>
                <w:shd w:val="clear" w:color="auto" w:fill="auto"/>
              </w:rPr>
              <w:t>5</w:t>
            </w:r>
            <w:r>
              <w:rPr>
                <w:rFonts w:hint="eastAsia" w:cs="Times New Roman"/>
                <w:color w:val="auto"/>
                <w:shd w:val="clear" w:color="auto" w:fill="auto"/>
                <w:lang w:val="en-US" w:eastAsia="zh-CN"/>
              </w:rPr>
              <w:t>5</w:t>
            </w:r>
          </w:p>
        </w:tc>
        <w:tc>
          <w:tcPr>
            <w:tcW w:w="1564" w:type="dxa"/>
            <w:vAlign w:val="center"/>
          </w:tcPr>
          <w:p>
            <w:pPr>
              <w:pStyle w:val="44"/>
              <w:rPr>
                <w:rFonts w:hint="eastAsia" w:eastAsia="宋体" w:cs="Times New Roman"/>
                <w:color w:val="auto"/>
                <w:shd w:val="clear" w:color="auto" w:fill="auto"/>
              </w:rPr>
            </w:pPr>
            <w:r>
              <w:rPr>
                <w:rFonts w:hint="eastAsia" w:eastAsia="宋体" w:cs="Times New Roman"/>
                <w:color w:val="auto"/>
                <w:shd w:val="clear" w:color="auto" w:fil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1" w:type="dxa"/>
            <w:vMerge w:val="restart"/>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2</w:t>
            </w:r>
          </w:p>
        </w:tc>
        <w:tc>
          <w:tcPr>
            <w:tcW w:w="1515" w:type="dxa"/>
            <w:vMerge w:val="restart"/>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南厂界</w:t>
            </w:r>
          </w:p>
        </w:tc>
        <w:tc>
          <w:tcPr>
            <w:tcW w:w="1564"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昼间</w:t>
            </w:r>
          </w:p>
        </w:tc>
        <w:tc>
          <w:tcPr>
            <w:tcW w:w="1564" w:type="dxa"/>
            <w:vAlign w:val="center"/>
          </w:tcPr>
          <w:p>
            <w:pPr>
              <w:pStyle w:val="44"/>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53.71</w:t>
            </w:r>
          </w:p>
        </w:tc>
        <w:tc>
          <w:tcPr>
            <w:tcW w:w="1564" w:type="dxa"/>
            <w:vAlign w:val="center"/>
          </w:tcPr>
          <w:p>
            <w:pPr>
              <w:pStyle w:val="44"/>
              <w:rPr>
                <w:rFonts w:hint="default" w:eastAsia="宋体" w:cs="Times New Roman"/>
                <w:color w:val="auto"/>
                <w:shd w:val="clear" w:color="auto" w:fill="auto"/>
                <w:lang w:val="en-US" w:eastAsia="zh-CN"/>
              </w:rPr>
            </w:pPr>
            <w:r>
              <w:rPr>
                <w:rFonts w:hint="eastAsia" w:eastAsia="宋体" w:cs="Times New Roman"/>
                <w:color w:val="auto"/>
                <w:shd w:val="clear" w:color="auto" w:fill="auto"/>
                <w:lang w:val="en-US" w:eastAsia="zh-CN"/>
              </w:rPr>
              <w:t>75</w:t>
            </w:r>
          </w:p>
        </w:tc>
        <w:tc>
          <w:tcPr>
            <w:tcW w:w="1564" w:type="dxa"/>
            <w:vAlign w:val="center"/>
          </w:tcPr>
          <w:p>
            <w:pPr>
              <w:pStyle w:val="44"/>
              <w:rPr>
                <w:rFonts w:hint="eastAsia" w:eastAsia="宋体" w:cs="Times New Roman"/>
                <w:color w:val="auto"/>
                <w:shd w:val="clear" w:color="auto" w:fill="auto"/>
              </w:rPr>
            </w:pPr>
            <w:r>
              <w:rPr>
                <w:rFonts w:hint="eastAsia" w:eastAsia="宋体" w:cs="Times New Roman"/>
                <w:color w:val="auto"/>
                <w:shd w:val="clear" w:color="auto" w:fil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1" w:type="dxa"/>
            <w:vMerge w:val="continue"/>
            <w:vAlign w:val="center"/>
          </w:tcPr>
          <w:p>
            <w:pPr>
              <w:pStyle w:val="44"/>
              <w:rPr>
                <w:rFonts w:eastAsia="宋体" w:cs="Times New Roman"/>
                <w:color w:val="auto"/>
                <w:shd w:val="clear" w:color="auto" w:fill="auto"/>
              </w:rPr>
            </w:pPr>
          </w:p>
        </w:tc>
        <w:tc>
          <w:tcPr>
            <w:tcW w:w="1515" w:type="dxa"/>
            <w:vMerge w:val="continue"/>
            <w:vAlign w:val="center"/>
          </w:tcPr>
          <w:p>
            <w:pPr>
              <w:pStyle w:val="44"/>
              <w:rPr>
                <w:rFonts w:eastAsia="宋体" w:cs="Times New Roman"/>
                <w:color w:val="auto"/>
                <w:shd w:val="clear" w:color="auto" w:fill="auto"/>
              </w:rPr>
            </w:pPr>
          </w:p>
        </w:tc>
        <w:tc>
          <w:tcPr>
            <w:tcW w:w="1564"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夜间</w:t>
            </w:r>
          </w:p>
        </w:tc>
        <w:tc>
          <w:tcPr>
            <w:tcW w:w="1564" w:type="dxa"/>
            <w:vAlign w:val="center"/>
          </w:tcPr>
          <w:p>
            <w:pPr>
              <w:pStyle w:val="44"/>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53.71</w:t>
            </w:r>
          </w:p>
        </w:tc>
        <w:tc>
          <w:tcPr>
            <w:tcW w:w="1564" w:type="dxa"/>
            <w:vAlign w:val="center"/>
          </w:tcPr>
          <w:p>
            <w:pPr>
              <w:pStyle w:val="44"/>
              <w:rPr>
                <w:rFonts w:hint="eastAsia" w:eastAsia="宋体" w:cs="Times New Roman"/>
                <w:color w:val="auto"/>
                <w:shd w:val="clear" w:color="auto" w:fill="auto"/>
              </w:rPr>
            </w:pPr>
            <w:r>
              <w:rPr>
                <w:rFonts w:hint="eastAsia" w:eastAsia="宋体" w:cs="Times New Roman"/>
                <w:color w:val="auto"/>
                <w:shd w:val="clear" w:color="auto" w:fill="auto"/>
              </w:rPr>
              <w:t>55</w:t>
            </w:r>
          </w:p>
        </w:tc>
        <w:tc>
          <w:tcPr>
            <w:tcW w:w="1564" w:type="dxa"/>
            <w:vAlign w:val="center"/>
          </w:tcPr>
          <w:p>
            <w:pPr>
              <w:pStyle w:val="44"/>
              <w:rPr>
                <w:rFonts w:hint="eastAsia" w:eastAsia="宋体" w:cs="Times New Roman"/>
                <w:color w:val="auto"/>
                <w:shd w:val="clear" w:color="auto" w:fill="auto"/>
              </w:rPr>
            </w:pPr>
            <w:r>
              <w:rPr>
                <w:rFonts w:hint="eastAsia" w:eastAsia="宋体" w:cs="Times New Roman"/>
                <w:color w:val="auto"/>
                <w:shd w:val="clear" w:color="auto" w:fil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1" w:type="dxa"/>
            <w:vMerge w:val="restart"/>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3</w:t>
            </w:r>
          </w:p>
        </w:tc>
        <w:tc>
          <w:tcPr>
            <w:tcW w:w="1515" w:type="dxa"/>
            <w:vMerge w:val="restart"/>
            <w:vAlign w:val="center"/>
          </w:tcPr>
          <w:p>
            <w:pPr>
              <w:pStyle w:val="44"/>
              <w:rPr>
                <w:rFonts w:eastAsia="宋体" w:cs="Times New Roman"/>
                <w:color w:val="auto"/>
                <w:shd w:val="clear" w:color="auto" w:fill="auto"/>
              </w:rPr>
            </w:pPr>
            <w:r>
              <w:rPr>
                <w:rFonts w:hint="eastAsia" w:cs="Times New Roman"/>
                <w:color w:val="auto"/>
                <w:shd w:val="clear" w:color="auto" w:fill="auto"/>
                <w:lang w:eastAsia="zh-CN"/>
              </w:rPr>
              <w:t>西</w:t>
            </w:r>
            <w:r>
              <w:rPr>
                <w:rFonts w:hint="eastAsia" w:eastAsia="宋体" w:cs="Times New Roman"/>
                <w:color w:val="auto"/>
                <w:shd w:val="clear" w:color="auto" w:fill="auto"/>
              </w:rPr>
              <w:t>厂界</w:t>
            </w:r>
          </w:p>
        </w:tc>
        <w:tc>
          <w:tcPr>
            <w:tcW w:w="1564"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昼间</w:t>
            </w:r>
          </w:p>
        </w:tc>
        <w:tc>
          <w:tcPr>
            <w:tcW w:w="1564" w:type="dxa"/>
            <w:vAlign w:val="center"/>
          </w:tcPr>
          <w:p>
            <w:pPr>
              <w:pStyle w:val="44"/>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47.09</w:t>
            </w:r>
          </w:p>
        </w:tc>
        <w:tc>
          <w:tcPr>
            <w:tcW w:w="1564" w:type="dxa"/>
            <w:vAlign w:val="center"/>
          </w:tcPr>
          <w:p>
            <w:pPr>
              <w:pStyle w:val="44"/>
              <w:rPr>
                <w:rFonts w:hint="eastAsia" w:eastAsia="宋体" w:cs="Times New Roman"/>
                <w:color w:val="auto"/>
                <w:shd w:val="clear" w:color="auto" w:fill="auto"/>
                <w:lang w:val="en-US" w:eastAsia="zh-CN"/>
              </w:rPr>
            </w:pPr>
            <w:r>
              <w:rPr>
                <w:rFonts w:hint="eastAsia" w:eastAsia="宋体" w:cs="Times New Roman"/>
                <w:color w:val="auto"/>
                <w:shd w:val="clear" w:color="auto" w:fill="auto"/>
              </w:rPr>
              <w:t>6</w:t>
            </w:r>
            <w:r>
              <w:rPr>
                <w:rFonts w:hint="eastAsia" w:cs="Times New Roman"/>
                <w:color w:val="auto"/>
                <w:shd w:val="clear" w:color="auto" w:fill="auto"/>
                <w:lang w:val="en-US" w:eastAsia="zh-CN"/>
              </w:rPr>
              <w:t>5</w:t>
            </w:r>
          </w:p>
        </w:tc>
        <w:tc>
          <w:tcPr>
            <w:tcW w:w="1564" w:type="dxa"/>
            <w:vAlign w:val="center"/>
          </w:tcPr>
          <w:p>
            <w:pPr>
              <w:pStyle w:val="44"/>
              <w:rPr>
                <w:rFonts w:hint="eastAsia" w:eastAsia="宋体" w:cs="Times New Roman"/>
                <w:color w:val="auto"/>
                <w:shd w:val="clear" w:color="auto" w:fill="auto"/>
              </w:rPr>
            </w:pPr>
            <w:r>
              <w:rPr>
                <w:rFonts w:hint="eastAsia" w:eastAsia="宋体" w:cs="Times New Roman"/>
                <w:color w:val="auto"/>
                <w:shd w:val="clear" w:color="auto" w:fil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1" w:type="dxa"/>
            <w:vMerge w:val="continue"/>
            <w:vAlign w:val="center"/>
          </w:tcPr>
          <w:p>
            <w:pPr>
              <w:pStyle w:val="44"/>
              <w:rPr>
                <w:rFonts w:eastAsia="宋体" w:cs="Times New Roman"/>
                <w:color w:val="auto"/>
                <w:shd w:val="clear" w:color="auto" w:fill="auto"/>
              </w:rPr>
            </w:pPr>
          </w:p>
        </w:tc>
        <w:tc>
          <w:tcPr>
            <w:tcW w:w="1515" w:type="dxa"/>
            <w:vMerge w:val="continue"/>
            <w:vAlign w:val="center"/>
          </w:tcPr>
          <w:p>
            <w:pPr>
              <w:pStyle w:val="44"/>
              <w:rPr>
                <w:rFonts w:eastAsia="宋体" w:cs="Times New Roman"/>
                <w:color w:val="auto"/>
                <w:shd w:val="clear" w:color="auto" w:fill="auto"/>
              </w:rPr>
            </w:pPr>
          </w:p>
        </w:tc>
        <w:tc>
          <w:tcPr>
            <w:tcW w:w="1564"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夜间</w:t>
            </w:r>
          </w:p>
        </w:tc>
        <w:tc>
          <w:tcPr>
            <w:tcW w:w="1564" w:type="dxa"/>
            <w:vAlign w:val="center"/>
          </w:tcPr>
          <w:p>
            <w:pPr>
              <w:pStyle w:val="44"/>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47.09</w:t>
            </w:r>
          </w:p>
        </w:tc>
        <w:tc>
          <w:tcPr>
            <w:tcW w:w="1564" w:type="dxa"/>
            <w:vAlign w:val="center"/>
          </w:tcPr>
          <w:p>
            <w:pPr>
              <w:pStyle w:val="44"/>
              <w:rPr>
                <w:rFonts w:hint="eastAsia" w:eastAsia="宋体" w:cs="Times New Roman"/>
                <w:color w:val="auto"/>
                <w:shd w:val="clear" w:color="auto" w:fill="auto"/>
                <w:lang w:val="en-US" w:eastAsia="zh-CN"/>
              </w:rPr>
            </w:pPr>
            <w:r>
              <w:rPr>
                <w:rFonts w:hint="eastAsia" w:eastAsia="宋体" w:cs="Times New Roman"/>
                <w:color w:val="auto"/>
                <w:shd w:val="clear" w:color="auto" w:fill="auto"/>
              </w:rPr>
              <w:t>5</w:t>
            </w:r>
            <w:r>
              <w:rPr>
                <w:rFonts w:hint="eastAsia" w:cs="Times New Roman"/>
                <w:color w:val="auto"/>
                <w:shd w:val="clear" w:color="auto" w:fill="auto"/>
                <w:lang w:val="en-US" w:eastAsia="zh-CN"/>
              </w:rPr>
              <w:t>5</w:t>
            </w:r>
          </w:p>
        </w:tc>
        <w:tc>
          <w:tcPr>
            <w:tcW w:w="1564" w:type="dxa"/>
            <w:vAlign w:val="center"/>
          </w:tcPr>
          <w:p>
            <w:pPr>
              <w:pStyle w:val="44"/>
              <w:rPr>
                <w:rFonts w:hint="eastAsia" w:eastAsia="宋体" w:cs="Times New Roman"/>
                <w:color w:val="auto"/>
                <w:shd w:val="clear" w:color="auto" w:fill="auto"/>
              </w:rPr>
            </w:pPr>
            <w:r>
              <w:rPr>
                <w:rFonts w:hint="eastAsia" w:eastAsia="宋体" w:cs="Times New Roman"/>
                <w:color w:val="auto"/>
                <w:shd w:val="clear" w:color="auto" w:fil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1" w:type="dxa"/>
            <w:vMerge w:val="restart"/>
            <w:vAlign w:val="center"/>
          </w:tcPr>
          <w:p>
            <w:pPr>
              <w:pStyle w:val="44"/>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4</w:t>
            </w:r>
          </w:p>
        </w:tc>
        <w:tc>
          <w:tcPr>
            <w:tcW w:w="1515" w:type="dxa"/>
            <w:vMerge w:val="restart"/>
            <w:vAlign w:val="center"/>
          </w:tcPr>
          <w:p>
            <w:pPr>
              <w:pStyle w:val="44"/>
              <w:rPr>
                <w:rFonts w:hint="eastAsia" w:eastAsia="宋体" w:cs="Times New Roman"/>
                <w:color w:val="auto"/>
                <w:shd w:val="clear" w:color="auto" w:fill="auto"/>
                <w:lang w:eastAsia="zh-CN"/>
              </w:rPr>
            </w:pPr>
            <w:r>
              <w:rPr>
                <w:rFonts w:hint="eastAsia" w:cs="Times New Roman"/>
                <w:color w:val="auto"/>
                <w:shd w:val="clear" w:color="auto" w:fill="auto"/>
                <w:lang w:eastAsia="zh-CN"/>
              </w:rPr>
              <w:t>北厂界</w:t>
            </w:r>
          </w:p>
        </w:tc>
        <w:tc>
          <w:tcPr>
            <w:tcW w:w="1564" w:type="dxa"/>
            <w:vAlign w:val="center"/>
          </w:tcPr>
          <w:p>
            <w:pPr>
              <w:pStyle w:val="44"/>
              <w:ind w:firstLine="0" w:firstLineChars="0"/>
              <w:rPr>
                <w:rFonts w:hint="eastAsia" w:eastAsia="宋体" w:cs="Times New Roman"/>
                <w:color w:val="auto"/>
                <w:shd w:val="clear" w:color="auto" w:fill="auto"/>
              </w:rPr>
            </w:pPr>
            <w:r>
              <w:rPr>
                <w:rFonts w:hint="eastAsia" w:eastAsia="宋体" w:cs="Times New Roman"/>
                <w:color w:val="auto"/>
                <w:shd w:val="clear" w:color="auto" w:fill="auto"/>
              </w:rPr>
              <w:t>昼间</w:t>
            </w:r>
          </w:p>
        </w:tc>
        <w:tc>
          <w:tcPr>
            <w:tcW w:w="1564" w:type="dxa"/>
            <w:vAlign w:val="center"/>
          </w:tcPr>
          <w:p>
            <w:pPr>
              <w:pStyle w:val="44"/>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47.06</w:t>
            </w:r>
          </w:p>
        </w:tc>
        <w:tc>
          <w:tcPr>
            <w:tcW w:w="1564" w:type="dxa"/>
            <w:vAlign w:val="center"/>
          </w:tcPr>
          <w:p>
            <w:pPr>
              <w:pStyle w:val="44"/>
              <w:rPr>
                <w:rFonts w:hint="eastAsia" w:eastAsia="宋体" w:cs="Times New Roman"/>
                <w:color w:val="auto"/>
                <w:shd w:val="clear" w:color="auto" w:fill="auto"/>
              </w:rPr>
            </w:pPr>
            <w:r>
              <w:rPr>
                <w:rFonts w:hint="eastAsia" w:eastAsia="宋体" w:cs="Times New Roman"/>
                <w:color w:val="auto"/>
                <w:shd w:val="clear" w:color="auto" w:fill="auto"/>
              </w:rPr>
              <w:t>6</w:t>
            </w:r>
            <w:r>
              <w:rPr>
                <w:rFonts w:hint="eastAsia" w:cs="Times New Roman"/>
                <w:color w:val="auto"/>
                <w:shd w:val="clear" w:color="auto" w:fill="auto"/>
                <w:lang w:val="en-US" w:eastAsia="zh-CN"/>
              </w:rPr>
              <w:t>5</w:t>
            </w:r>
          </w:p>
        </w:tc>
        <w:tc>
          <w:tcPr>
            <w:tcW w:w="1564" w:type="dxa"/>
            <w:vAlign w:val="center"/>
          </w:tcPr>
          <w:p>
            <w:pPr>
              <w:pStyle w:val="44"/>
              <w:rPr>
                <w:rFonts w:hint="eastAsia" w:eastAsia="宋体" w:cs="Times New Roman"/>
                <w:color w:val="auto"/>
                <w:shd w:val="clear" w:color="auto" w:fill="auto"/>
              </w:rPr>
            </w:pPr>
            <w:r>
              <w:rPr>
                <w:rFonts w:hint="eastAsia" w:eastAsia="宋体" w:cs="Times New Roman"/>
                <w:color w:val="auto"/>
                <w:shd w:val="clear" w:color="auto" w:fil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1" w:type="dxa"/>
            <w:vMerge w:val="continue"/>
            <w:vAlign w:val="center"/>
          </w:tcPr>
          <w:p>
            <w:pPr>
              <w:pStyle w:val="44"/>
              <w:rPr>
                <w:rFonts w:eastAsia="宋体" w:cs="Times New Roman"/>
                <w:color w:val="auto"/>
                <w:shd w:val="clear" w:color="auto" w:fill="auto"/>
              </w:rPr>
            </w:pPr>
          </w:p>
        </w:tc>
        <w:tc>
          <w:tcPr>
            <w:tcW w:w="1515" w:type="dxa"/>
            <w:vMerge w:val="continue"/>
            <w:vAlign w:val="center"/>
          </w:tcPr>
          <w:p>
            <w:pPr>
              <w:pStyle w:val="44"/>
              <w:rPr>
                <w:rFonts w:eastAsia="宋体" w:cs="Times New Roman"/>
                <w:color w:val="auto"/>
                <w:shd w:val="clear" w:color="auto" w:fill="auto"/>
              </w:rPr>
            </w:pPr>
          </w:p>
        </w:tc>
        <w:tc>
          <w:tcPr>
            <w:tcW w:w="1564" w:type="dxa"/>
            <w:vAlign w:val="center"/>
          </w:tcPr>
          <w:p>
            <w:pPr>
              <w:pStyle w:val="44"/>
              <w:ind w:firstLine="0" w:firstLineChars="0"/>
              <w:rPr>
                <w:rFonts w:hint="eastAsia" w:eastAsia="宋体" w:cs="Times New Roman"/>
                <w:color w:val="auto"/>
                <w:shd w:val="clear" w:color="auto" w:fill="auto"/>
              </w:rPr>
            </w:pPr>
            <w:r>
              <w:rPr>
                <w:rFonts w:hint="eastAsia" w:eastAsia="宋体" w:cs="Times New Roman"/>
                <w:color w:val="auto"/>
                <w:shd w:val="clear" w:color="auto" w:fill="auto"/>
              </w:rPr>
              <w:t>夜间</w:t>
            </w:r>
          </w:p>
        </w:tc>
        <w:tc>
          <w:tcPr>
            <w:tcW w:w="1564" w:type="dxa"/>
            <w:vAlign w:val="center"/>
          </w:tcPr>
          <w:p>
            <w:pPr>
              <w:pStyle w:val="44"/>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47.06</w:t>
            </w:r>
          </w:p>
        </w:tc>
        <w:tc>
          <w:tcPr>
            <w:tcW w:w="1564" w:type="dxa"/>
            <w:vAlign w:val="center"/>
          </w:tcPr>
          <w:p>
            <w:pPr>
              <w:pStyle w:val="44"/>
              <w:rPr>
                <w:rFonts w:hint="eastAsia" w:eastAsia="宋体" w:cs="Times New Roman"/>
                <w:color w:val="auto"/>
                <w:shd w:val="clear" w:color="auto" w:fill="auto"/>
              </w:rPr>
            </w:pPr>
            <w:r>
              <w:rPr>
                <w:rFonts w:hint="eastAsia" w:eastAsia="宋体" w:cs="Times New Roman"/>
                <w:color w:val="auto"/>
                <w:shd w:val="clear" w:color="auto" w:fill="auto"/>
              </w:rPr>
              <w:t>5</w:t>
            </w:r>
            <w:r>
              <w:rPr>
                <w:rFonts w:hint="eastAsia" w:cs="Times New Roman"/>
                <w:color w:val="auto"/>
                <w:shd w:val="clear" w:color="auto" w:fill="auto"/>
                <w:lang w:val="en-US" w:eastAsia="zh-CN"/>
              </w:rPr>
              <w:t>5</w:t>
            </w:r>
          </w:p>
        </w:tc>
        <w:tc>
          <w:tcPr>
            <w:tcW w:w="1564" w:type="dxa"/>
            <w:vAlign w:val="center"/>
          </w:tcPr>
          <w:p>
            <w:pPr>
              <w:pStyle w:val="44"/>
              <w:rPr>
                <w:rFonts w:hint="eastAsia" w:eastAsia="宋体" w:cs="Times New Roman"/>
                <w:color w:val="auto"/>
                <w:shd w:val="clear" w:color="auto" w:fill="auto"/>
              </w:rPr>
            </w:pPr>
            <w:r>
              <w:rPr>
                <w:rFonts w:hint="eastAsia" w:eastAsia="宋体" w:cs="Times New Roman"/>
                <w:color w:val="auto"/>
                <w:shd w:val="clear" w:color="auto" w:fill="auto"/>
              </w:rPr>
              <w:t>达标</w:t>
            </w:r>
          </w:p>
        </w:tc>
      </w:tr>
    </w:tbl>
    <w:p>
      <w:pPr>
        <w:pStyle w:val="42"/>
        <w:spacing w:before="156" w:beforeLines="50" w:line="240" w:lineRule="auto"/>
        <w:ind w:firstLine="0" w:firstLineChars="0"/>
        <w:jc w:val="center"/>
        <w:rPr>
          <w:rFonts w:hint="eastAsia" w:ascii="Times New Roman" w:hAnsi="Times New Roman" w:eastAsia="黑体" w:cs="Times New Roman"/>
          <w:color w:val="auto"/>
          <w:kern w:val="2"/>
          <w:sz w:val="21"/>
          <w:szCs w:val="21"/>
          <w:shd w:val="clear" w:color="auto" w:fill="auto"/>
          <w:lang w:val="en-US" w:eastAsia="zh-CN" w:bidi="ar-SA"/>
        </w:rPr>
      </w:pPr>
      <w:r>
        <w:rPr>
          <w:rFonts w:hint="eastAsia" w:ascii="Times New Roman" w:hAnsi="Times New Roman" w:eastAsia="黑体" w:cs="Times New Roman"/>
          <w:color w:val="auto"/>
          <w:kern w:val="2"/>
          <w:sz w:val="21"/>
          <w:szCs w:val="21"/>
          <w:shd w:val="clear" w:color="auto" w:fill="auto"/>
          <w:lang w:val="en-US" w:eastAsia="zh-CN" w:bidi="ar-SA"/>
        </w:rPr>
        <w:t>表4.3-</w:t>
      </w:r>
      <w:r>
        <w:rPr>
          <w:rFonts w:hint="eastAsia" w:eastAsia="黑体" w:cs="Times New Roman"/>
          <w:color w:val="auto"/>
          <w:kern w:val="2"/>
          <w:sz w:val="21"/>
          <w:szCs w:val="21"/>
          <w:shd w:val="clear" w:color="auto" w:fill="auto"/>
          <w:lang w:val="en-US" w:eastAsia="zh-CN" w:bidi="ar-SA"/>
        </w:rPr>
        <w:t>9</w:t>
      </w:r>
      <w:r>
        <w:rPr>
          <w:rFonts w:hint="eastAsia" w:ascii="Times New Roman" w:hAnsi="Times New Roman" w:eastAsia="黑体" w:cs="Times New Roman"/>
          <w:color w:val="auto"/>
          <w:kern w:val="2"/>
          <w:sz w:val="21"/>
          <w:szCs w:val="21"/>
          <w:shd w:val="clear" w:color="auto" w:fill="auto"/>
          <w:lang w:val="en-US" w:eastAsia="zh-CN" w:bidi="ar-SA"/>
        </w:rPr>
        <w:t>（b） 声敏感点噪声预测结果表（等效声级LAeq:dB）</w:t>
      </w:r>
    </w:p>
    <w:tbl>
      <w:tblPr>
        <w:tblStyle w:val="26"/>
        <w:tblW w:w="85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3"/>
        <w:gridCol w:w="1275"/>
        <w:gridCol w:w="991"/>
        <w:gridCol w:w="1334"/>
        <w:gridCol w:w="1046"/>
        <w:gridCol w:w="1046"/>
        <w:gridCol w:w="1046"/>
        <w:gridCol w:w="11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3"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序号</w:t>
            </w:r>
          </w:p>
        </w:tc>
        <w:tc>
          <w:tcPr>
            <w:tcW w:w="1275"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点位</w:t>
            </w:r>
          </w:p>
        </w:tc>
        <w:tc>
          <w:tcPr>
            <w:tcW w:w="991"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时段</w:t>
            </w:r>
          </w:p>
        </w:tc>
        <w:tc>
          <w:tcPr>
            <w:tcW w:w="1334"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lang w:val="en-US" w:eastAsia="zh-CN"/>
              </w:rPr>
              <w:t>预测</w:t>
            </w:r>
            <w:r>
              <w:rPr>
                <w:rFonts w:hint="eastAsia" w:eastAsia="宋体" w:cs="Times New Roman"/>
                <w:color w:val="auto"/>
                <w:shd w:val="clear" w:color="auto" w:fill="auto"/>
              </w:rPr>
              <w:t>贡献值</w:t>
            </w:r>
          </w:p>
        </w:tc>
        <w:tc>
          <w:tcPr>
            <w:tcW w:w="1046" w:type="dxa"/>
            <w:vAlign w:val="center"/>
          </w:tcPr>
          <w:p>
            <w:pPr>
              <w:pStyle w:val="44"/>
              <w:rPr>
                <w:rFonts w:hint="eastAsia" w:eastAsia="宋体" w:cs="Times New Roman"/>
                <w:color w:val="auto"/>
                <w:shd w:val="clear" w:color="auto" w:fill="auto"/>
                <w:lang w:val="en-US" w:eastAsia="zh-CN"/>
              </w:rPr>
            </w:pPr>
            <w:r>
              <w:rPr>
                <w:rFonts w:hint="eastAsia" w:cs="Times New Roman"/>
                <w:color w:val="auto"/>
                <w:shd w:val="clear" w:color="auto" w:fill="auto"/>
                <w:lang w:val="en-US" w:eastAsia="zh-CN"/>
              </w:rPr>
              <w:t>背景值</w:t>
            </w:r>
          </w:p>
        </w:tc>
        <w:tc>
          <w:tcPr>
            <w:tcW w:w="1046" w:type="dxa"/>
            <w:vAlign w:val="center"/>
          </w:tcPr>
          <w:p>
            <w:pPr>
              <w:pStyle w:val="44"/>
              <w:rPr>
                <w:rFonts w:hint="eastAsia" w:eastAsia="宋体" w:cs="Times New Roman"/>
                <w:color w:val="auto"/>
                <w:shd w:val="clear" w:color="auto" w:fill="auto"/>
                <w:lang w:val="en-US" w:eastAsia="zh-CN"/>
              </w:rPr>
            </w:pPr>
            <w:r>
              <w:rPr>
                <w:rFonts w:hint="eastAsia" w:cs="Times New Roman"/>
                <w:color w:val="auto"/>
                <w:shd w:val="clear" w:color="auto" w:fill="auto"/>
                <w:lang w:val="en-US" w:eastAsia="zh-CN"/>
              </w:rPr>
              <w:t>叠加值</w:t>
            </w:r>
          </w:p>
        </w:tc>
        <w:tc>
          <w:tcPr>
            <w:tcW w:w="1046"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标准值</w:t>
            </w:r>
          </w:p>
        </w:tc>
        <w:tc>
          <w:tcPr>
            <w:tcW w:w="1120"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3" w:type="dxa"/>
            <w:vMerge w:val="restart"/>
            <w:vAlign w:val="center"/>
          </w:tcPr>
          <w:p>
            <w:pPr>
              <w:pStyle w:val="44"/>
              <w:rPr>
                <w:rFonts w:hint="eastAsia" w:eastAsia="宋体" w:cs="Times New Roman"/>
                <w:color w:val="auto"/>
                <w:shd w:val="clear" w:color="auto" w:fill="auto"/>
                <w:lang w:eastAsia="zh-CN"/>
              </w:rPr>
            </w:pPr>
            <w:r>
              <w:rPr>
                <w:rFonts w:hint="eastAsia" w:cs="Times New Roman"/>
                <w:color w:val="auto"/>
                <w:shd w:val="clear" w:color="auto" w:fill="auto"/>
                <w:lang w:val="en-US" w:eastAsia="zh-CN"/>
              </w:rPr>
              <w:t>1</w:t>
            </w:r>
          </w:p>
        </w:tc>
        <w:tc>
          <w:tcPr>
            <w:tcW w:w="1275" w:type="dxa"/>
            <w:vMerge w:val="restart"/>
            <w:vAlign w:val="center"/>
          </w:tcPr>
          <w:p>
            <w:pPr>
              <w:pStyle w:val="44"/>
              <w:jc w:val="center"/>
              <w:rPr>
                <w:rFonts w:hint="eastAsia" w:eastAsia="宋体" w:cs="Times New Roman"/>
                <w:color w:val="auto"/>
                <w:shd w:val="clear" w:color="auto" w:fill="auto"/>
                <w:lang w:val="en-US" w:eastAsia="zh-CN"/>
              </w:rPr>
            </w:pPr>
            <w:r>
              <w:rPr>
                <w:rFonts w:hint="eastAsia" w:cs="Times New Roman"/>
                <w:color w:val="auto"/>
                <w:shd w:val="clear" w:color="auto" w:fill="auto"/>
                <w:lang w:val="en-US" w:eastAsia="zh-CN"/>
              </w:rPr>
              <w:t>后陶桥</w:t>
            </w:r>
          </w:p>
          <w:p>
            <w:pPr>
              <w:pStyle w:val="44"/>
              <w:jc w:val="center"/>
              <w:rPr>
                <w:rFonts w:hint="eastAsia" w:eastAsia="宋体" w:cs="Times New Roman"/>
                <w:color w:val="auto"/>
                <w:shd w:val="clear" w:color="auto" w:fill="auto"/>
                <w:lang w:val="en-US" w:eastAsia="zh-CN"/>
              </w:rPr>
            </w:pPr>
            <w:r>
              <w:rPr>
                <w:rFonts w:hint="eastAsia" w:eastAsia="宋体" w:cs="Times New Roman"/>
                <w:color w:val="auto"/>
                <w:shd w:val="clear" w:color="auto" w:fill="auto"/>
                <w:lang w:val="en-US" w:eastAsia="zh-CN"/>
              </w:rPr>
              <w:t>（敏感点）</w:t>
            </w:r>
          </w:p>
        </w:tc>
        <w:tc>
          <w:tcPr>
            <w:tcW w:w="991"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昼间</w:t>
            </w:r>
          </w:p>
        </w:tc>
        <w:tc>
          <w:tcPr>
            <w:tcW w:w="1334" w:type="dxa"/>
            <w:vAlign w:val="center"/>
          </w:tcPr>
          <w:p>
            <w:pPr>
              <w:pStyle w:val="44"/>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41.89</w:t>
            </w:r>
          </w:p>
        </w:tc>
        <w:tc>
          <w:tcPr>
            <w:tcW w:w="1046" w:type="dxa"/>
            <w:vAlign w:val="center"/>
          </w:tcPr>
          <w:p>
            <w:pPr>
              <w:pStyle w:val="44"/>
              <w:rPr>
                <w:rFonts w:hint="default" w:cs="Times New Roman"/>
                <w:color w:val="auto"/>
                <w:shd w:val="clear" w:color="auto" w:fill="auto"/>
                <w:lang w:val="en-US" w:eastAsia="zh-CN"/>
              </w:rPr>
            </w:pPr>
            <w:r>
              <w:rPr>
                <w:rFonts w:hint="eastAsia" w:cs="Times New Roman"/>
                <w:color w:val="auto"/>
                <w:shd w:val="clear" w:color="auto" w:fill="auto"/>
                <w:lang w:val="en-US" w:eastAsia="zh-CN"/>
              </w:rPr>
              <w:t>53.0</w:t>
            </w:r>
          </w:p>
        </w:tc>
        <w:tc>
          <w:tcPr>
            <w:tcW w:w="1046" w:type="dxa"/>
            <w:vAlign w:val="center"/>
          </w:tcPr>
          <w:p>
            <w:pPr>
              <w:pStyle w:val="44"/>
              <w:rPr>
                <w:rFonts w:hint="default" w:cs="Times New Roman"/>
                <w:color w:val="auto"/>
                <w:shd w:val="clear" w:color="auto" w:fill="auto"/>
                <w:lang w:val="en-US" w:eastAsia="zh-CN"/>
              </w:rPr>
            </w:pPr>
            <w:r>
              <w:rPr>
                <w:rFonts w:hint="eastAsia" w:cs="Times New Roman"/>
                <w:color w:val="auto"/>
                <w:shd w:val="clear" w:color="auto" w:fill="auto"/>
                <w:lang w:val="en-US" w:eastAsia="zh-CN"/>
              </w:rPr>
              <w:t>53.32</w:t>
            </w:r>
          </w:p>
        </w:tc>
        <w:tc>
          <w:tcPr>
            <w:tcW w:w="1046" w:type="dxa"/>
            <w:vAlign w:val="center"/>
          </w:tcPr>
          <w:p>
            <w:pPr>
              <w:pStyle w:val="44"/>
              <w:rPr>
                <w:rFonts w:hint="eastAsia" w:eastAsia="宋体" w:cs="Times New Roman"/>
                <w:color w:val="auto"/>
                <w:shd w:val="clear" w:color="auto" w:fill="auto"/>
              </w:rPr>
            </w:pPr>
            <w:r>
              <w:rPr>
                <w:rFonts w:hint="eastAsia" w:eastAsia="宋体" w:cs="Times New Roman"/>
                <w:color w:val="auto"/>
                <w:shd w:val="clear" w:color="auto" w:fill="auto"/>
              </w:rPr>
              <w:t>60</w:t>
            </w:r>
          </w:p>
        </w:tc>
        <w:tc>
          <w:tcPr>
            <w:tcW w:w="1120" w:type="dxa"/>
            <w:vAlign w:val="center"/>
          </w:tcPr>
          <w:p>
            <w:pPr>
              <w:pStyle w:val="44"/>
              <w:rPr>
                <w:rFonts w:hint="eastAsia" w:eastAsia="宋体" w:cs="Times New Roman"/>
                <w:color w:val="auto"/>
                <w:shd w:val="clear" w:color="auto" w:fill="auto"/>
              </w:rPr>
            </w:pPr>
            <w:r>
              <w:rPr>
                <w:rFonts w:hint="eastAsia" w:eastAsia="宋体" w:cs="Times New Roman"/>
                <w:color w:val="auto"/>
                <w:shd w:val="clear" w:color="auto" w:fil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3" w:type="dxa"/>
            <w:vMerge w:val="continue"/>
            <w:vAlign w:val="center"/>
          </w:tcPr>
          <w:p>
            <w:pPr>
              <w:pStyle w:val="44"/>
              <w:rPr>
                <w:rFonts w:eastAsia="宋体" w:cs="Times New Roman"/>
                <w:color w:val="auto"/>
                <w:shd w:val="clear" w:color="auto" w:fill="auto"/>
              </w:rPr>
            </w:pPr>
          </w:p>
        </w:tc>
        <w:tc>
          <w:tcPr>
            <w:tcW w:w="1275" w:type="dxa"/>
            <w:vMerge w:val="continue"/>
            <w:vAlign w:val="center"/>
          </w:tcPr>
          <w:p>
            <w:pPr>
              <w:pStyle w:val="44"/>
              <w:rPr>
                <w:rFonts w:eastAsia="宋体" w:cs="Times New Roman"/>
                <w:color w:val="auto"/>
                <w:shd w:val="clear" w:color="auto" w:fill="auto"/>
              </w:rPr>
            </w:pPr>
          </w:p>
        </w:tc>
        <w:tc>
          <w:tcPr>
            <w:tcW w:w="991" w:type="dxa"/>
            <w:vAlign w:val="center"/>
          </w:tcPr>
          <w:p>
            <w:pPr>
              <w:pStyle w:val="44"/>
              <w:rPr>
                <w:rFonts w:eastAsia="宋体" w:cs="Times New Roman"/>
                <w:color w:val="auto"/>
                <w:shd w:val="clear" w:color="auto" w:fill="auto"/>
              </w:rPr>
            </w:pPr>
            <w:r>
              <w:rPr>
                <w:rFonts w:hint="eastAsia" w:eastAsia="宋体" w:cs="Times New Roman"/>
                <w:color w:val="auto"/>
                <w:shd w:val="clear" w:color="auto" w:fill="auto"/>
              </w:rPr>
              <w:t>夜间</w:t>
            </w:r>
          </w:p>
        </w:tc>
        <w:tc>
          <w:tcPr>
            <w:tcW w:w="1334" w:type="dxa"/>
            <w:vAlign w:val="center"/>
          </w:tcPr>
          <w:p>
            <w:pPr>
              <w:pStyle w:val="44"/>
              <w:rPr>
                <w:rFonts w:hint="default" w:eastAsia="宋体" w:cs="Times New Roman"/>
                <w:color w:val="auto"/>
                <w:shd w:val="clear" w:color="auto" w:fill="auto"/>
                <w:lang w:val="en-US" w:eastAsia="zh-CN"/>
              </w:rPr>
            </w:pPr>
            <w:r>
              <w:rPr>
                <w:rFonts w:hint="eastAsia" w:cs="Times New Roman"/>
                <w:color w:val="auto"/>
                <w:shd w:val="clear" w:color="auto" w:fill="auto"/>
                <w:lang w:val="en-US" w:eastAsia="zh-CN"/>
              </w:rPr>
              <w:t>41.89</w:t>
            </w:r>
          </w:p>
        </w:tc>
        <w:tc>
          <w:tcPr>
            <w:tcW w:w="1046" w:type="dxa"/>
            <w:vAlign w:val="center"/>
          </w:tcPr>
          <w:p>
            <w:pPr>
              <w:pStyle w:val="44"/>
              <w:rPr>
                <w:rFonts w:hint="default" w:cs="Times New Roman"/>
                <w:color w:val="auto"/>
                <w:shd w:val="clear" w:color="auto" w:fill="auto"/>
                <w:lang w:val="en-US" w:eastAsia="zh-CN"/>
              </w:rPr>
            </w:pPr>
            <w:r>
              <w:rPr>
                <w:rFonts w:hint="eastAsia" w:cs="Times New Roman"/>
                <w:color w:val="auto"/>
                <w:shd w:val="clear" w:color="auto" w:fill="auto"/>
                <w:lang w:val="en-US" w:eastAsia="zh-CN"/>
              </w:rPr>
              <w:t>45.4</w:t>
            </w:r>
          </w:p>
        </w:tc>
        <w:tc>
          <w:tcPr>
            <w:tcW w:w="1046" w:type="dxa"/>
            <w:vAlign w:val="center"/>
          </w:tcPr>
          <w:p>
            <w:pPr>
              <w:pStyle w:val="44"/>
              <w:rPr>
                <w:rFonts w:hint="default" w:cs="Times New Roman"/>
                <w:color w:val="auto"/>
                <w:shd w:val="clear" w:color="auto" w:fill="auto"/>
                <w:lang w:val="en-US" w:eastAsia="zh-CN"/>
              </w:rPr>
            </w:pPr>
            <w:r>
              <w:rPr>
                <w:rFonts w:hint="eastAsia" w:cs="Times New Roman"/>
                <w:color w:val="auto"/>
                <w:shd w:val="clear" w:color="auto" w:fill="auto"/>
                <w:lang w:val="en-US" w:eastAsia="zh-CN"/>
              </w:rPr>
              <w:t>47.0</w:t>
            </w:r>
          </w:p>
        </w:tc>
        <w:tc>
          <w:tcPr>
            <w:tcW w:w="1046" w:type="dxa"/>
            <w:vAlign w:val="center"/>
          </w:tcPr>
          <w:p>
            <w:pPr>
              <w:pStyle w:val="44"/>
              <w:rPr>
                <w:rFonts w:hint="eastAsia" w:eastAsia="宋体" w:cs="Times New Roman"/>
                <w:color w:val="auto"/>
                <w:shd w:val="clear" w:color="auto" w:fill="auto"/>
              </w:rPr>
            </w:pPr>
            <w:r>
              <w:rPr>
                <w:rFonts w:hint="eastAsia" w:eastAsia="宋体" w:cs="Times New Roman"/>
                <w:color w:val="auto"/>
                <w:shd w:val="clear" w:color="auto" w:fill="auto"/>
              </w:rPr>
              <w:t>50</w:t>
            </w:r>
          </w:p>
        </w:tc>
        <w:tc>
          <w:tcPr>
            <w:tcW w:w="1120" w:type="dxa"/>
            <w:vAlign w:val="center"/>
          </w:tcPr>
          <w:p>
            <w:pPr>
              <w:pStyle w:val="44"/>
              <w:rPr>
                <w:rFonts w:hint="eastAsia" w:eastAsia="宋体" w:cs="Times New Roman"/>
                <w:color w:val="auto"/>
                <w:shd w:val="clear" w:color="auto" w:fill="auto"/>
              </w:rPr>
            </w:pPr>
            <w:r>
              <w:rPr>
                <w:rFonts w:hint="eastAsia" w:eastAsia="宋体" w:cs="Times New Roman"/>
                <w:color w:val="auto"/>
                <w:shd w:val="clear" w:color="auto" w:fill="auto"/>
              </w:rPr>
              <w:t>达标</w:t>
            </w:r>
          </w:p>
        </w:tc>
      </w:tr>
    </w:tbl>
    <w:p>
      <w:pPr>
        <w:rPr>
          <w:color w:val="auto"/>
          <w:shd w:val="clear" w:color="auto" w:fill="auto"/>
        </w:rPr>
      </w:pPr>
      <w:r>
        <w:rPr>
          <w:rFonts w:hint="eastAsia"/>
          <w:color w:val="auto"/>
          <w:shd w:val="clear" w:color="auto" w:fill="auto"/>
        </w:rPr>
        <w:t>预测结果表明，本项目建成运行后，</w:t>
      </w:r>
      <w:r>
        <w:rPr>
          <w:rFonts w:hint="eastAsia"/>
          <w:color w:val="auto"/>
          <w:shd w:val="clear" w:color="auto" w:fill="auto"/>
          <w:lang w:eastAsia="zh-CN"/>
        </w:rPr>
        <w:t>东、西和北</w:t>
      </w:r>
      <w:r>
        <w:rPr>
          <w:rFonts w:hint="eastAsia"/>
          <w:color w:val="auto"/>
          <w:shd w:val="clear" w:color="auto" w:fill="auto"/>
        </w:rPr>
        <w:t>厂界噪声值能够满足</w:t>
      </w:r>
      <w:r>
        <w:rPr>
          <w:color w:val="auto"/>
          <w:shd w:val="clear" w:color="auto" w:fill="auto"/>
        </w:rPr>
        <w:t>《工业企业厂界环境噪声排放标准》（GB12348-2008）中</w:t>
      </w:r>
      <w:r>
        <w:rPr>
          <w:rFonts w:hint="eastAsia"/>
          <w:color w:val="auto"/>
          <w:shd w:val="clear" w:color="auto" w:fill="auto"/>
          <w:lang w:val="en-US" w:eastAsia="zh-CN"/>
        </w:rPr>
        <w:t>2</w:t>
      </w:r>
      <w:r>
        <w:rPr>
          <w:color w:val="auto"/>
          <w:shd w:val="clear" w:color="auto" w:fill="auto"/>
        </w:rPr>
        <w:t>类标准</w:t>
      </w:r>
      <w:r>
        <w:rPr>
          <w:rFonts w:hint="eastAsia"/>
          <w:color w:val="auto"/>
          <w:shd w:val="clear" w:color="auto" w:fill="auto"/>
        </w:rPr>
        <w:t>，南厂界（</w:t>
      </w:r>
      <w:r>
        <w:rPr>
          <w:rFonts w:hint="eastAsia"/>
          <w:color w:val="auto"/>
          <w:shd w:val="clear" w:color="auto" w:fill="auto"/>
          <w:lang w:eastAsia="zh-CN"/>
        </w:rPr>
        <w:t>内河、航道一侧</w:t>
      </w:r>
      <w:r>
        <w:rPr>
          <w:rFonts w:hint="eastAsia"/>
          <w:color w:val="auto"/>
          <w:shd w:val="clear" w:color="auto" w:fill="auto"/>
        </w:rPr>
        <w:t>）噪声值满足4</w:t>
      </w:r>
      <w:r>
        <w:rPr>
          <w:rFonts w:hint="eastAsia"/>
          <w:color w:val="auto"/>
          <w:shd w:val="clear" w:color="auto" w:fill="auto"/>
          <w:lang w:val="en-US" w:eastAsia="zh-CN"/>
        </w:rPr>
        <w:t>a</w:t>
      </w:r>
      <w:r>
        <w:rPr>
          <w:rFonts w:hint="eastAsia"/>
          <w:color w:val="auto"/>
          <w:shd w:val="clear" w:color="auto" w:fill="auto"/>
        </w:rPr>
        <w:t>类标准</w:t>
      </w:r>
      <w:r>
        <w:rPr>
          <w:rFonts w:hint="eastAsia"/>
          <w:color w:val="auto"/>
          <w:shd w:val="clear" w:color="auto" w:fill="auto"/>
          <w:lang w:eastAsia="zh-CN"/>
        </w:rPr>
        <w:t>；</w:t>
      </w:r>
      <w:r>
        <w:rPr>
          <w:rFonts w:hint="eastAsia"/>
          <w:color w:val="auto"/>
          <w:shd w:val="clear" w:color="auto" w:fill="auto"/>
        </w:rPr>
        <w:t>最近的环境敏感点</w:t>
      </w:r>
      <w:r>
        <w:rPr>
          <w:rFonts w:hint="eastAsia"/>
          <w:color w:val="auto"/>
          <w:shd w:val="clear" w:color="auto" w:fill="auto"/>
          <w:lang w:val="en-US" w:eastAsia="zh-CN"/>
        </w:rPr>
        <w:t>后陶桥声</w:t>
      </w:r>
      <w:r>
        <w:rPr>
          <w:rFonts w:hint="eastAsia"/>
          <w:color w:val="auto"/>
          <w:shd w:val="clear" w:color="auto" w:fill="auto"/>
        </w:rPr>
        <w:t>环境可满足</w:t>
      </w:r>
      <w:r>
        <w:rPr>
          <w:color w:val="auto"/>
          <w:shd w:val="clear" w:color="auto" w:fill="auto"/>
        </w:rPr>
        <w:t>《声环境质量标准》</w:t>
      </w:r>
      <w:r>
        <w:rPr>
          <w:rFonts w:hint="eastAsia"/>
          <w:color w:val="auto"/>
          <w:shd w:val="clear" w:color="auto" w:fill="auto"/>
        </w:rPr>
        <w:t>（</w:t>
      </w:r>
      <w:r>
        <w:rPr>
          <w:color w:val="auto"/>
          <w:shd w:val="clear" w:color="auto" w:fill="auto"/>
        </w:rPr>
        <w:t>GB3096-2008</w:t>
      </w:r>
      <w:r>
        <w:rPr>
          <w:rFonts w:hint="eastAsia"/>
          <w:color w:val="auto"/>
          <w:shd w:val="clear" w:color="auto" w:fill="auto"/>
        </w:rPr>
        <w:t>）</w:t>
      </w:r>
      <w:r>
        <w:rPr>
          <w:color w:val="auto"/>
          <w:shd w:val="clear" w:color="auto" w:fill="auto"/>
        </w:rPr>
        <w:t>中的</w:t>
      </w:r>
      <w:r>
        <w:rPr>
          <w:rFonts w:hint="eastAsia"/>
          <w:color w:val="auto"/>
          <w:shd w:val="clear" w:color="auto" w:fill="auto"/>
        </w:rPr>
        <w:t>2</w:t>
      </w:r>
      <w:r>
        <w:rPr>
          <w:color w:val="auto"/>
          <w:shd w:val="clear" w:color="auto" w:fill="auto"/>
        </w:rPr>
        <w:t>类标准。</w:t>
      </w:r>
      <w:r>
        <w:rPr>
          <w:rFonts w:hint="eastAsia"/>
          <w:color w:val="auto"/>
          <w:shd w:val="clear" w:color="auto" w:fill="auto"/>
          <w:lang w:eastAsia="zh-CN"/>
        </w:rPr>
        <w:t>因此，</w:t>
      </w:r>
      <w:r>
        <w:rPr>
          <w:color w:val="auto"/>
          <w:shd w:val="clear" w:color="auto" w:fill="auto"/>
        </w:rPr>
        <w:t>建设项目</w:t>
      </w:r>
      <w:r>
        <w:rPr>
          <w:rFonts w:hint="eastAsia"/>
          <w:color w:val="auto"/>
          <w:shd w:val="clear" w:color="auto" w:fill="auto"/>
          <w:lang w:eastAsia="zh-CN"/>
        </w:rPr>
        <w:t>运营</w:t>
      </w:r>
      <w:r>
        <w:rPr>
          <w:color w:val="auto"/>
          <w:shd w:val="clear" w:color="auto" w:fill="auto"/>
        </w:rPr>
        <w:t>后对周围</w:t>
      </w:r>
      <w:r>
        <w:rPr>
          <w:rFonts w:hint="eastAsia"/>
          <w:color w:val="auto"/>
          <w:shd w:val="clear" w:color="auto" w:fill="auto"/>
          <w:lang w:eastAsia="zh-CN"/>
        </w:rPr>
        <w:t>敏感点</w:t>
      </w:r>
      <w:r>
        <w:rPr>
          <w:color w:val="auto"/>
          <w:shd w:val="clear" w:color="auto" w:fill="auto"/>
        </w:rPr>
        <w:t>声环境影响较小。</w:t>
      </w:r>
    </w:p>
    <w:p>
      <w:pPr>
        <w:bidi w:val="0"/>
        <w:rPr>
          <w:rFonts w:hint="eastAsia"/>
          <w:color w:val="auto"/>
          <w:shd w:val="clear" w:color="auto" w:fill="auto"/>
          <w:lang w:val="en-US" w:eastAsia="zh-CN"/>
        </w:rPr>
      </w:pPr>
      <w:r>
        <w:rPr>
          <w:rFonts w:hint="eastAsia"/>
          <w:color w:val="auto"/>
          <w:shd w:val="clear" w:color="auto" w:fill="auto"/>
          <w:lang w:val="en-US" w:eastAsia="zh-CN"/>
        </w:rPr>
        <w:t>为尽量减少本项目建成后运营噪声对周边声环境的影响，本环评要求建设单位必须采取相应的噪声防治措施如下：</w:t>
      </w:r>
    </w:p>
    <w:p>
      <w:pPr>
        <w:bidi w:val="0"/>
        <w:rPr>
          <w:rFonts w:hint="eastAsia"/>
          <w:color w:val="auto"/>
          <w:shd w:val="clear" w:color="auto" w:fill="auto"/>
          <w:lang w:val="en-US" w:eastAsia="zh-CN"/>
        </w:rPr>
      </w:pPr>
      <w:r>
        <w:rPr>
          <w:rFonts w:hint="eastAsia"/>
          <w:color w:val="auto"/>
          <w:shd w:val="clear" w:color="auto" w:fill="auto"/>
          <w:lang w:val="en-US" w:eastAsia="zh-CN"/>
        </w:rPr>
        <w:t>（1）在设备与地面之间安装减振垫，减少机械振动产生的噪声污染；</w:t>
      </w:r>
    </w:p>
    <w:p>
      <w:pPr>
        <w:bidi w:val="0"/>
        <w:rPr>
          <w:rFonts w:hint="eastAsia"/>
          <w:color w:val="auto"/>
          <w:shd w:val="clear" w:color="auto" w:fill="auto"/>
          <w:lang w:val="en-US" w:eastAsia="zh-CN"/>
        </w:rPr>
      </w:pPr>
      <w:r>
        <w:rPr>
          <w:rFonts w:hint="eastAsia"/>
          <w:color w:val="auto"/>
          <w:shd w:val="clear" w:color="auto" w:fill="auto"/>
          <w:lang w:val="en-US" w:eastAsia="zh-CN"/>
        </w:rPr>
        <w:t>（2）对所有设备加强日常管理和维修，确保设备处于良好的运转状态，杜绝因设备不正常运转而产生的高噪声现象；</w:t>
      </w:r>
    </w:p>
    <w:p>
      <w:pPr>
        <w:bidi w:val="0"/>
        <w:rPr>
          <w:rFonts w:hint="eastAsia"/>
          <w:color w:val="auto"/>
          <w:shd w:val="clear" w:color="auto" w:fill="auto"/>
          <w:lang w:val="en-US" w:eastAsia="zh-CN"/>
        </w:rPr>
      </w:pPr>
      <w:r>
        <w:rPr>
          <w:rFonts w:hint="eastAsia"/>
          <w:color w:val="auto"/>
          <w:shd w:val="clear" w:color="auto" w:fill="auto"/>
          <w:lang w:val="en-US" w:eastAsia="zh-CN"/>
        </w:rPr>
        <w:t>（3）流动性设备尽可能远离厂界运行，以增大其噪声衰减距离；</w:t>
      </w:r>
    </w:p>
    <w:p>
      <w:pPr>
        <w:bidi w:val="0"/>
        <w:rPr>
          <w:rFonts w:hint="eastAsia"/>
          <w:color w:val="auto"/>
          <w:shd w:val="clear" w:color="auto" w:fill="auto"/>
          <w:lang w:val="en-US" w:eastAsia="zh-CN"/>
        </w:rPr>
      </w:pPr>
      <w:r>
        <w:rPr>
          <w:rFonts w:hint="eastAsia"/>
          <w:color w:val="auto"/>
          <w:shd w:val="clear" w:color="auto" w:fill="auto"/>
          <w:lang w:val="en-US" w:eastAsia="zh-CN"/>
        </w:rPr>
        <w:t>（4）船舶进入港区禁止鸣笛，并安排专人通过通信设施或其他设施方法引导，确保船舶航行安全；</w:t>
      </w:r>
    </w:p>
    <w:p>
      <w:pPr>
        <w:bidi w:val="0"/>
      </w:pPr>
      <w:r>
        <w:rPr>
          <w:rFonts w:hint="eastAsia"/>
          <w:color w:val="auto"/>
          <w:shd w:val="clear" w:color="auto" w:fill="auto"/>
          <w:lang w:val="en-US" w:eastAsia="zh-CN"/>
        </w:rPr>
        <w:t>（5）厂界周围栽种树木进行绿化，生产区周围及道路两旁种植花卉、树木绿化降噪。</w:t>
      </w:r>
    </w:p>
    <w:p>
      <w:pPr>
        <w:pStyle w:val="5"/>
        <w:rPr>
          <w:color w:val="auto"/>
          <w:shd w:val="clear" w:color="auto" w:fill="auto"/>
        </w:rPr>
      </w:pP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3</w:t>
      </w:r>
      <w:r>
        <w:rPr>
          <w:rFonts w:hint="eastAsia"/>
          <w:color w:val="auto"/>
          <w:shd w:val="clear" w:color="auto" w:fill="auto"/>
        </w:rPr>
        <w:t>.4 营运期固体废弃物</w:t>
      </w:r>
      <w:r>
        <w:rPr>
          <w:color w:val="auto"/>
          <w:shd w:val="clear" w:color="auto" w:fill="auto"/>
        </w:rPr>
        <w:t>环境影响分析</w:t>
      </w:r>
    </w:p>
    <w:p>
      <w:pPr>
        <w:pStyle w:val="6"/>
        <w:rPr>
          <w:color w:val="auto"/>
          <w:shd w:val="clear" w:color="auto" w:fill="auto"/>
        </w:rPr>
      </w:pP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3</w:t>
      </w:r>
      <w:r>
        <w:rPr>
          <w:rFonts w:hint="eastAsia"/>
          <w:color w:val="auto"/>
          <w:shd w:val="clear" w:color="auto" w:fill="auto"/>
        </w:rPr>
        <w:t>.4.1 固体废弃物产生量及分类</w:t>
      </w:r>
    </w:p>
    <w:p>
      <w:pPr>
        <w:ind w:firstLine="480"/>
        <w:rPr>
          <w:rFonts w:eastAsia="黑体" w:cs="Times New Roman"/>
          <w:color w:val="auto"/>
          <w:shd w:val="clear" w:color="auto" w:fill="auto"/>
        </w:rPr>
      </w:pPr>
      <w:r>
        <w:rPr>
          <w:color w:val="auto"/>
          <w:shd w:val="clear" w:color="auto" w:fill="auto"/>
        </w:rPr>
        <w:t>根据工程分析内容，</w:t>
      </w:r>
      <w:r>
        <w:rPr>
          <w:rFonts w:hint="eastAsia"/>
          <w:color w:val="auto"/>
          <w:shd w:val="clear" w:color="auto" w:fill="auto"/>
        </w:rPr>
        <w:t>建设项目</w:t>
      </w:r>
      <w:r>
        <w:rPr>
          <w:color w:val="auto"/>
          <w:shd w:val="clear" w:color="auto" w:fill="auto"/>
        </w:rPr>
        <w:t>营运期固体废物的产生情况见表</w:t>
      </w: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3</w:t>
      </w:r>
      <w:r>
        <w:rPr>
          <w:rFonts w:hint="eastAsia"/>
          <w:color w:val="auto"/>
          <w:shd w:val="clear" w:color="auto" w:fill="auto"/>
        </w:rPr>
        <w:t>-</w:t>
      </w:r>
      <w:r>
        <w:rPr>
          <w:rFonts w:hint="eastAsia"/>
          <w:color w:val="auto"/>
          <w:shd w:val="clear" w:color="auto" w:fill="auto"/>
          <w:lang w:val="en-US" w:eastAsia="zh-CN"/>
        </w:rPr>
        <w:t>10</w:t>
      </w:r>
      <w:r>
        <w:rPr>
          <w:color w:val="auto"/>
          <w:shd w:val="clear" w:color="auto" w:fill="auto"/>
        </w:rPr>
        <w:t>。</w:t>
      </w:r>
    </w:p>
    <w:p>
      <w:pPr>
        <w:keepNext w:val="0"/>
        <w:keepLines w:val="0"/>
        <w:pageBreakBefore w:val="0"/>
        <w:widowControl w:val="0"/>
        <w:kinsoku/>
        <w:wordWrap/>
        <w:overflowPunct/>
        <w:topLinePunct w:val="0"/>
        <w:autoSpaceDE/>
        <w:autoSpaceDN/>
        <w:bidi w:val="0"/>
        <w:adjustRightInd/>
        <w:snapToGrid/>
        <w:spacing w:before="157" w:beforeLines="50" w:line="240" w:lineRule="auto"/>
        <w:ind w:firstLine="0" w:firstLineChars="0"/>
        <w:jc w:val="center"/>
        <w:textAlignment w:val="auto"/>
        <w:rPr>
          <w:rFonts w:hint="eastAsia" w:ascii="Times New Roman" w:hAnsi="Times New Roman" w:eastAsia="黑体" w:cs="Times New Roman"/>
          <w:color w:val="auto"/>
          <w:kern w:val="2"/>
          <w:sz w:val="21"/>
          <w:szCs w:val="21"/>
          <w:shd w:val="clear" w:color="auto" w:fill="auto"/>
          <w:lang w:val="en-US" w:eastAsia="zh-CN" w:bidi="ar-SA"/>
        </w:rPr>
      </w:pPr>
      <w:r>
        <w:rPr>
          <w:rFonts w:hint="eastAsia" w:ascii="Times New Roman" w:hAnsi="Times New Roman" w:eastAsia="黑体" w:cs="Times New Roman"/>
          <w:color w:val="auto"/>
          <w:kern w:val="2"/>
          <w:sz w:val="21"/>
          <w:szCs w:val="21"/>
          <w:shd w:val="clear" w:color="auto" w:fill="auto"/>
          <w:lang w:val="en-US" w:eastAsia="zh-CN" w:bidi="ar-SA"/>
        </w:rPr>
        <w:t>表4.3-10  营运期各类固体废物的来源、种类、产生量及性质</w:t>
      </w:r>
    </w:p>
    <w:tbl>
      <w:tblPr>
        <w:tblStyle w:val="26"/>
        <w:tblW w:w="85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7"/>
        <w:gridCol w:w="1280"/>
        <w:gridCol w:w="1091"/>
        <w:gridCol w:w="1493"/>
        <w:gridCol w:w="833"/>
        <w:gridCol w:w="950"/>
        <w:gridCol w:w="21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7" w:type="dxa"/>
            <w:gridSpan w:val="2"/>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类型</w:t>
            </w:r>
          </w:p>
        </w:tc>
        <w:tc>
          <w:tcPr>
            <w:tcW w:w="1091"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来源</w:t>
            </w:r>
          </w:p>
        </w:tc>
        <w:tc>
          <w:tcPr>
            <w:tcW w:w="1493"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属性</w:t>
            </w:r>
          </w:p>
        </w:tc>
        <w:tc>
          <w:tcPr>
            <w:tcW w:w="833"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危废代码</w:t>
            </w:r>
          </w:p>
        </w:tc>
        <w:tc>
          <w:tcPr>
            <w:tcW w:w="95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产生量（t/a）</w:t>
            </w:r>
          </w:p>
        </w:tc>
        <w:tc>
          <w:tcPr>
            <w:tcW w:w="2169"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处理处置方式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707" w:type="dxa"/>
            <w:vMerge w:val="restart"/>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船舶固废</w:t>
            </w:r>
          </w:p>
        </w:tc>
        <w:tc>
          <w:tcPr>
            <w:tcW w:w="12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生活垃圾</w:t>
            </w:r>
          </w:p>
        </w:tc>
        <w:tc>
          <w:tcPr>
            <w:tcW w:w="1091"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船员生活</w:t>
            </w:r>
          </w:p>
        </w:tc>
        <w:tc>
          <w:tcPr>
            <w:tcW w:w="1493" w:type="dxa"/>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hd w:val="clear" w:color="auto" w:fill="auto"/>
              </w:rPr>
              <w:t>生活垃圾</w:t>
            </w:r>
          </w:p>
        </w:tc>
        <w:tc>
          <w:tcPr>
            <w:tcW w:w="833"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w:t>
            </w:r>
          </w:p>
        </w:tc>
        <w:tc>
          <w:tcPr>
            <w:tcW w:w="950" w:type="dxa"/>
            <w:vAlign w:val="center"/>
          </w:tcPr>
          <w:p>
            <w:pPr>
              <w:pStyle w:val="46"/>
              <w:spacing w:line="240" w:lineRule="auto"/>
              <w:ind w:firstLine="0" w:firstLineChars="0"/>
              <w:jc w:val="center"/>
              <w:rPr>
                <w:rFonts w:hint="default" w:ascii="Times New Roman" w:hAnsi="Times New Roman" w:cs="Times New Roman"/>
                <w:color w:val="auto"/>
                <w:sz w:val="21"/>
                <w:shd w:val="clear" w:color="auto" w:fill="auto"/>
                <w:lang w:val="en-US" w:eastAsia="zh-CN"/>
              </w:rPr>
            </w:pPr>
            <w:r>
              <w:rPr>
                <w:rFonts w:hint="eastAsia" w:cs="Times New Roman"/>
                <w:color w:val="auto"/>
                <w:sz w:val="21"/>
                <w:shd w:val="clear" w:color="auto" w:fill="auto"/>
                <w:lang w:val="en-US" w:eastAsia="zh-CN"/>
              </w:rPr>
              <w:t>24</w:t>
            </w:r>
          </w:p>
        </w:tc>
        <w:tc>
          <w:tcPr>
            <w:tcW w:w="2169" w:type="dxa"/>
            <w:vMerge w:val="restart"/>
            <w:vAlign w:val="center"/>
          </w:tcPr>
          <w:p>
            <w:pPr>
              <w:pStyle w:val="46"/>
              <w:spacing w:line="240" w:lineRule="auto"/>
              <w:ind w:firstLine="0" w:firstLineChars="0"/>
              <w:jc w:val="center"/>
              <w:rPr>
                <w:rFonts w:hint="eastAsia"/>
                <w:color w:val="auto"/>
                <w:sz w:val="21"/>
                <w:shd w:val="clear" w:color="auto" w:fill="auto"/>
                <w:lang w:val="en-US" w:eastAsia="zh-CN"/>
              </w:rPr>
            </w:pPr>
            <w:r>
              <w:rPr>
                <w:rFonts w:hint="eastAsia"/>
                <w:color w:val="auto"/>
                <w:sz w:val="21"/>
                <w:shd w:val="clear" w:color="auto" w:fill="auto"/>
              </w:rPr>
              <w:t>船舶自行收集后交</w:t>
            </w:r>
            <w:r>
              <w:rPr>
                <w:color w:val="auto"/>
                <w:sz w:val="21"/>
                <w:shd w:val="clear" w:color="auto" w:fill="auto"/>
              </w:rPr>
              <w:t>由</w:t>
            </w:r>
            <w:r>
              <w:rPr>
                <w:rFonts w:hint="eastAsia"/>
                <w:color w:val="auto"/>
                <w:sz w:val="21"/>
                <w:shd w:val="clear" w:color="auto" w:fill="auto"/>
              </w:rPr>
              <w:t>海事部门认可的有资质单位接收处理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707" w:type="dxa"/>
            <w:vMerge w:val="continue"/>
            <w:vAlign w:val="center"/>
          </w:tcPr>
          <w:p>
            <w:pPr>
              <w:pStyle w:val="46"/>
              <w:spacing w:line="240" w:lineRule="auto"/>
              <w:ind w:firstLine="0" w:firstLineChars="0"/>
              <w:jc w:val="center"/>
              <w:rPr>
                <w:rFonts w:hint="eastAsia" w:cs="Times New Roman"/>
                <w:color w:val="auto"/>
                <w:sz w:val="21"/>
                <w:shd w:val="clear" w:color="auto" w:fill="auto"/>
              </w:rPr>
            </w:pPr>
          </w:p>
        </w:tc>
        <w:tc>
          <w:tcPr>
            <w:tcW w:w="1280"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保养垃圾</w:t>
            </w:r>
          </w:p>
        </w:tc>
        <w:tc>
          <w:tcPr>
            <w:tcW w:w="1091"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船舶保养</w:t>
            </w:r>
          </w:p>
        </w:tc>
        <w:tc>
          <w:tcPr>
            <w:tcW w:w="1493"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一般工业固废</w:t>
            </w:r>
          </w:p>
        </w:tc>
        <w:tc>
          <w:tcPr>
            <w:tcW w:w="833"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w:t>
            </w:r>
          </w:p>
        </w:tc>
        <w:tc>
          <w:tcPr>
            <w:tcW w:w="950" w:type="dxa"/>
            <w:vAlign w:val="center"/>
          </w:tcPr>
          <w:p>
            <w:pPr>
              <w:pStyle w:val="46"/>
              <w:spacing w:line="240" w:lineRule="auto"/>
              <w:ind w:firstLine="0" w:firstLineChars="0"/>
              <w:jc w:val="center"/>
              <w:rPr>
                <w:rFonts w:hint="default" w:ascii="Times New Roman" w:hAnsi="Times New Roman" w:cs="Times New Roman"/>
                <w:color w:val="auto"/>
                <w:sz w:val="21"/>
                <w:shd w:val="clear" w:color="auto" w:fill="auto"/>
                <w:lang w:val="en-US" w:eastAsia="zh-CN"/>
              </w:rPr>
            </w:pPr>
            <w:r>
              <w:rPr>
                <w:rFonts w:hint="eastAsia" w:cs="Times New Roman"/>
                <w:color w:val="auto"/>
                <w:sz w:val="21"/>
                <w:shd w:val="clear" w:color="auto" w:fill="auto"/>
                <w:lang w:val="en-US" w:eastAsia="zh-CN"/>
              </w:rPr>
              <w:t>3</w:t>
            </w:r>
            <w:r>
              <w:rPr>
                <w:rFonts w:hint="eastAsia" w:ascii="Times New Roman" w:hAnsi="Times New Roman" w:cs="Times New Roman"/>
                <w:color w:val="auto"/>
                <w:sz w:val="21"/>
                <w:shd w:val="clear" w:color="auto" w:fill="auto"/>
                <w:lang w:val="en-US" w:eastAsia="zh-CN"/>
              </w:rPr>
              <w:t>2</w:t>
            </w:r>
          </w:p>
        </w:tc>
        <w:tc>
          <w:tcPr>
            <w:tcW w:w="2169" w:type="dxa"/>
            <w:vMerge w:val="continue"/>
            <w:vAlign w:val="center"/>
          </w:tcPr>
          <w:p>
            <w:pPr>
              <w:pStyle w:val="46"/>
              <w:spacing w:line="240" w:lineRule="auto"/>
              <w:ind w:firstLine="0" w:firstLineChars="0"/>
              <w:jc w:val="center"/>
              <w:rPr>
                <w:rFonts w:hint="eastAsia"/>
                <w:color w:val="auto"/>
                <w:sz w:val="21"/>
                <w:shd w:val="clear" w:color="auto" w:fil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707" w:type="dxa"/>
            <w:vMerge w:val="restart"/>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码头固废</w:t>
            </w:r>
          </w:p>
        </w:tc>
        <w:tc>
          <w:tcPr>
            <w:tcW w:w="12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生活垃圾</w:t>
            </w:r>
          </w:p>
        </w:tc>
        <w:tc>
          <w:tcPr>
            <w:tcW w:w="1091"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职工生活</w:t>
            </w:r>
          </w:p>
        </w:tc>
        <w:tc>
          <w:tcPr>
            <w:tcW w:w="1493" w:type="dxa"/>
            <w:vAlign w:val="center"/>
          </w:tcPr>
          <w:p>
            <w:pPr>
              <w:pStyle w:val="46"/>
              <w:spacing w:line="240" w:lineRule="auto"/>
              <w:ind w:firstLine="0" w:firstLineChars="0"/>
              <w:jc w:val="center"/>
              <w:rPr>
                <w:rFonts w:hint="eastAsia" w:cs="Times New Roman"/>
                <w:color w:val="auto"/>
                <w:sz w:val="21"/>
                <w:shd w:val="clear" w:color="auto" w:fill="auto"/>
              </w:rPr>
            </w:pPr>
            <w:r>
              <w:rPr>
                <w:rFonts w:hint="eastAsia" w:cs="Times New Roman"/>
                <w:color w:val="auto"/>
                <w:sz w:val="21"/>
                <w:shd w:val="clear" w:color="auto" w:fill="auto"/>
              </w:rPr>
              <w:t>生活垃圾</w:t>
            </w:r>
          </w:p>
        </w:tc>
        <w:tc>
          <w:tcPr>
            <w:tcW w:w="833"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w:t>
            </w:r>
          </w:p>
        </w:tc>
        <w:tc>
          <w:tcPr>
            <w:tcW w:w="950" w:type="dxa"/>
            <w:vAlign w:val="center"/>
          </w:tcPr>
          <w:p>
            <w:pPr>
              <w:pStyle w:val="46"/>
              <w:spacing w:line="240" w:lineRule="auto"/>
              <w:ind w:firstLine="0" w:firstLineChars="0"/>
              <w:jc w:val="center"/>
              <w:rPr>
                <w:rFonts w:hint="default" w:ascii="Times New Roman" w:hAnsi="Times New Roman" w:cs="Times New Roman"/>
                <w:color w:val="auto"/>
                <w:sz w:val="21"/>
                <w:shd w:val="clear" w:color="auto" w:fill="auto"/>
                <w:lang w:val="en-US" w:eastAsia="zh-CN"/>
              </w:rPr>
            </w:pPr>
            <w:r>
              <w:rPr>
                <w:rFonts w:hint="eastAsia" w:cs="Times New Roman"/>
                <w:color w:val="auto"/>
                <w:sz w:val="21"/>
                <w:shd w:val="clear" w:color="auto" w:fill="auto"/>
                <w:lang w:val="en-US" w:eastAsia="zh-CN"/>
              </w:rPr>
              <w:t>9.92</w:t>
            </w:r>
          </w:p>
        </w:tc>
        <w:tc>
          <w:tcPr>
            <w:tcW w:w="2169" w:type="dxa"/>
            <w:vMerge w:val="restart"/>
            <w:vAlign w:val="center"/>
          </w:tcPr>
          <w:p>
            <w:pPr>
              <w:pStyle w:val="46"/>
              <w:spacing w:line="240" w:lineRule="auto"/>
              <w:ind w:firstLine="0" w:firstLineChars="0"/>
              <w:jc w:val="center"/>
              <w:rPr>
                <w:rFonts w:hint="eastAsia" w:cs="Times New Roman"/>
                <w:color w:val="auto"/>
                <w:sz w:val="21"/>
                <w:shd w:val="clear" w:color="auto" w:fill="auto"/>
                <w:lang w:val="en-US" w:eastAsia="zh-CN"/>
              </w:rPr>
            </w:pPr>
            <w:r>
              <w:rPr>
                <w:rFonts w:hint="eastAsia"/>
                <w:color w:val="auto"/>
                <w:sz w:val="21"/>
                <w:shd w:val="clear" w:color="auto" w:fill="auto"/>
                <w:lang w:val="en-US" w:eastAsia="zh-CN"/>
              </w:rPr>
              <w:t>环卫部门处理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7"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280"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eastAsia="zh-CN"/>
              </w:rPr>
              <w:t>沉淀池</w:t>
            </w:r>
            <w:r>
              <w:rPr>
                <w:rFonts w:hint="eastAsia" w:cs="Times New Roman"/>
                <w:color w:val="auto"/>
                <w:sz w:val="21"/>
                <w:shd w:val="clear" w:color="auto" w:fill="auto"/>
              </w:rPr>
              <w:t>污泥</w:t>
            </w:r>
          </w:p>
        </w:tc>
        <w:tc>
          <w:tcPr>
            <w:tcW w:w="1091" w:type="dxa"/>
            <w:vAlign w:val="center"/>
          </w:tcPr>
          <w:p>
            <w:pPr>
              <w:pStyle w:val="46"/>
              <w:spacing w:line="240" w:lineRule="auto"/>
              <w:ind w:firstLine="0" w:firstLineChars="0"/>
              <w:jc w:val="center"/>
              <w:rPr>
                <w:rFonts w:hint="eastAsia" w:eastAsia="宋体" w:cs="Times New Roman"/>
                <w:color w:val="auto"/>
                <w:sz w:val="21"/>
                <w:shd w:val="clear" w:color="auto" w:fill="auto"/>
                <w:lang w:eastAsia="zh-CN"/>
              </w:rPr>
            </w:pPr>
            <w:r>
              <w:rPr>
                <w:rFonts w:hint="eastAsia" w:cs="Times New Roman"/>
                <w:color w:val="auto"/>
                <w:sz w:val="21"/>
                <w:shd w:val="clear" w:color="auto" w:fill="auto"/>
              </w:rPr>
              <w:t>沉淀池</w:t>
            </w:r>
          </w:p>
        </w:tc>
        <w:tc>
          <w:tcPr>
            <w:tcW w:w="1493"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color w:val="auto"/>
                <w:sz w:val="21"/>
                <w:shd w:val="clear" w:color="auto" w:fill="auto"/>
              </w:rPr>
              <w:t>一般</w:t>
            </w:r>
            <w:r>
              <w:rPr>
                <w:rFonts w:hint="eastAsia"/>
                <w:color w:val="auto"/>
                <w:sz w:val="21"/>
                <w:shd w:val="clear" w:color="auto" w:fill="auto"/>
                <w:lang w:val="en-US" w:eastAsia="zh-CN"/>
              </w:rPr>
              <w:t>工业固废</w:t>
            </w:r>
          </w:p>
        </w:tc>
        <w:tc>
          <w:tcPr>
            <w:tcW w:w="833"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w:t>
            </w:r>
          </w:p>
        </w:tc>
        <w:tc>
          <w:tcPr>
            <w:tcW w:w="950" w:type="dxa"/>
            <w:vAlign w:val="center"/>
          </w:tcPr>
          <w:p>
            <w:pPr>
              <w:pStyle w:val="46"/>
              <w:spacing w:line="240" w:lineRule="auto"/>
              <w:ind w:firstLine="0" w:firstLineChars="0"/>
              <w:jc w:val="center"/>
              <w:rPr>
                <w:rFonts w:hint="default" w:ascii="Times New Roman" w:hAnsi="Times New Roman" w:cs="Times New Roman"/>
                <w:color w:val="auto"/>
                <w:sz w:val="21"/>
                <w:shd w:val="clear" w:color="auto" w:fill="auto"/>
                <w:lang w:val="en-US" w:eastAsia="zh-CN"/>
              </w:rPr>
            </w:pPr>
            <w:r>
              <w:rPr>
                <w:rFonts w:hint="eastAsia" w:cs="Times New Roman"/>
                <w:color w:val="auto"/>
                <w:sz w:val="21"/>
                <w:shd w:val="clear" w:color="auto" w:fill="auto"/>
                <w:lang w:val="en-US" w:eastAsia="zh-CN"/>
              </w:rPr>
              <w:t>37.7</w:t>
            </w:r>
          </w:p>
        </w:tc>
        <w:tc>
          <w:tcPr>
            <w:tcW w:w="2169" w:type="dxa"/>
            <w:vMerge w:val="continue"/>
            <w:vAlign w:val="center"/>
          </w:tcPr>
          <w:p>
            <w:pPr>
              <w:pStyle w:val="46"/>
              <w:spacing w:line="240" w:lineRule="auto"/>
              <w:ind w:firstLine="0" w:firstLineChars="0"/>
              <w:jc w:val="center"/>
              <w:rPr>
                <w:rFonts w:hint="eastAsia" w:cs="Times New Roman"/>
                <w:color w:val="auto"/>
                <w:sz w:val="21"/>
                <w:shd w:val="clear" w:color="auto" w:fil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707" w:type="dxa"/>
            <w:vMerge w:val="continue"/>
            <w:vAlign w:val="center"/>
          </w:tcPr>
          <w:p>
            <w:pPr>
              <w:pStyle w:val="46"/>
              <w:spacing w:line="240" w:lineRule="auto"/>
              <w:ind w:firstLine="0" w:firstLineChars="0"/>
              <w:jc w:val="center"/>
              <w:rPr>
                <w:rFonts w:cs="Times New Roman"/>
                <w:color w:val="auto"/>
                <w:sz w:val="21"/>
                <w:shd w:val="clear" w:color="auto" w:fill="auto"/>
              </w:rPr>
            </w:pPr>
          </w:p>
        </w:tc>
        <w:tc>
          <w:tcPr>
            <w:tcW w:w="1280" w:type="dxa"/>
            <w:vAlign w:val="center"/>
          </w:tcPr>
          <w:p>
            <w:pPr>
              <w:pStyle w:val="46"/>
              <w:spacing w:line="240" w:lineRule="auto"/>
              <w:ind w:firstLine="0" w:firstLineChars="0"/>
              <w:jc w:val="center"/>
              <w:rPr>
                <w:rFonts w:cs="Times New Roman"/>
                <w:color w:val="auto"/>
                <w:sz w:val="21"/>
                <w:shd w:val="clear" w:color="auto" w:fill="auto"/>
              </w:rPr>
            </w:pPr>
            <w:r>
              <w:rPr>
                <w:rFonts w:hint="eastAsia" w:ascii="Times New Roman" w:hAnsi="Times New Roman" w:cs="Times New Roman"/>
                <w:color w:val="auto"/>
                <w:sz w:val="21"/>
                <w:szCs w:val="21"/>
                <w:shd w:val="clear" w:color="auto" w:fill="auto"/>
                <w:lang w:val="en-US" w:eastAsia="zh-CN"/>
              </w:rPr>
              <w:t>废油</w:t>
            </w:r>
          </w:p>
        </w:tc>
        <w:tc>
          <w:tcPr>
            <w:tcW w:w="1091" w:type="dxa"/>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lang w:eastAsia="zh-CN"/>
              </w:rPr>
              <w:t>隔油沉淀池</w:t>
            </w:r>
          </w:p>
        </w:tc>
        <w:tc>
          <w:tcPr>
            <w:tcW w:w="1493" w:type="dxa"/>
            <w:vAlign w:val="center"/>
          </w:tcPr>
          <w:p>
            <w:pPr>
              <w:pStyle w:val="46"/>
              <w:spacing w:line="240" w:lineRule="auto"/>
              <w:ind w:firstLine="0" w:firstLineChars="0"/>
              <w:jc w:val="center"/>
              <w:rPr>
                <w:rFonts w:hint="eastAsia" w:eastAsia="宋体" w:cs="Times New Roman"/>
                <w:color w:val="auto"/>
                <w:sz w:val="21"/>
                <w:shd w:val="clear" w:color="auto" w:fill="auto"/>
                <w:lang w:eastAsia="zh-CN"/>
              </w:rPr>
            </w:pPr>
            <w:r>
              <w:rPr>
                <w:rFonts w:hint="eastAsia" w:cs="Times New Roman"/>
                <w:color w:val="auto"/>
                <w:sz w:val="21"/>
                <w:shd w:val="clear" w:color="auto" w:fill="auto"/>
              </w:rPr>
              <w:t>危险</w:t>
            </w:r>
            <w:r>
              <w:rPr>
                <w:rFonts w:hint="eastAsia" w:cs="Times New Roman"/>
                <w:color w:val="auto"/>
                <w:sz w:val="21"/>
                <w:shd w:val="clear" w:color="auto" w:fill="auto"/>
                <w:lang w:val="en-US" w:eastAsia="zh-CN"/>
              </w:rPr>
              <w:t>废物</w:t>
            </w:r>
          </w:p>
        </w:tc>
        <w:tc>
          <w:tcPr>
            <w:tcW w:w="833" w:type="dxa"/>
            <w:vAlign w:val="center"/>
          </w:tcPr>
          <w:p>
            <w:pPr>
              <w:pStyle w:val="46"/>
              <w:spacing w:line="240" w:lineRule="auto"/>
              <w:ind w:firstLine="0" w:firstLineChars="0"/>
              <w:jc w:val="center"/>
              <w:rPr>
                <w:rFonts w:hint="eastAsia" w:eastAsia="宋体" w:cs="Times New Roman"/>
                <w:color w:val="auto"/>
                <w:sz w:val="21"/>
                <w:shd w:val="clear" w:color="auto" w:fill="auto"/>
                <w:lang w:val="en-US" w:eastAsia="zh-CN"/>
              </w:rPr>
            </w:pPr>
            <w:r>
              <w:rPr>
                <w:rFonts w:hint="eastAsia" w:cs="Times New Roman"/>
                <w:color w:val="auto"/>
                <w:sz w:val="21"/>
                <w:shd w:val="clear" w:color="auto" w:fill="auto"/>
                <w:lang w:val="en-US" w:eastAsia="zh-CN"/>
              </w:rPr>
              <w:t>HW08</w:t>
            </w:r>
          </w:p>
        </w:tc>
        <w:tc>
          <w:tcPr>
            <w:tcW w:w="950" w:type="dxa"/>
            <w:vAlign w:val="center"/>
          </w:tcPr>
          <w:p>
            <w:pPr>
              <w:pStyle w:val="46"/>
              <w:spacing w:line="240" w:lineRule="auto"/>
              <w:ind w:firstLine="0" w:firstLineChars="0"/>
              <w:jc w:val="center"/>
              <w:rPr>
                <w:rFonts w:hint="default" w:ascii="Times New Roman" w:hAnsi="Times New Roman" w:cs="Times New Roman"/>
                <w:color w:val="auto"/>
                <w:sz w:val="21"/>
                <w:shd w:val="clear" w:color="auto" w:fill="auto"/>
                <w:lang w:val="en-US" w:eastAsia="zh-CN"/>
              </w:rPr>
            </w:pPr>
            <w:r>
              <w:rPr>
                <w:rFonts w:hint="eastAsia" w:ascii="Times New Roman" w:hAnsi="Times New Roman" w:cs="Times New Roman"/>
                <w:color w:val="auto"/>
                <w:sz w:val="21"/>
                <w:shd w:val="clear" w:color="auto" w:fill="auto"/>
                <w:lang w:val="en-US" w:eastAsia="zh-CN"/>
              </w:rPr>
              <w:t>0.1</w:t>
            </w:r>
            <w:r>
              <w:rPr>
                <w:rFonts w:hint="eastAsia" w:cs="Times New Roman"/>
                <w:color w:val="auto"/>
                <w:sz w:val="21"/>
                <w:shd w:val="clear" w:color="auto" w:fill="auto"/>
                <w:lang w:val="en-US" w:eastAsia="zh-CN"/>
              </w:rPr>
              <w:t>3</w:t>
            </w:r>
          </w:p>
        </w:tc>
        <w:tc>
          <w:tcPr>
            <w:tcW w:w="2169" w:type="dxa"/>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lang w:val="en-US" w:eastAsia="zh-CN"/>
              </w:rPr>
            </w:pPr>
            <w:r>
              <w:rPr>
                <w:rFonts w:hint="eastAsia" w:ascii="Times New Roman" w:hAnsi="Times New Roman" w:cs="Times New Roman"/>
                <w:color w:val="auto"/>
                <w:sz w:val="21"/>
                <w:shd w:val="clear" w:color="auto" w:fill="auto"/>
                <w:lang w:val="en-US" w:eastAsia="zh-CN"/>
              </w:rPr>
              <w:t>用油污收集桶进行收集后，妥善暂存于危废暂存间，定期委托有资质单位处理处置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78" w:type="dxa"/>
            <w:gridSpan w:val="3"/>
            <w:vAlign w:val="center"/>
          </w:tcPr>
          <w:p>
            <w:pPr>
              <w:pStyle w:val="46"/>
              <w:spacing w:line="240" w:lineRule="auto"/>
              <w:ind w:firstLine="0" w:firstLineChars="0"/>
              <w:jc w:val="center"/>
              <w:rPr>
                <w:rFonts w:cs="Times New Roman"/>
                <w:color w:val="auto"/>
                <w:sz w:val="21"/>
                <w:shd w:val="clear" w:color="auto" w:fill="auto"/>
              </w:rPr>
            </w:pPr>
            <w:r>
              <w:rPr>
                <w:rFonts w:hint="eastAsia" w:cs="Times New Roman"/>
                <w:color w:val="auto"/>
                <w:sz w:val="21"/>
                <w:shd w:val="clear" w:color="auto" w:fill="auto"/>
              </w:rPr>
              <w:t>合    计</w:t>
            </w:r>
          </w:p>
        </w:tc>
        <w:tc>
          <w:tcPr>
            <w:tcW w:w="1493" w:type="dxa"/>
            <w:vAlign w:val="center"/>
          </w:tcPr>
          <w:p>
            <w:pPr>
              <w:pStyle w:val="46"/>
              <w:spacing w:line="240" w:lineRule="auto"/>
              <w:ind w:firstLine="0" w:firstLineChars="0"/>
              <w:jc w:val="center"/>
              <w:rPr>
                <w:rFonts w:hint="eastAsia" w:cs="Times New Roman"/>
                <w:color w:val="auto"/>
                <w:sz w:val="21"/>
                <w:shd w:val="clear" w:color="auto" w:fill="auto"/>
              </w:rPr>
            </w:pPr>
          </w:p>
        </w:tc>
        <w:tc>
          <w:tcPr>
            <w:tcW w:w="833" w:type="dxa"/>
            <w:vAlign w:val="center"/>
          </w:tcPr>
          <w:p>
            <w:pPr>
              <w:pStyle w:val="46"/>
              <w:spacing w:line="240" w:lineRule="auto"/>
              <w:ind w:firstLine="0" w:firstLineChars="0"/>
              <w:jc w:val="center"/>
              <w:rPr>
                <w:rFonts w:hint="eastAsia" w:cs="Times New Roman"/>
                <w:color w:val="auto"/>
                <w:sz w:val="21"/>
                <w:shd w:val="clear" w:color="auto" w:fill="auto"/>
              </w:rPr>
            </w:pPr>
          </w:p>
        </w:tc>
        <w:tc>
          <w:tcPr>
            <w:tcW w:w="950" w:type="dxa"/>
            <w:vAlign w:val="center"/>
          </w:tcPr>
          <w:p>
            <w:pPr>
              <w:pStyle w:val="46"/>
              <w:spacing w:line="240" w:lineRule="auto"/>
              <w:ind w:firstLine="0" w:firstLineChars="0"/>
              <w:jc w:val="center"/>
              <w:rPr>
                <w:rFonts w:hint="default" w:ascii="Times New Roman" w:hAnsi="Times New Roman" w:cs="Times New Roman"/>
                <w:color w:val="auto"/>
                <w:sz w:val="21"/>
                <w:shd w:val="clear" w:color="auto" w:fill="auto"/>
                <w:lang w:val="en-US" w:eastAsia="zh-CN"/>
              </w:rPr>
            </w:pPr>
            <w:r>
              <w:rPr>
                <w:rFonts w:hint="eastAsia" w:ascii="Times New Roman" w:hAnsi="Times New Roman" w:cs="Times New Roman"/>
                <w:color w:val="auto"/>
                <w:sz w:val="21"/>
                <w:shd w:val="clear" w:color="auto" w:fill="auto"/>
                <w:lang w:val="en-US" w:eastAsia="zh-CN"/>
              </w:rPr>
              <w:t>10</w:t>
            </w:r>
            <w:r>
              <w:rPr>
                <w:rFonts w:hint="eastAsia" w:cs="Times New Roman"/>
                <w:color w:val="auto"/>
                <w:sz w:val="21"/>
                <w:shd w:val="clear" w:color="auto" w:fill="auto"/>
                <w:lang w:val="en-US" w:eastAsia="zh-CN"/>
              </w:rPr>
              <w:t>3.75</w:t>
            </w:r>
          </w:p>
        </w:tc>
        <w:tc>
          <w:tcPr>
            <w:tcW w:w="2169" w:type="dxa"/>
            <w:vAlign w:val="center"/>
          </w:tcPr>
          <w:p>
            <w:pPr>
              <w:pStyle w:val="46"/>
              <w:spacing w:line="240" w:lineRule="auto"/>
              <w:ind w:firstLine="0" w:firstLineChars="0"/>
              <w:jc w:val="center"/>
              <w:rPr>
                <w:rFonts w:hint="eastAsia" w:ascii="Times New Roman" w:hAnsi="Times New Roman" w:cs="Times New Roman"/>
                <w:color w:val="auto"/>
                <w:sz w:val="21"/>
                <w:shd w:val="clear" w:color="auto" w:fill="auto"/>
                <w:lang w:val="en-US" w:eastAsia="zh-CN"/>
              </w:rPr>
            </w:pPr>
          </w:p>
        </w:tc>
      </w:tr>
    </w:tbl>
    <w:p>
      <w:pPr>
        <w:pStyle w:val="6"/>
        <w:rPr>
          <w:color w:val="auto"/>
          <w:shd w:val="clear" w:color="auto" w:fill="auto"/>
        </w:rPr>
      </w:pP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3</w:t>
      </w:r>
      <w:r>
        <w:rPr>
          <w:rFonts w:hint="eastAsia"/>
          <w:color w:val="auto"/>
          <w:shd w:val="clear" w:color="auto" w:fill="auto"/>
        </w:rPr>
        <w:t>.4.2 固体废弃物环境影响分析</w:t>
      </w:r>
    </w:p>
    <w:p>
      <w:pPr>
        <w:ind w:firstLine="480"/>
        <w:rPr>
          <w:color w:val="auto"/>
          <w:szCs w:val="28"/>
          <w:shd w:val="clear" w:color="auto" w:fill="auto"/>
        </w:rPr>
      </w:pPr>
      <w:r>
        <w:rPr>
          <w:rFonts w:hint="eastAsia" w:hAnsi="宋体"/>
          <w:color w:val="auto"/>
          <w:szCs w:val="28"/>
          <w:shd w:val="clear" w:color="auto" w:fill="auto"/>
        </w:rPr>
        <w:t>固体废弃物</w:t>
      </w:r>
      <w:r>
        <w:rPr>
          <w:rFonts w:hAnsi="宋体"/>
          <w:color w:val="auto"/>
          <w:szCs w:val="28"/>
          <w:shd w:val="clear" w:color="auto" w:fill="auto"/>
        </w:rPr>
        <w:t>如果随意丢弃一般会对环境产生以下影响：</w:t>
      </w:r>
    </w:p>
    <w:p>
      <w:pPr>
        <w:ind w:firstLine="480"/>
        <w:rPr>
          <w:color w:val="auto"/>
          <w:szCs w:val="28"/>
          <w:shd w:val="clear" w:color="auto" w:fill="auto"/>
        </w:rPr>
      </w:pPr>
      <w:r>
        <w:rPr>
          <w:rFonts w:hAnsi="宋体"/>
          <w:color w:val="auto"/>
          <w:szCs w:val="28"/>
          <w:shd w:val="clear" w:color="auto" w:fill="auto"/>
        </w:rPr>
        <w:t>（</w:t>
      </w:r>
      <w:r>
        <w:rPr>
          <w:color w:val="auto"/>
          <w:szCs w:val="28"/>
          <w:shd w:val="clear" w:color="auto" w:fill="auto"/>
        </w:rPr>
        <w:t>1</w:t>
      </w:r>
      <w:r>
        <w:rPr>
          <w:rFonts w:hAnsi="宋体"/>
          <w:color w:val="auto"/>
          <w:szCs w:val="28"/>
          <w:shd w:val="clear" w:color="auto" w:fill="auto"/>
        </w:rPr>
        <w:t>）对水体的影响</w:t>
      </w:r>
    </w:p>
    <w:p>
      <w:pPr>
        <w:ind w:firstLine="480"/>
        <w:rPr>
          <w:color w:val="auto"/>
          <w:szCs w:val="28"/>
          <w:shd w:val="clear" w:color="auto" w:fill="auto"/>
        </w:rPr>
      </w:pPr>
      <w:r>
        <w:rPr>
          <w:rFonts w:hAnsi="宋体"/>
          <w:color w:val="auto"/>
          <w:szCs w:val="28"/>
          <w:shd w:val="clear" w:color="auto" w:fill="auto"/>
        </w:rPr>
        <w:t>堆积垃圾经常年风吹日晒，腐烂分解，进而经雨水淋溶产生渗滤。根据调查，渗滤液中</w:t>
      </w:r>
      <w:r>
        <w:rPr>
          <w:color w:val="auto"/>
          <w:szCs w:val="28"/>
          <w:shd w:val="clear" w:color="auto" w:fill="auto"/>
        </w:rPr>
        <w:t>COD</w:t>
      </w:r>
      <w:r>
        <w:rPr>
          <w:color w:val="auto"/>
          <w:szCs w:val="28"/>
          <w:shd w:val="clear" w:color="auto" w:fill="auto"/>
          <w:vertAlign w:val="subscript"/>
        </w:rPr>
        <w:t>Cr</w:t>
      </w:r>
      <w:r>
        <w:rPr>
          <w:rFonts w:hAnsi="宋体"/>
          <w:color w:val="auto"/>
          <w:szCs w:val="28"/>
          <w:shd w:val="clear" w:color="auto" w:fill="auto"/>
        </w:rPr>
        <w:t>可达</w:t>
      </w:r>
      <w:r>
        <w:rPr>
          <w:color w:val="auto"/>
          <w:szCs w:val="28"/>
          <w:shd w:val="clear" w:color="auto" w:fill="auto"/>
        </w:rPr>
        <w:t>70</w:t>
      </w:r>
      <w:r>
        <w:rPr>
          <w:rFonts w:hint="eastAsia"/>
          <w:color w:val="auto"/>
          <w:szCs w:val="28"/>
          <w:shd w:val="clear" w:color="auto" w:fill="auto"/>
        </w:rPr>
        <w:t>~</w:t>
      </w:r>
      <w:r>
        <w:rPr>
          <w:color w:val="auto"/>
          <w:szCs w:val="28"/>
          <w:shd w:val="clear" w:color="auto" w:fill="auto"/>
        </w:rPr>
        <w:t>90</w:t>
      </w:r>
      <w:r>
        <w:rPr>
          <w:rFonts w:hint="eastAsia"/>
          <w:color w:val="auto"/>
          <w:szCs w:val="28"/>
          <w:shd w:val="clear" w:color="auto" w:fill="auto"/>
          <w:lang w:eastAsia="zh-CN"/>
        </w:rPr>
        <w:t>m</w:t>
      </w:r>
      <w:r>
        <w:rPr>
          <w:color w:val="auto"/>
          <w:szCs w:val="28"/>
          <w:shd w:val="clear" w:color="auto" w:fill="auto"/>
        </w:rPr>
        <w:t>g</w:t>
      </w:r>
      <w:r>
        <w:rPr>
          <w:rFonts w:hint="eastAsia"/>
          <w:color w:val="auto"/>
          <w:szCs w:val="28"/>
          <w:shd w:val="clear" w:color="auto" w:fill="auto"/>
        </w:rPr>
        <w:t>/L</w:t>
      </w:r>
      <w:r>
        <w:rPr>
          <w:rFonts w:hAnsi="宋体"/>
          <w:color w:val="auto"/>
          <w:szCs w:val="28"/>
          <w:shd w:val="clear" w:color="auto" w:fill="auto"/>
        </w:rPr>
        <w:t>，细菌总数为</w:t>
      </w:r>
      <w:r>
        <w:rPr>
          <w:color w:val="auto"/>
          <w:szCs w:val="28"/>
          <w:shd w:val="clear" w:color="auto" w:fill="auto"/>
        </w:rPr>
        <w:t>2×10</w:t>
      </w:r>
      <w:r>
        <w:rPr>
          <w:color w:val="auto"/>
          <w:szCs w:val="28"/>
          <w:shd w:val="clear" w:color="auto" w:fill="auto"/>
          <w:vertAlign w:val="superscript"/>
        </w:rPr>
        <w:t>4</w:t>
      </w:r>
      <w:r>
        <w:rPr>
          <w:rFonts w:hAnsi="宋体"/>
          <w:color w:val="auto"/>
          <w:szCs w:val="28"/>
          <w:shd w:val="clear" w:color="auto" w:fill="auto"/>
        </w:rPr>
        <w:t>个</w:t>
      </w:r>
      <w:r>
        <w:rPr>
          <w:color w:val="auto"/>
          <w:szCs w:val="28"/>
          <w:shd w:val="clear" w:color="auto" w:fill="auto"/>
        </w:rPr>
        <w:t>/</w:t>
      </w:r>
      <w:r>
        <w:rPr>
          <w:rFonts w:hint="eastAsia"/>
          <w:color w:val="auto"/>
          <w:szCs w:val="28"/>
          <w:shd w:val="clear" w:color="auto" w:fill="auto"/>
          <w:lang w:eastAsia="zh-CN"/>
        </w:rPr>
        <w:t>m</w:t>
      </w:r>
      <w:r>
        <w:rPr>
          <w:rFonts w:hint="eastAsia"/>
          <w:color w:val="auto"/>
          <w:szCs w:val="28"/>
          <w:shd w:val="clear" w:color="auto" w:fill="auto"/>
        </w:rPr>
        <w:t>L</w:t>
      </w:r>
      <w:r>
        <w:rPr>
          <w:rFonts w:hAnsi="宋体"/>
          <w:color w:val="auto"/>
          <w:szCs w:val="28"/>
          <w:shd w:val="clear" w:color="auto" w:fill="auto"/>
        </w:rPr>
        <w:t>，大肠菌群</w:t>
      </w:r>
      <w:r>
        <w:rPr>
          <w:color w:val="auto"/>
          <w:szCs w:val="28"/>
          <w:shd w:val="clear" w:color="auto" w:fill="auto"/>
        </w:rPr>
        <w:t>&gt;1600</w:t>
      </w:r>
      <w:r>
        <w:rPr>
          <w:rFonts w:hAnsi="宋体"/>
          <w:color w:val="auto"/>
          <w:szCs w:val="28"/>
          <w:shd w:val="clear" w:color="auto" w:fill="auto"/>
        </w:rPr>
        <w:t>个</w:t>
      </w:r>
      <w:r>
        <w:rPr>
          <w:color w:val="auto"/>
          <w:szCs w:val="28"/>
          <w:shd w:val="clear" w:color="auto" w:fill="auto"/>
        </w:rPr>
        <w:t>/</w:t>
      </w:r>
      <w:r>
        <w:rPr>
          <w:rFonts w:hint="eastAsia"/>
          <w:color w:val="auto"/>
          <w:szCs w:val="28"/>
          <w:shd w:val="clear" w:color="auto" w:fill="auto"/>
        </w:rPr>
        <w:t>L</w:t>
      </w:r>
      <w:r>
        <w:rPr>
          <w:rFonts w:hAnsi="宋体"/>
          <w:color w:val="auto"/>
          <w:szCs w:val="28"/>
          <w:shd w:val="clear" w:color="auto" w:fill="auto"/>
        </w:rPr>
        <w:t>，有害成分很多。若进入水体，将对水环境造成极大危害。</w:t>
      </w:r>
    </w:p>
    <w:p>
      <w:pPr>
        <w:ind w:firstLine="480"/>
        <w:rPr>
          <w:color w:val="auto"/>
          <w:szCs w:val="28"/>
          <w:shd w:val="clear" w:color="auto" w:fill="auto"/>
        </w:rPr>
      </w:pPr>
      <w:r>
        <w:rPr>
          <w:rFonts w:hAnsi="宋体"/>
          <w:color w:val="auto"/>
          <w:szCs w:val="28"/>
          <w:shd w:val="clear" w:color="auto" w:fill="auto"/>
        </w:rPr>
        <w:t>（</w:t>
      </w:r>
      <w:r>
        <w:rPr>
          <w:color w:val="auto"/>
          <w:szCs w:val="28"/>
          <w:shd w:val="clear" w:color="auto" w:fill="auto"/>
        </w:rPr>
        <w:t>2</w:t>
      </w:r>
      <w:r>
        <w:rPr>
          <w:rFonts w:hAnsi="宋体"/>
          <w:color w:val="auto"/>
          <w:szCs w:val="28"/>
          <w:shd w:val="clear" w:color="auto" w:fill="auto"/>
        </w:rPr>
        <w:t>）对空气环境的影响</w:t>
      </w:r>
    </w:p>
    <w:p>
      <w:pPr>
        <w:ind w:firstLine="480"/>
        <w:rPr>
          <w:color w:val="auto"/>
          <w:szCs w:val="28"/>
          <w:shd w:val="clear" w:color="auto" w:fill="auto"/>
        </w:rPr>
      </w:pPr>
      <w:r>
        <w:rPr>
          <w:rFonts w:hAnsi="宋体"/>
          <w:color w:val="auto"/>
          <w:szCs w:val="28"/>
          <w:shd w:val="clear" w:color="auto" w:fill="auto"/>
        </w:rPr>
        <w:t>垃圾产生的恶臭是一种感觉公害。垃圾散发出的气体属于低浓度多组分的混合气体，是由垃圾中含有的蛋白质、脂肪和糖类分解产生的硫化氢、硫醇、硫醚等气体而形成。它随大气湍流扩散，越接近恶臭源，感觉恶臭强度就越强。</w:t>
      </w:r>
    </w:p>
    <w:p>
      <w:pPr>
        <w:ind w:firstLine="480"/>
        <w:rPr>
          <w:color w:val="auto"/>
          <w:szCs w:val="28"/>
          <w:shd w:val="clear" w:color="auto" w:fill="auto"/>
        </w:rPr>
      </w:pPr>
      <w:r>
        <w:rPr>
          <w:rFonts w:hAnsi="宋体"/>
          <w:color w:val="auto"/>
          <w:szCs w:val="28"/>
          <w:shd w:val="clear" w:color="auto" w:fill="auto"/>
        </w:rPr>
        <w:t>（</w:t>
      </w:r>
      <w:r>
        <w:rPr>
          <w:color w:val="auto"/>
          <w:szCs w:val="28"/>
          <w:shd w:val="clear" w:color="auto" w:fill="auto"/>
        </w:rPr>
        <w:t>3</w:t>
      </w:r>
      <w:r>
        <w:rPr>
          <w:rFonts w:hAnsi="宋体"/>
          <w:color w:val="auto"/>
          <w:szCs w:val="28"/>
          <w:shd w:val="clear" w:color="auto" w:fill="auto"/>
        </w:rPr>
        <w:t>）对景观的影响</w:t>
      </w:r>
    </w:p>
    <w:p>
      <w:pPr>
        <w:ind w:firstLine="480"/>
        <w:rPr>
          <w:color w:val="auto"/>
          <w:szCs w:val="28"/>
          <w:shd w:val="clear" w:color="auto" w:fill="auto"/>
        </w:rPr>
      </w:pPr>
      <w:r>
        <w:rPr>
          <w:rFonts w:hAnsi="宋体"/>
          <w:color w:val="auto"/>
          <w:szCs w:val="28"/>
          <w:shd w:val="clear" w:color="auto" w:fill="auto"/>
        </w:rPr>
        <w:t>垃圾长期堆存，即不雅观，也不文明。如果正值夏季高温多雨，蝇蚊孳生，污水溢流，也与整个码头区整洁优美的生产环境极不协调。建筑垃圾随处堆放会影响到施工的安全性和环境的整洁性。</w:t>
      </w:r>
    </w:p>
    <w:p>
      <w:pPr>
        <w:pStyle w:val="6"/>
        <w:rPr>
          <w:color w:val="auto"/>
          <w:shd w:val="clear" w:color="auto" w:fill="auto"/>
        </w:rPr>
      </w:pP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val="en-US" w:eastAsia="zh-CN"/>
        </w:rPr>
        <w:t>3</w:t>
      </w:r>
      <w:r>
        <w:rPr>
          <w:rFonts w:hint="eastAsia"/>
          <w:color w:val="auto"/>
          <w:shd w:val="clear" w:color="auto" w:fill="auto"/>
        </w:rPr>
        <w:t>.4.3 固体废物的处理处置</w:t>
      </w:r>
    </w:p>
    <w:p>
      <w:pPr>
        <w:ind w:firstLine="480"/>
        <w:rPr>
          <w:rFonts w:ascii="宋体" w:hAnsi="宋体"/>
          <w:color w:val="auto"/>
          <w:sz w:val="24"/>
          <w:szCs w:val="24"/>
          <w:shd w:val="clear" w:color="auto" w:fill="auto"/>
        </w:rPr>
      </w:pPr>
      <w:r>
        <w:rPr>
          <w:rFonts w:hint="eastAsia" w:ascii="宋体" w:hAnsi="宋体"/>
          <w:color w:val="auto"/>
          <w:sz w:val="24"/>
          <w:szCs w:val="24"/>
          <w:shd w:val="clear" w:color="auto" w:fill="auto"/>
        </w:rPr>
        <w:t>按照上述固体废物的产生量以及固体废物对周边环境产生的可能影响分析来看，拟建码头区产生的固体废物必须进行安全处理处置。</w:t>
      </w:r>
    </w:p>
    <w:p>
      <w:pPr>
        <w:pStyle w:val="13"/>
        <w:spacing w:line="360" w:lineRule="auto"/>
        <w:ind w:firstLine="480"/>
        <w:rPr>
          <w:rFonts w:hint="eastAsia"/>
          <w:color w:val="auto"/>
          <w:sz w:val="24"/>
          <w:szCs w:val="24"/>
          <w:shd w:val="clear" w:color="auto" w:fill="auto"/>
        </w:rPr>
      </w:pPr>
      <w:r>
        <w:rPr>
          <w:rFonts w:hint="eastAsia"/>
          <w:color w:val="auto"/>
          <w:sz w:val="24"/>
          <w:szCs w:val="24"/>
          <w:shd w:val="clear" w:color="auto" w:fill="auto"/>
        </w:rPr>
        <w:t>（1）</w:t>
      </w:r>
      <w:r>
        <w:rPr>
          <w:rFonts w:hint="eastAsia" w:cs="Times New Roman"/>
          <w:color w:val="auto"/>
          <w:sz w:val="24"/>
          <w:szCs w:val="24"/>
          <w:shd w:val="clear" w:color="auto" w:fill="auto"/>
          <w:lang w:val="en-US" w:eastAsia="zh-CN"/>
        </w:rPr>
        <w:t>船舶生活垃圾和保养垃圾由海事部门认可的有资质单位接收处理；</w:t>
      </w:r>
    </w:p>
    <w:p>
      <w:pPr>
        <w:pStyle w:val="13"/>
        <w:spacing w:line="360" w:lineRule="auto"/>
        <w:ind w:firstLine="480"/>
        <w:rPr>
          <w:rFonts w:ascii="宋体" w:hAnsi="宋体"/>
          <w:color w:val="auto"/>
          <w:szCs w:val="28"/>
          <w:shd w:val="clear" w:color="auto" w:fill="auto"/>
        </w:rPr>
      </w:pPr>
      <w:r>
        <w:rPr>
          <w:rFonts w:hint="eastAsia"/>
          <w:color w:val="auto"/>
          <w:sz w:val="24"/>
          <w:szCs w:val="24"/>
          <w:shd w:val="clear" w:color="auto" w:fill="auto"/>
          <w:lang w:eastAsia="zh-CN"/>
        </w:rPr>
        <w:t>（</w:t>
      </w:r>
      <w:r>
        <w:rPr>
          <w:rFonts w:hint="eastAsia"/>
          <w:color w:val="auto"/>
          <w:sz w:val="24"/>
          <w:szCs w:val="24"/>
          <w:shd w:val="clear" w:color="auto" w:fill="auto"/>
          <w:lang w:val="en-US" w:eastAsia="zh-CN"/>
        </w:rPr>
        <w:t>2</w:t>
      </w:r>
      <w:r>
        <w:rPr>
          <w:rFonts w:hint="eastAsia"/>
          <w:color w:val="auto"/>
          <w:sz w:val="24"/>
          <w:szCs w:val="24"/>
          <w:shd w:val="clear" w:color="auto" w:fill="auto"/>
          <w:lang w:eastAsia="zh-CN"/>
        </w:rPr>
        <w:t>）</w:t>
      </w:r>
      <w:r>
        <w:rPr>
          <w:rFonts w:hint="eastAsia" w:ascii="宋体" w:hAnsi="宋体"/>
          <w:color w:val="auto"/>
          <w:sz w:val="24"/>
          <w:szCs w:val="24"/>
          <w:shd w:val="clear" w:color="auto" w:fill="auto"/>
        </w:rPr>
        <w:t>码头生活垃圾主要成分为</w:t>
      </w:r>
      <w:r>
        <w:rPr>
          <w:rFonts w:hint="eastAsia" w:ascii="宋体" w:hAnsi="宋体"/>
          <w:color w:val="auto"/>
          <w:szCs w:val="28"/>
          <w:shd w:val="clear" w:color="auto" w:fill="auto"/>
        </w:rPr>
        <w:t>纸类、塑料制品、玻璃、金属等，可委托当地环卫部门处理。</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3</w:t>
      </w:r>
      <w:r>
        <w:rPr>
          <w:rFonts w:hint="eastAsia"/>
          <w:color w:val="auto"/>
          <w:shd w:val="clear" w:color="auto" w:fill="auto"/>
        </w:rPr>
        <w:t>）沉淀池污泥为一般固体废物，定期由当地环卫部门清运处置，不外排。</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4</w:t>
      </w:r>
      <w:r>
        <w:rPr>
          <w:rFonts w:hint="eastAsia"/>
          <w:color w:val="auto"/>
          <w:shd w:val="clear" w:color="auto" w:fill="auto"/>
        </w:rPr>
        <w:t>）</w:t>
      </w:r>
      <w:r>
        <w:rPr>
          <w:rFonts w:hint="eastAsia"/>
          <w:color w:val="auto"/>
          <w:shd w:val="clear" w:color="auto" w:fill="auto"/>
          <w:lang w:eastAsia="zh-CN"/>
        </w:rPr>
        <w:t>隔油沉淀池浮油</w:t>
      </w:r>
      <w:r>
        <w:rPr>
          <w:color w:val="auto"/>
          <w:shd w:val="clear" w:color="auto" w:fill="auto"/>
        </w:rPr>
        <w:t>属于危险废物</w:t>
      </w:r>
      <w:r>
        <w:rPr>
          <w:rFonts w:hint="eastAsia"/>
          <w:color w:val="auto"/>
          <w:shd w:val="clear" w:color="auto" w:fill="auto"/>
        </w:rPr>
        <w:t>。</w:t>
      </w:r>
      <w:r>
        <w:rPr>
          <w:rFonts w:hint="eastAsia" w:ascii="Times New Roman" w:hAnsi="Times New Roman" w:eastAsia="宋体" w:cs="Times New Roman"/>
          <w:i w:val="0"/>
          <w:caps w:val="0"/>
          <w:color w:val="auto"/>
          <w:spacing w:val="0"/>
          <w:sz w:val="24"/>
          <w:szCs w:val="24"/>
          <w:lang w:val="en-US" w:eastAsia="zh-CN"/>
        </w:rPr>
        <w:t>用油污收集桶进行收集后，妥善暂存于危废暂存间</w:t>
      </w:r>
      <w:r>
        <w:rPr>
          <w:rFonts w:hint="eastAsia"/>
          <w:color w:val="auto"/>
          <w:shd w:val="clear" w:color="auto" w:fill="auto"/>
        </w:rPr>
        <w:t>，</w:t>
      </w:r>
      <w:r>
        <w:rPr>
          <w:rFonts w:hint="eastAsia"/>
          <w:color w:val="auto"/>
          <w:shd w:val="clear" w:color="auto" w:fill="auto"/>
          <w:lang w:eastAsia="zh-CN"/>
        </w:rPr>
        <w:t>定期</w:t>
      </w:r>
      <w:r>
        <w:rPr>
          <w:rFonts w:hint="eastAsia"/>
          <w:color w:val="auto"/>
          <w:shd w:val="clear" w:color="auto" w:fill="auto"/>
        </w:rPr>
        <w:t>委托有资质的单位进行定期收集和处置。</w:t>
      </w:r>
    </w:p>
    <w:p>
      <w:pPr>
        <w:rPr>
          <w:rFonts w:hint="eastAsia"/>
          <w:color w:val="auto"/>
          <w:shd w:val="clear" w:color="auto" w:fill="auto"/>
        </w:rPr>
      </w:pPr>
      <w:r>
        <w:rPr>
          <w:rFonts w:hint="eastAsia"/>
          <w:color w:val="auto"/>
          <w:shd w:val="clear" w:color="auto" w:fill="auto"/>
        </w:rPr>
        <w:t>建设项目营运期产生的固体废物通过上述处理后，可以减轻或避免对环境的影响。</w:t>
      </w:r>
    </w:p>
    <w:p>
      <w:pPr>
        <w:pStyle w:val="5"/>
        <w:bidi w:val="0"/>
      </w:pPr>
      <w:r>
        <w:rPr>
          <w:rFonts w:hint="eastAsia"/>
          <w:lang w:val="en-US" w:eastAsia="zh-CN"/>
        </w:rPr>
        <w:t>4.3.5项目</w:t>
      </w:r>
      <w:r>
        <w:rPr>
          <w:rFonts w:hint="eastAsia"/>
        </w:rPr>
        <w:t>陆路交通运输对周边敏感点影响分析</w:t>
      </w:r>
    </w:p>
    <w:p>
      <w:pPr>
        <w:bidi w:val="0"/>
        <w:rPr>
          <w:rFonts w:hint="eastAsia"/>
        </w:rPr>
      </w:pPr>
      <w:r>
        <w:rPr>
          <w:rFonts w:hint="eastAsia"/>
        </w:rPr>
        <w:t>项目施工期工程建设及运营期公路运输</w:t>
      </w:r>
      <w:r>
        <w:t>主要通过</w:t>
      </w:r>
      <w:r>
        <w:rPr>
          <w:rFonts w:hint="eastAsia"/>
        </w:rPr>
        <w:t>港区后方</w:t>
      </w:r>
      <w:r>
        <w:rPr>
          <w:rFonts w:hint="eastAsia"/>
          <w:b w:val="0"/>
          <w:bCs w:val="0"/>
          <w:color w:val="auto"/>
          <w:shd w:val="clear" w:color="auto" w:fill="auto"/>
          <w:lang w:eastAsia="zh-CN"/>
        </w:rPr>
        <w:t>沙颍河</w:t>
      </w:r>
      <w:r>
        <w:rPr>
          <w:rFonts w:hint="eastAsia"/>
          <w:b w:val="0"/>
          <w:bCs w:val="0"/>
          <w:color w:val="auto"/>
          <w:shd w:val="clear" w:color="auto" w:fill="auto"/>
        </w:rPr>
        <w:t>堤顶道路</w:t>
      </w:r>
      <w:r>
        <w:rPr>
          <w:rFonts w:hint="eastAsia"/>
        </w:rPr>
        <w:t>，连接</w:t>
      </w:r>
      <w:r>
        <w:rPr>
          <w:rFonts w:hint="eastAsia"/>
          <w:lang w:val="en-US" w:eastAsia="zh-CN"/>
        </w:rPr>
        <w:t>国道105</w:t>
      </w:r>
      <w:r>
        <w:rPr>
          <w:rFonts w:hint="eastAsia"/>
        </w:rPr>
        <w:t>，运输车辆对路线两侧的各个敏感点（如</w:t>
      </w:r>
      <w:r>
        <w:rPr>
          <w:rFonts w:hint="eastAsia"/>
          <w:color w:val="auto"/>
          <w:sz w:val="24"/>
          <w:lang w:val="en-US" w:eastAsia="zh-CN"/>
        </w:rPr>
        <w:t>后陶桥、北陈庄、玫瑰园</w:t>
      </w:r>
      <w:r>
        <w:rPr>
          <w:rFonts w:hint="eastAsia"/>
        </w:rPr>
        <w:t>等）产生的主要影响为车辆行驶噪声以及扬尘。</w:t>
      </w:r>
    </w:p>
    <w:p>
      <w:pPr>
        <w:spacing w:line="360" w:lineRule="auto"/>
        <w:ind w:firstLine="482" w:firstLineChars="200"/>
        <w:rPr>
          <w:b/>
          <w:sz w:val="24"/>
        </w:rPr>
      </w:pPr>
      <w:r>
        <w:rPr>
          <w:rFonts w:hint="eastAsia"/>
          <w:b/>
          <w:sz w:val="24"/>
          <w:lang w:eastAsia="zh-CN"/>
        </w:rPr>
        <w:t>（</w:t>
      </w:r>
      <w:r>
        <w:rPr>
          <w:rFonts w:hint="eastAsia"/>
          <w:b/>
          <w:sz w:val="24"/>
          <w:lang w:val="en-US" w:eastAsia="zh-CN"/>
        </w:rPr>
        <w:t>1</w:t>
      </w:r>
      <w:r>
        <w:rPr>
          <w:rFonts w:hint="eastAsia"/>
          <w:b/>
          <w:sz w:val="24"/>
          <w:lang w:eastAsia="zh-CN"/>
        </w:rPr>
        <w:t>）</w:t>
      </w:r>
      <w:r>
        <w:rPr>
          <w:rFonts w:hint="eastAsia"/>
          <w:b/>
          <w:sz w:val="24"/>
        </w:rPr>
        <w:t>陆路交通运输对周边敏感点噪声影响分析</w:t>
      </w:r>
    </w:p>
    <w:p>
      <w:pPr>
        <w:spacing w:line="480" w:lineRule="exact"/>
        <w:ind w:firstLine="480" w:firstLineChars="200"/>
        <w:rPr>
          <w:rFonts w:hint="eastAsia" w:hAnsi="宋体"/>
          <w:color w:val="000000"/>
          <w:sz w:val="24"/>
          <w:lang w:val="en-US" w:eastAsia="zh-CN"/>
        </w:rPr>
      </w:pPr>
      <w:r>
        <w:rPr>
          <w:rFonts w:hint="eastAsia" w:hAnsi="宋体"/>
          <w:color w:val="000000"/>
          <w:sz w:val="24"/>
          <w:lang w:val="en-US" w:eastAsia="zh-CN"/>
        </w:rPr>
        <w:t>本项目散货年吞吐量150万t/a，采用30t的载重汽车运输进出港，则车辆运输量共计6万辆次/a，车流量约9辆/h，占现有道路（G105）车流量比例很小，且噪声经过一定距离衰减后，港区陆路交通运输噪声对周边敏感点声环境影响有限，不会改变其现有声环境功能。</w:t>
      </w:r>
    </w:p>
    <w:p>
      <w:pPr>
        <w:bidi w:val="0"/>
        <w:rPr>
          <w:rFonts w:hint="eastAsia"/>
          <w:color w:val="auto"/>
          <w:sz w:val="24"/>
        </w:rPr>
      </w:pPr>
      <w:r>
        <w:rPr>
          <w:rFonts w:hint="eastAsia"/>
          <w:color w:val="auto"/>
          <w:sz w:val="24"/>
        </w:rPr>
        <w:t>为减轻</w:t>
      </w:r>
      <w:r>
        <w:rPr>
          <w:rFonts w:hint="eastAsia"/>
          <w:color w:val="auto"/>
          <w:sz w:val="24"/>
          <w:lang w:val="en-US" w:eastAsia="zh-CN"/>
        </w:rPr>
        <w:t>交通</w:t>
      </w:r>
      <w:r>
        <w:rPr>
          <w:rFonts w:hint="eastAsia"/>
          <w:color w:val="auto"/>
          <w:sz w:val="24"/>
        </w:rPr>
        <w:t>噪声对敏感点的影响，评价建议</w:t>
      </w:r>
      <w:r>
        <w:rPr>
          <w:rFonts w:hint="eastAsia"/>
          <w:color w:val="auto"/>
          <w:sz w:val="24"/>
          <w:lang w:eastAsia="zh-CN"/>
        </w:rPr>
        <w:t>项目施工及运营过程中应</w:t>
      </w:r>
      <w:r>
        <w:rPr>
          <w:rFonts w:hint="eastAsia"/>
          <w:color w:val="auto"/>
          <w:sz w:val="24"/>
        </w:rPr>
        <w:t>采取以下防治措施：</w:t>
      </w:r>
    </w:p>
    <w:p>
      <w:pPr>
        <w:spacing w:line="360" w:lineRule="auto"/>
        <w:ind w:firstLine="480"/>
        <w:rPr>
          <w:rFonts w:hint="eastAsia" w:ascii="宋体" w:hAnsi="宋体"/>
          <w:color w:val="auto"/>
          <w:sz w:val="24"/>
        </w:rPr>
      </w:pPr>
      <w:r>
        <w:rPr>
          <w:rFonts w:hint="eastAsia" w:ascii="宋体" w:hAnsi="宋体"/>
          <w:color w:val="auto"/>
          <w:sz w:val="24"/>
        </w:rPr>
        <w:t>①加强进出车辆的管理，夜间进出的车辆，接近和途经环境敏感目标时尽量减速慢行，禁止鸣笛。</w:t>
      </w:r>
    </w:p>
    <w:p>
      <w:pPr>
        <w:spacing w:line="360" w:lineRule="auto"/>
        <w:ind w:firstLine="480" w:firstLineChars="200"/>
        <w:rPr>
          <w:rFonts w:hint="eastAsia" w:ascii="宋体" w:hAnsi="宋体"/>
          <w:color w:val="auto"/>
          <w:sz w:val="24"/>
        </w:rPr>
      </w:pPr>
      <w:r>
        <w:rPr>
          <w:rFonts w:hint="eastAsia" w:ascii="宋体" w:hAnsi="宋体"/>
          <w:color w:val="auto"/>
          <w:sz w:val="24"/>
        </w:rPr>
        <w:t>②加强管理，夜间进出时注意营造安静的氛围，禁止大声喧哗。</w:t>
      </w:r>
    </w:p>
    <w:p>
      <w:pPr>
        <w:spacing w:line="360" w:lineRule="auto"/>
        <w:ind w:firstLine="480" w:firstLineChars="200"/>
      </w:pPr>
      <w:r>
        <w:rPr>
          <w:rFonts w:hint="eastAsia" w:ascii="宋体" w:hAnsi="宋体"/>
          <w:color w:val="auto"/>
          <w:sz w:val="24"/>
        </w:rPr>
        <w:t>③</w:t>
      </w:r>
      <w:r>
        <w:rPr>
          <w:rFonts w:hint="eastAsia" w:ascii="宋体" w:hAnsi="宋体"/>
          <w:color w:val="auto"/>
          <w:sz w:val="24"/>
          <w:lang w:val="en-US" w:eastAsia="zh-CN"/>
        </w:rPr>
        <w:t>及时对运输车辆进行检测和维修，杜绝“病车”上路造成的噪声加大引发扰民事件发生。</w:t>
      </w:r>
    </w:p>
    <w:p>
      <w:pPr>
        <w:bidi w:val="0"/>
        <w:rPr>
          <w:rFonts w:hint="eastAsia"/>
        </w:rPr>
      </w:pPr>
      <w:r>
        <w:rPr>
          <w:rFonts w:hint="eastAsia"/>
          <w:lang w:eastAsia="zh-CN"/>
        </w:rPr>
        <w:t>在</w:t>
      </w:r>
      <w:r>
        <w:rPr>
          <w:rFonts w:hint="eastAsia"/>
        </w:rPr>
        <w:t>采取以上措施情况下，对工程运输路线沿线的</w:t>
      </w:r>
      <w:r>
        <w:rPr>
          <w:rFonts w:hint="eastAsia"/>
          <w:lang w:eastAsia="zh-CN"/>
        </w:rPr>
        <w:t>噪声</w:t>
      </w:r>
      <w:r>
        <w:rPr>
          <w:rFonts w:hint="eastAsia"/>
        </w:rPr>
        <w:t>影响将得到有效控制。</w:t>
      </w:r>
    </w:p>
    <w:p>
      <w:pPr>
        <w:pStyle w:val="2"/>
        <w:ind w:left="0" w:leftChars="0" w:firstLine="0" w:firstLineChars="0"/>
      </w:pPr>
      <w:r>
        <w:drawing>
          <wp:inline distT="0" distB="0" distL="114300" distR="114300">
            <wp:extent cx="5269230" cy="3729990"/>
            <wp:effectExtent l="0" t="0" r="7620" b="3810"/>
            <wp:docPr id="10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5"/>
                    <pic:cNvPicPr>
                      <a:picLocks noChangeAspect="1"/>
                    </pic:cNvPicPr>
                  </pic:nvPicPr>
                  <pic:blipFill>
                    <a:blip r:embed="rId64"/>
                    <a:stretch>
                      <a:fillRect/>
                    </a:stretch>
                  </pic:blipFill>
                  <pic:spPr>
                    <a:xfrm>
                      <a:off x="0" y="0"/>
                      <a:ext cx="5269230" cy="372999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微软雅黑" w:cs="Times New Roman"/>
        </w:rPr>
      </w:pPr>
      <w:r>
        <w:rPr>
          <w:rFonts w:hint="default" w:ascii="Times New Roman" w:hAnsi="Times New Roman" w:eastAsia="微软雅黑" w:cs="Times New Roman"/>
          <w:color w:val="auto"/>
          <w:kern w:val="2"/>
          <w:sz w:val="24"/>
          <w:szCs w:val="24"/>
          <w:shd w:val="clear" w:color="auto" w:fill="auto"/>
          <w:lang w:val="en-US" w:eastAsia="zh-CN" w:bidi="ar-SA"/>
        </w:rPr>
        <w:t xml:space="preserve">图4.3-6 </w:t>
      </w:r>
      <w:r>
        <w:rPr>
          <w:rFonts w:hint="eastAsia" w:ascii="Times New Roman" w:hAnsi="Times New Roman" w:eastAsia="微软雅黑" w:cs="Times New Roman"/>
          <w:b w:val="0"/>
          <w:bCs w:val="0"/>
          <w:lang w:val="en-US" w:eastAsia="zh-CN"/>
        </w:rPr>
        <w:t>陆路交通运输路线</w:t>
      </w:r>
      <w:r>
        <w:rPr>
          <w:rFonts w:hint="default" w:ascii="Times New Roman" w:hAnsi="Times New Roman" w:eastAsia="微软雅黑" w:cs="Times New Roman"/>
          <w:b w:val="0"/>
          <w:bCs w:val="0"/>
          <w:lang w:val="en-US" w:eastAsia="zh-CN"/>
        </w:rPr>
        <w:t>图</w:t>
      </w:r>
    </w:p>
    <w:p>
      <w:pPr>
        <w:spacing w:line="360" w:lineRule="auto"/>
        <w:ind w:firstLine="482" w:firstLineChars="200"/>
        <w:rPr>
          <w:b/>
          <w:sz w:val="24"/>
        </w:rPr>
      </w:pPr>
      <w:r>
        <w:rPr>
          <w:rFonts w:hint="eastAsia"/>
          <w:b/>
          <w:sz w:val="24"/>
        </w:rPr>
        <w:t>（2）陆路交通运输对周边敏感点空气影响分析</w:t>
      </w:r>
    </w:p>
    <w:p>
      <w:pPr>
        <w:bidi w:val="0"/>
      </w:pPr>
      <w:r>
        <w:t>道路扬尘主要由运输</w:t>
      </w:r>
      <w:r>
        <w:rPr>
          <w:rFonts w:hint="eastAsia"/>
        </w:rPr>
        <w:t>车辆</w:t>
      </w:r>
      <w:r>
        <w:t>引起，扬尘影响因素较多，主要跟车辆行驶速度、风速、路面积尘量和路面积尘湿度等有关，其中风速还直接影响到扬尘的传输距离。</w:t>
      </w:r>
    </w:p>
    <w:p>
      <w:pPr>
        <w:pStyle w:val="2"/>
        <w:rPr>
          <w:rFonts w:hint="default"/>
          <w:lang w:val="en-US" w:eastAsia="zh-CN"/>
        </w:rPr>
      </w:pPr>
      <w:r>
        <w:rPr>
          <w:rFonts w:hint="eastAsia"/>
          <w:sz w:val="24"/>
          <w:lang w:eastAsia="zh-CN"/>
        </w:rPr>
        <w:t>本评价要求运输车辆尽量</w:t>
      </w:r>
      <w:r>
        <w:rPr>
          <w:rFonts w:hint="eastAsia"/>
          <w:sz w:val="24"/>
        </w:rPr>
        <w:t>降低</w:t>
      </w:r>
      <w:r>
        <w:rPr>
          <w:sz w:val="24"/>
        </w:rPr>
        <w:t>行驶速度，</w:t>
      </w:r>
      <w:r>
        <w:rPr>
          <w:rFonts w:hint="eastAsia"/>
          <w:sz w:val="24"/>
        </w:rPr>
        <w:t>以</w:t>
      </w:r>
      <w:r>
        <w:rPr>
          <w:sz w:val="24"/>
        </w:rPr>
        <w:t>减少车辆行驶的动力起尘</w:t>
      </w:r>
      <w:r>
        <w:rPr>
          <w:rFonts w:hint="eastAsia"/>
          <w:sz w:val="24"/>
        </w:rPr>
        <w:t>，</w:t>
      </w:r>
      <w:r>
        <w:rPr>
          <w:sz w:val="24"/>
        </w:rPr>
        <w:t>同时对车体进行覆盖</w:t>
      </w:r>
      <w:r>
        <w:rPr>
          <w:rFonts w:hint="eastAsia"/>
          <w:sz w:val="24"/>
          <w:lang w:eastAsia="zh-CN"/>
        </w:rPr>
        <w:t>；</w:t>
      </w:r>
      <w:r>
        <w:rPr>
          <w:rFonts w:hint="eastAsia"/>
          <w:sz w:val="24"/>
        </w:rPr>
        <w:t>类比同类型道路运输工程</w:t>
      </w:r>
      <w:r>
        <w:rPr>
          <w:sz w:val="24"/>
        </w:rPr>
        <w:t>经验，加强施工管理和定期洒水是抑制施工扬尘的最好办法</w:t>
      </w:r>
      <w:r>
        <w:rPr>
          <w:rFonts w:hint="eastAsia"/>
          <w:sz w:val="24"/>
          <w:lang w:eastAsia="zh-CN"/>
        </w:rPr>
        <w:t>，</w:t>
      </w:r>
      <w:r>
        <w:rPr>
          <w:sz w:val="24"/>
        </w:rPr>
        <w:t>通过对路面定时进行洒水，可有效抑制扬尘。洒水区离道路越近，洒水抑尘的效果越好。在道路边界200</w:t>
      </w:r>
      <w:r>
        <w:rPr>
          <w:rFonts w:hint="eastAsia"/>
          <w:sz w:val="24"/>
          <w:lang w:eastAsia="zh-CN"/>
        </w:rPr>
        <w:t>m</w:t>
      </w:r>
      <w:r>
        <w:rPr>
          <w:sz w:val="24"/>
        </w:rPr>
        <w:t>的距离，TSP的浓度可以下降到0.29</w:t>
      </w:r>
      <w:r>
        <w:rPr>
          <w:rFonts w:hint="eastAsia"/>
          <w:sz w:val="24"/>
          <w:lang w:eastAsia="zh-CN"/>
        </w:rPr>
        <w:t>m</w:t>
      </w:r>
      <w:r>
        <w:rPr>
          <w:sz w:val="24"/>
        </w:rPr>
        <w:t>g/</w:t>
      </w:r>
      <w:r>
        <w:rPr>
          <w:rFonts w:hint="eastAsia"/>
          <w:sz w:val="24"/>
          <w:vertAlign w:val="baseline"/>
          <w:lang w:eastAsia="zh-CN"/>
        </w:rPr>
        <w:t>m</w:t>
      </w:r>
      <w:r>
        <w:rPr>
          <w:rFonts w:hint="eastAsia"/>
          <w:sz w:val="24"/>
          <w:vertAlign w:val="superscript"/>
          <w:lang w:eastAsia="zh-CN"/>
        </w:rPr>
        <w:t>3</w:t>
      </w:r>
      <w:r>
        <w:rPr>
          <w:sz w:val="24"/>
        </w:rPr>
        <w:t>，满足《大气污染物综合排放标准》（GB16297-1996）表2中的无组织排放监控浓度限值的要求。</w:t>
      </w:r>
    </w:p>
    <w:p>
      <w:pPr>
        <w:pStyle w:val="3"/>
        <w:spacing w:before="156" w:after="156"/>
        <w:rPr>
          <w:color w:val="auto"/>
          <w:shd w:val="clear" w:color="auto" w:fill="auto"/>
        </w:rPr>
      </w:pPr>
      <w:bookmarkStart w:id="304" w:name="_Toc28402_WPSOffice_Level1"/>
      <w:bookmarkStart w:id="305" w:name="_Toc1991"/>
      <w:bookmarkStart w:id="306" w:name="_Toc20591_WPSOffice_Level1"/>
      <w:r>
        <w:rPr>
          <w:rFonts w:hint="eastAsia"/>
          <w:color w:val="auto"/>
          <w:shd w:val="clear" w:color="auto" w:fill="auto"/>
        </w:rPr>
        <w:t>第</w:t>
      </w:r>
      <w:r>
        <w:rPr>
          <w:rFonts w:hint="eastAsia"/>
          <w:color w:val="auto"/>
          <w:shd w:val="clear" w:color="auto" w:fill="auto"/>
          <w:lang w:val="en-US" w:eastAsia="zh-CN"/>
        </w:rPr>
        <w:t>5</w:t>
      </w:r>
      <w:r>
        <w:rPr>
          <w:rFonts w:hint="eastAsia"/>
          <w:color w:val="auto"/>
          <w:shd w:val="clear" w:color="auto" w:fill="auto"/>
        </w:rPr>
        <w:t>章 环境风险评价</w:t>
      </w:r>
      <w:bookmarkEnd w:id="304"/>
      <w:bookmarkEnd w:id="305"/>
      <w:bookmarkEnd w:id="306"/>
    </w:p>
    <w:p>
      <w:pPr>
        <w:pStyle w:val="4"/>
        <w:spacing w:before="156" w:after="156"/>
        <w:rPr>
          <w:color w:val="auto"/>
          <w:shd w:val="clear" w:color="auto" w:fill="auto"/>
        </w:rPr>
      </w:pPr>
      <w:bookmarkStart w:id="307" w:name="_Toc305016467"/>
      <w:bookmarkStart w:id="308" w:name="_Toc28919_WPSOffice_Level2"/>
      <w:bookmarkStart w:id="309" w:name="_Toc15385_WPSOffice_Level2"/>
      <w:bookmarkStart w:id="310" w:name="_Toc350433325"/>
      <w:bookmarkStart w:id="311" w:name="_Toc350433098"/>
      <w:bookmarkStart w:id="312" w:name="_Toc333324979"/>
      <w:bookmarkStart w:id="313" w:name="_Toc305016641"/>
      <w:bookmarkStart w:id="314" w:name="_Toc360437815"/>
      <w:bookmarkStart w:id="315" w:name="_Toc350432630"/>
      <w:bookmarkStart w:id="316" w:name="_Toc350432912"/>
      <w:bookmarkStart w:id="317" w:name="_Toc15423"/>
      <w:bookmarkStart w:id="318" w:name="_Toc350432497"/>
      <w:bookmarkStart w:id="319" w:name="_Toc351109022"/>
      <w:r>
        <w:rPr>
          <w:rFonts w:hint="eastAsia"/>
          <w:color w:val="auto"/>
          <w:shd w:val="clear" w:color="auto" w:fill="auto"/>
          <w:lang w:val="en-US" w:eastAsia="zh-CN"/>
        </w:rPr>
        <w:t>5</w:t>
      </w:r>
      <w:r>
        <w:rPr>
          <w:color w:val="auto"/>
          <w:shd w:val="clear" w:color="auto" w:fill="auto"/>
        </w:rPr>
        <w:t>.1评价目的</w:t>
      </w:r>
      <w:bookmarkEnd w:id="307"/>
      <w:bookmarkEnd w:id="308"/>
      <w:bookmarkEnd w:id="309"/>
      <w:bookmarkEnd w:id="310"/>
      <w:bookmarkEnd w:id="311"/>
      <w:bookmarkEnd w:id="312"/>
      <w:bookmarkEnd w:id="313"/>
      <w:bookmarkEnd w:id="314"/>
      <w:bookmarkEnd w:id="315"/>
      <w:bookmarkEnd w:id="316"/>
      <w:bookmarkEnd w:id="317"/>
      <w:bookmarkEnd w:id="318"/>
      <w:bookmarkEnd w:id="319"/>
    </w:p>
    <w:p>
      <w:pPr>
        <w:ind w:firstLine="480"/>
        <w:rPr>
          <w:color w:val="auto"/>
          <w:shd w:val="clear" w:color="auto" w:fill="auto"/>
        </w:rPr>
      </w:pPr>
      <w:r>
        <w:rPr>
          <w:color w:val="auto"/>
          <w:shd w:val="clear" w:color="auto" w:fill="auto"/>
        </w:rPr>
        <w:t>根据环保部环发[2012]77号《关于进一步加强环境影响评价管理防范环境风险的通知》及环发[2012]98号《关于切实加强风险防范严格环境影响评价管理的通知》，按照《建设项目环境风险评价技术导则》（HJ/T169-20</w:t>
      </w:r>
      <w:r>
        <w:rPr>
          <w:rFonts w:hint="eastAsia"/>
          <w:color w:val="auto"/>
          <w:shd w:val="clear" w:color="auto" w:fill="auto"/>
          <w:lang w:val="en-US" w:eastAsia="zh-CN"/>
        </w:rPr>
        <w:t>18</w:t>
      </w:r>
      <w:r>
        <w:rPr>
          <w:color w:val="auto"/>
          <w:shd w:val="clear" w:color="auto" w:fill="auto"/>
        </w:rPr>
        <w:t>）的要求，分析和预测建设项目存在的潜在风险、有害因素，建设项目建设和运行期间可能发生的突发性事件或事故（一般不包括人为破坏及自然灾害），提出合理可行的防范与应急措施，以使建设项目事故率、损失和环境影响达到可接受水平。</w:t>
      </w:r>
    </w:p>
    <w:p>
      <w:pPr>
        <w:pStyle w:val="4"/>
        <w:bidi w:val="0"/>
        <w:rPr>
          <w:rFonts w:hint="eastAsia"/>
          <w:color w:val="auto"/>
          <w:lang w:val="en-US" w:eastAsia="zh-CN"/>
        </w:rPr>
      </w:pPr>
      <w:bookmarkStart w:id="320" w:name="_Toc7498"/>
      <w:r>
        <w:rPr>
          <w:rFonts w:hint="eastAsia"/>
          <w:color w:val="auto"/>
          <w:lang w:val="en-US" w:eastAsia="zh-CN"/>
        </w:rPr>
        <w:t>5.2评价依据</w:t>
      </w:r>
      <w:bookmarkEnd w:id="320"/>
    </w:p>
    <w:p>
      <w:pPr>
        <w:pStyle w:val="5"/>
        <w:bidi w:val="0"/>
        <w:rPr>
          <w:rFonts w:hint="eastAsia"/>
          <w:color w:val="auto"/>
          <w:lang w:val="en-US" w:eastAsia="zh-CN"/>
        </w:rPr>
      </w:pPr>
      <w:r>
        <w:rPr>
          <w:rFonts w:hint="eastAsia"/>
          <w:color w:val="auto"/>
          <w:lang w:val="en-US" w:eastAsia="zh-CN"/>
        </w:rPr>
        <w:t>5.2.1风险调查</w:t>
      </w:r>
    </w:p>
    <w:p>
      <w:pPr>
        <w:bidi w:val="0"/>
        <w:rPr>
          <w:rFonts w:hint="default"/>
          <w:color w:val="auto"/>
          <w:lang w:val="en-US" w:eastAsia="zh-CN"/>
        </w:rPr>
      </w:pPr>
      <w:r>
        <w:rPr>
          <w:color w:val="auto"/>
        </w:rPr>
        <w:t>本项目</w:t>
      </w:r>
      <w:r>
        <w:rPr>
          <w:rFonts w:hint="eastAsia"/>
          <w:color w:val="auto"/>
          <w:lang w:eastAsia="zh-CN"/>
        </w:rPr>
        <w:t>运输货种为</w:t>
      </w:r>
      <w:r>
        <w:rPr>
          <w:rFonts w:hint="eastAsia"/>
          <w:color w:val="auto"/>
        </w:rPr>
        <w:t>矿建材料</w:t>
      </w:r>
      <w:r>
        <w:rPr>
          <w:rFonts w:hint="eastAsia"/>
          <w:color w:val="auto"/>
          <w:lang w:eastAsia="zh-CN"/>
        </w:rPr>
        <w:t>（黄砂、碎石）</w:t>
      </w:r>
      <w:r>
        <w:rPr>
          <w:rFonts w:hint="eastAsia"/>
          <w:color w:val="auto"/>
        </w:rPr>
        <w:t>，</w:t>
      </w:r>
      <w:r>
        <w:rPr>
          <w:color w:val="auto"/>
        </w:rPr>
        <w:t>吞吐量为</w:t>
      </w:r>
      <w:r>
        <w:rPr>
          <w:rFonts w:hint="eastAsia"/>
          <w:color w:val="auto"/>
          <w:lang w:val="en-US" w:eastAsia="zh-CN"/>
        </w:rPr>
        <w:t>150</w:t>
      </w:r>
      <w:r>
        <w:rPr>
          <w:color w:val="auto"/>
        </w:rPr>
        <w:t>万吨/年</w:t>
      </w:r>
      <w:r>
        <w:rPr>
          <w:rFonts w:hint="eastAsia"/>
          <w:color w:val="auto"/>
          <w:lang w:eastAsia="zh-CN"/>
        </w:rPr>
        <w:t>，</w:t>
      </w:r>
      <w:r>
        <w:rPr>
          <w:color w:val="auto"/>
        </w:rPr>
        <w:t>上述各物品均不属于</w:t>
      </w:r>
      <w:r>
        <w:rPr>
          <w:rFonts w:hint="eastAsia"/>
          <w:color w:val="auto"/>
        </w:rPr>
        <w:t>易燃易爆、</w:t>
      </w:r>
      <w:r>
        <w:rPr>
          <w:color w:val="auto"/>
        </w:rPr>
        <w:t>有毒有害或危险化学品。项目</w:t>
      </w:r>
      <w:r>
        <w:rPr>
          <w:rFonts w:hint="eastAsia"/>
          <w:color w:val="auto"/>
        </w:rPr>
        <w:t>的</w:t>
      </w:r>
      <w:r>
        <w:rPr>
          <w:color w:val="auto"/>
        </w:rPr>
        <w:t>风险因子主要为船舶本身动力所用的燃料油</w:t>
      </w:r>
      <w:r>
        <w:rPr>
          <w:rFonts w:hint="eastAsia"/>
          <w:color w:val="auto"/>
        </w:rPr>
        <w:t>，即柴油</w:t>
      </w:r>
      <w:r>
        <w:rPr>
          <w:color w:val="auto"/>
        </w:rPr>
        <w:t>。</w:t>
      </w:r>
    </w:p>
    <w:p>
      <w:pPr>
        <w:pStyle w:val="5"/>
        <w:bidi w:val="0"/>
        <w:rPr>
          <w:rFonts w:hint="eastAsia"/>
          <w:color w:val="auto"/>
          <w:lang w:val="en-US" w:eastAsia="zh-CN"/>
        </w:rPr>
      </w:pPr>
      <w:r>
        <w:rPr>
          <w:rFonts w:hint="eastAsia"/>
          <w:color w:val="auto"/>
          <w:lang w:val="en-US" w:eastAsia="zh-CN"/>
        </w:rPr>
        <w:t>5.2.2环境风险潜势初判</w:t>
      </w:r>
    </w:p>
    <w:p>
      <w:pPr>
        <w:pStyle w:val="2"/>
        <w:rPr>
          <w:rFonts w:hint="eastAsia"/>
          <w:color w:val="auto"/>
          <w:lang w:val="en-US" w:eastAsia="zh-CN"/>
        </w:rPr>
      </w:pPr>
      <w:r>
        <w:rPr>
          <w:rFonts w:hint="eastAsia" w:hAnsi="宋体"/>
          <w:color w:val="auto"/>
          <w:shd w:val="clear" w:color="auto" w:fill="auto"/>
        </w:rPr>
        <w:t>本项目代表船型为</w:t>
      </w:r>
      <w:r>
        <w:rPr>
          <w:rFonts w:hint="eastAsia" w:hAnsi="宋体"/>
          <w:color w:val="auto"/>
          <w:shd w:val="clear" w:color="auto" w:fill="auto"/>
          <w:lang w:val="en-US" w:eastAsia="zh-CN"/>
        </w:rPr>
        <w:t>10</w:t>
      </w:r>
      <w:r>
        <w:rPr>
          <w:rFonts w:hint="eastAsia" w:hAnsi="宋体"/>
          <w:color w:val="auto"/>
          <w:shd w:val="clear" w:color="auto" w:fill="auto"/>
        </w:rPr>
        <w:t>00吨货船，根据船舶具体运行情况，船载储油量</w:t>
      </w:r>
      <w:r>
        <w:rPr>
          <w:rFonts w:hint="eastAsia" w:hAnsi="宋体"/>
          <w:color w:val="auto"/>
          <w:shd w:val="clear" w:color="auto" w:fill="auto"/>
          <w:lang w:eastAsia="zh-CN"/>
        </w:rPr>
        <w:t>一般</w:t>
      </w:r>
      <w:r>
        <w:rPr>
          <w:rFonts w:hint="eastAsia" w:hAnsi="宋体"/>
          <w:color w:val="auto"/>
          <w:shd w:val="clear" w:color="auto" w:fill="auto"/>
        </w:rPr>
        <w:t>不超过10t。</w:t>
      </w:r>
      <w:r>
        <w:rPr>
          <w:rFonts w:hint="eastAsia"/>
          <w:color w:val="auto"/>
          <w:shd w:val="clear" w:color="auto" w:fill="auto"/>
          <w:lang w:val="en-US" w:eastAsia="zh-CN"/>
        </w:rPr>
        <w:t>项目涉及危险物质为</w:t>
      </w:r>
      <w:r>
        <w:rPr>
          <w:rFonts w:hint="eastAsia"/>
          <w:color w:val="auto"/>
          <w:shd w:val="clear" w:color="auto" w:fill="auto"/>
        </w:rPr>
        <w:t>柴油</w:t>
      </w:r>
      <w:r>
        <w:rPr>
          <w:rFonts w:hint="eastAsia"/>
          <w:color w:val="auto"/>
          <w:shd w:val="clear" w:color="auto" w:fill="auto"/>
          <w:lang w:eastAsia="zh-CN"/>
        </w:rPr>
        <w:t>，</w:t>
      </w:r>
      <w:r>
        <w:rPr>
          <w:rFonts w:hint="eastAsia"/>
          <w:color w:val="auto"/>
          <w:shd w:val="clear" w:color="auto" w:fill="auto"/>
        </w:rPr>
        <w:t>根据</w:t>
      </w:r>
      <w:r>
        <w:rPr>
          <w:color w:val="auto"/>
          <w:shd w:val="clear" w:color="auto" w:fill="auto"/>
        </w:rPr>
        <w:t>《</w:t>
      </w:r>
      <w:r>
        <w:rPr>
          <w:rFonts w:hint="eastAsia"/>
          <w:color w:val="auto"/>
          <w:shd w:val="clear" w:color="auto" w:fill="auto"/>
          <w:lang w:eastAsia="zh-CN"/>
        </w:rPr>
        <w:t>建设项目环境风险评价技术导则</w:t>
      </w:r>
      <w:r>
        <w:rPr>
          <w:color w:val="auto"/>
          <w:shd w:val="clear" w:color="auto" w:fill="auto"/>
        </w:rPr>
        <w:t>》（GB</w:t>
      </w:r>
      <w:r>
        <w:rPr>
          <w:rFonts w:hint="eastAsia"/>
          <w:color w:val="auto"/>
          <w:shd w:val="clear" w:color="auto" w:fill="auto"/>
          <w:lang w:val="en-US" w:eastAsia="zh-CN"/>
        </w:rPr>
        <w:t>169</w:t>
      </w:r>
      <w:r>
        <w:rPr>
          <w:color w:val="auto"/>
          <w:shd w:val="clear" w:color="auto" w:fill="auto"/>
        </w:rPr>
        <w:t>-20</w:t>
      </w:r>
      <w:r>
        <w:rPr>
          <w:rFonts w:hint="eastAsia"/>
          <w:color w:val="auto"/>
          <w:shd w:val="clear" w:color="auto" w:fill="auto"/>
          <w:lang w:val="en-US" w:eastAsia="zh-CN"/>
        </w:rPr>
        <w:t>18</w:t>
      </w:r>
      <w:r>
        <w:rPr>
          <w:color w:val="auto"/>
          <w:shd w:val="clear" w:color="auto" w:fill="auto"/>
        </w:rPr>
        <w:t>）</w:t>
      </w:r>
      <w:r>
        <w:rPr>
          <w:rFonts w:hint="eastAsia"/>
          <w:color w:val="auto"/>
          <w:shd w:val="clear" w:color="auto" w:fill="auto"/>
          <w:lang w:eastAsia="zh-CN"/>
        </w:rPr>
        <w:t>附录</w:t>
      </w:r>
      <w:r>
        <w:rPr>
          <w:rFonts w:hint="eastAsia"/>
          <w:color w:val="auto"/>
          <w:shd w:val="clear" w:color="auto" w:fill="auto"/>
          <w:lang w:val="en-US" w:eastAsia="zh-CN"/>
        </w:rPr>
        <w:t>B</w:t>
      </w:r>
      <w:r>
        <w:rPr>
          <w:color w:val="auto"/>
          <w:shd w:val="clear" w:color="auto" w:fill="auto"/>
        </w:rPr>
        <w:t>的范畴，</w:t>
      </w:r>
      <w:r>
        <w:rPr>
          <w:rFonts w:hint="eastAsia"/>
          <w:color w:val="auto"/>
          <w:shd w:val="clear" w:color="auto" w:fill="auto"/>
          <w:lang w:eastAsia="zh-CN"/>
        </w:rPr>
        <w:t>其</w:t>
      </w:r>
      <w:r>
        <w:rPr>
          <w:rFonts w:hint="eastAsia"/>
          <w:color w:val="auto"/>
          <w:shd w:val="clear" w:color="auto" w:fill="auto"/>
        </w:rPr>
        <w:t>临界量为</w:t>
      </w:r>
      <w:r>
        <w:rPr>
          <w:rFonts w:hint="eastAsia"/>
          <w:color w:val="auto"/>
          <w:shd w:val="clear" w:color="auto" w:fill="auto"/>
          <w:lang w:val="en-US" w:eastAsia="zh-CN"/>
        </w:rPr>
        <w:t>25</w:t>
      </w:r>
      <w:r>
        <w:rPr>
          <w:rFonts w:hint="eastAsia"/>
          <w:color w:val="auto"/>
          <w:shd w:val="clear" w:color="auto" w:fill="auto"/>
        </w:rPr>
        <w:t>00</w:t>
      </w:r>
      <w:r>
        <w:rPr>
          <w:rFonts w:hint="eastAsia"/>
          <w:color w:val="auto"/>
          <w:shd w:val="clear" w:color="auto" w:fill="auto"/>
          <w:lang w:val="en-US" w:eastAsia="zh-CN"/>
        </w:rPr>
        <w:t>t</w:t>
      </w:r>
      <w:r>
        <w:rPr>
          <w:rFonts w:hint="eastAsia"/>
          <w:color w:val="auto"/>
          <w:shd w:val="clear" w:color="auto" w:fill="auto"/>
          <w:lang w:eastAsia="zh-CN"/>
        </w:rPr>
        <w:t>，因此计算</w:t>
      </w:r>
      <w:r>
        <w:rPr>
          <w:rFonts w:hint="eastAsia"/>
          <w:color w:val="auto"/>
          <w:shd w:val="clear" w:color="auto" w:fill="auto"/>
          <w:lang w:val="en-US" w:eastAsia="zh-CN"/>
        </w:rPr>
        <w:t>Q值为0.004。因为Q&lt;1，该项目环境风险潜势为</w:t>
      </w:r>
      <w:r>
        <w:rPr>
          <w:rFonts w:hint="eastAsia" w:ascii="宋体" w:hAnsi="宋体" w:eastAsia="宋体" w:cs="宋体"/>
          <w:color w:val="auto"/>
          <w:shd w:val="clear" w:color="auto" w:fill="auto"/>
          <w:lang w:val="en-US" w:eastAsia="zh-CN"/>
        </w:rPr>
        <w:t>Ⅰ</w:t>
      </w:r>
      <w:r>
        <w:rPr>
          <w:rFonts w:hint="eastAsia" w:ascii="宋体" w:hAnsi="宋体" w:cs="宋体"/>
          <w:color w:val="auto"/>
          <w:shd w:val="clear" w:color="auto" w:fill="auto"/>
          <w:lang w:val="en-US" w:eastAsia="zh-CN"/>
        </w:rPr>
        <w:t>。</w:t>
      </w:r>
    </w:p>
    <w:p>
      <w:pPr>
        <w:pStyle w:val="5"/>
        <w:bidi w:val="0"/>
        <w:rPr>
          <w:rFonts w:hint="eastAsia"/>
          <w:color w:val="auto"/>
          <w:lang w:val="en-US" w:eastAsia="zh-CN"/>
        </w:rPr>
      </w:pPr>
      <w:r>
        <w:rPr>
          <w:rFonts w:hint="eastAsia"/>
          <w:color w:val="auto"/>
          <w:lang w:val="en-US" w:eastAsia="zh-CN"/>
        </w:rPr>
        <w:t>5.2.3评价等级</w:t>
      </w:r>
    </w:p>
    <w:p>
      <w:pPr>
        <w:pStyle w:val="2"/>
        <w:rPr>
          <w:rFonts w:hint="default"/>
          <w:color w:val="auto"/>
          <w:lang w:val="en-US" w:eastAsia="zh-CN"/>
        </w:rPr>
      </w:pPr>
      <w:r>
        <w:rPr>
          <w:rFonts w:hint="eastAsia"/>
          <w:color w:val="auto"/>
          <w:lang w:val="en-US" w:eastAsia="zh-CN"/>
        </w:rPr>
        <w:t>本项目环境风险评价工作等级划分见下表5.2-1。因此，本项目环境风险评价等级为简单分析。</w:t>
      </w:r>
    </w:p>
    <w:p>
      <w:pPr>
        <w:keepNext w:val="0"/>
        <w:keepLines w:val="0"/>
        <w:pageBreakBefore w:val="0"/>
        <w:widowControl w:val="0"/>
        <w:kinsoku/>
        <w:wordWrap/>
        <w:overflowPunct/>
        <w:topLinePunct w:val="0"/>
        <w:autoSpaceDE/>
        <w:autoSpaceDN/>
        <w:bidi w:val="0"/>
        <w:adjustRightInd/>
        <w:snapToGrid/>
        <w:spacing w:before="157" w:beforeLines="50" w:line="240" w:lineRule="auto"/>
        <w:ind w:firstLine="0" w:firstLineChars="0"/>
        <w:jc w:val="center"/>
        <w:textAlignment w:val="auto"/>
        <w:rPr>
          <w:rFonts w:hint="eastAsia" w:ascii="Times New Roman" w:hAnsi="Times New Roman" w:eastAsia="黑体" w:cs="Times New Roman"/>
          <w:color w:val="auto"/>
          <w:kern w:val="2"/>
          <w:sz w:val="21"/>
          <w:szCs w:val="21"/>
          <w:shd w:val="clear" w:color="auto" w:fill="auto"/>
          <w:lang w:val="en-US" w:eastAsia="zh-CN" w:bidi="ar-SA"/>
        </w:rPr>
      </w:pPr>
      <w:r>
        <w:rPr>
          <w:rFonts w:hint="eastAsia" w:ascii="Times New Roman" w:hAnsi="Times New Roman" w:eastAsia="黑体" w:cs="Times New Roman"/>
          <w:color w:val="auto"/>
          <w:kern w:val="2"/>
          <w:sz w:val="21"/>
          <w:szCs w:val="21"/>
          <w:shd w:val="clear" w:color="auto" w:fill="auto"/>
          <w:lang w:val="en-US" w:eastAsia="zh-CN" w:bidi="ar-SA"/>
        </w:rPr>
        <w:t>表5.2-1 评价工作等级划分</w:t>
      </w:r>
    </w:p>
    <w:tbl>
      <w:tblPr>
        <w:tblStyle w:val="26"/>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4"/>
        <w:gridCol w:w="1704"/>
        <w:gridCol w:w="1704"/>
        <w:gridCol w:w="1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4" w:type="dxa"/>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eastAsia="zh-CN"/>
              </w:rPr>
              <w:t>环境风险潜势</w:t>
            </w:r>
          </w:p>
        </w:tc>
        <w:tc>
          <w:tcPr>
            <w:tcW w:w="1704" w:type="dxa"/>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rPr>
              <w:t>Ⅳ</w:t>
            </w:r>
            <w:r>
              <w:rPr>
                <w:rFonts w:hint="default" w:ascii="Times New Roman" w:hAnsi="Times New Roman" w:eastAsia="宋体" w:cs="Times New Roman"/>
                <w:color w:val="auto"/>
                <w:sz w:val="21"/>
                <w:szCs w:val="21"/>
                <w:shd w:val="clear" w:color="auto" w:fill="auto"/>
                <w:lang w:eastAsia="zh-CN"/>
              </w:rPr>
              <w:t>、</w:t>
            </w:r>
            <w:r>
              <w:rPr>
                <w:rFonts w:hint="default" w:ascii="Times New Roman" w:hAnsi="Times New Roman" w:eastAsia="宋体" w:cs="Times New Roman"/>
                <w:color w:val="auto"/>
                <w:sz w:val="21"/>
                <w:szCs w:val="21"/>
                <w:shd w:val="clear" w:color="auto" w:fill="auto"/>
              </w:rPr>
              <w:t>Ⅳ</w:t>
            </w:r>
            <w:r>
              <w:rPr>
                <w:rFonts w:hint="default" w:ascii="Times New Roman" w:hAnsi="Times New Roman" w:eastAsia="宋体" w:cs="Times New Roman"/>
                <w:color w:val="auto"/>
                <w:sz w:val="21"/>
                <w:szCs w:val="21"/>
                <w:shd w:val="clear" w:color="auto" w:fill="auto"/>
                <w:vertAlign w:val="superscript"/>
                <w:lang w:val="en-US" w:eastAsia="zh-CN"/>
              </w:rPr>
              <w:t>+</w:t>
            </w:r>
          </w:p>
        </w:tc>
        <w:tc>
          <w:tcPr>
            <w:tcW w:w="1704"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Ⅲ</w:t>
            </w:r>
          </w:p>
        </w:tc>
        <w:tc>
          <w:tcPr>
            <w:tcW w:w="1704"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Ⅱ</w:t>
            </w:r>
          </w:p>
        </w:tc>
        <w:tc>
          <w:tcPr>
            <w:tcW w:w="1706"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4" w:type="dxa"/>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eastAsia="zh-CN"/>
              </w:rPr>
              <w:t>评价工作等级</w:t>
            </w:r>
          </w:p>
        </w:tc>
        <w:tc>
          <w:tcPr>
            <w:tcW w:w="1704" w:type="dxa"/>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eastAsia="zh-CN"/>
              </w:rPr>
              <w:t>一</w:t>
            </w:r>
          </w:p>
        </w:tc>
        <w:tc>
          <w:tcPr>
            <w:tcW w:w="1704" w:type="dxa"/>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eastAsia="zh-CN"/>
              </w:rPr>
              <w:t>二</w:t>
            </w:r>
          </w:p>
        </w:tc>
        <w:tc>
          <w:tcPr>
            <w:tcW w:w="1704" w:type="dxa"/>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eastAsia="zh-CN"/>
              </w:rPr>
              <w:t>三</w:t>
            </w:r>
          </w:p>
        </w:tc>
        <w:tc>
          <w:tcPr>
            <w:tcW w:w="1706" w:type="dxa"/>
            <w:shd w:val="clear" w:color="auto" w:fill="FFC000" w:themeFill="accent4"/>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cs="Times New Roman"/>
                <w:color w:val="auto"/>
                <w:sz w:val="21"/>
                <w:szCs w:val="21"/>
                <w:highlight w:val="none"/>
                <w:shd w:val="clear" w:color="auto" w:fill="auto"/>
                <w:lang w:eastAsia="zh-CN"/>
              </w:rPr>
              <w:t>简单分析</w:t>
            </w:r>
            <w:r>
              <w:rPr>
                <w:rFonts w:hint="default" w:ascii="Times New Roman" w:hAnsi="Times New Roman" w:cs="Times New Roman"/>
                <w:color w:val="auto"/>
                <w:sz w:val="21"/>
                <w:szCs w:val="21"/>
                <w:highlight w:val="none"/>
                <w:shd w:val="clear" w:color="auto" w:fill="auto"/>
                <w:vertAlign w:val="superscript"/>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2" w:type="dxa"/>
            <w:gridSpan w:val="5"/>
            <w:vAlign w:val="center"/>
          </w:tcPr>
          <w:p>
            <w:pPr>
              <w:spacing w:line="240" w:lineRule="auto"/>
              <w:ind w:firstLine="0" w:firstLineChars="0"/>
              <w:jc w:val="left"/>
              <w:rPr>
                <w:rFonts w:hint="default" w:ascii="Times New Roman" w:hAnsi="Times New Roman"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vertAlign w:val="superscript"/>
                <w:lang w:val="en-US" w:eastAsia="zh-CN"/>
              </w:rPr>
              <w:t xml:space="preserve">a </w:t>
            </w:r>
            <w:r>
              <w:rPr>
                <w:rFonts w:hint="eastAsia" w:ascii="Times New Roman" w:hAnsi="Times New Roman" w:cs="Times New Roman"/>
                <w:color w:val="auto"/>
                <w:sz w:val="21"/>
                <w:szCs w:val="21"/>
                <w:shd w:val="clear" w:color="auto" w:fill="auto"/>
                <w:vertAlign w:val="superscript"/>
                <w:lang w:val="en-US" w:eastAsia="zh-CN"/>
              </w:rPr>
              <w:t xml:space="preserve"> </w:t>
            </w:r>
            <w:r>
              <w:rPr>
                <w:rFonts w:hint="default" w:ascii="Times New Roman" w:hAnsi="Times New Roman" w:cs="Times New Roman"/>
                <w:color w:val="auto"/>
                <w:sz w:val="21"/>
                <w:szCs w:val="21"/>
                <w:shd w:val="clear" w:color="auto" w:fill="auto"/>
                <w:lang w:val="en-US" w:eastAsia="zh-CN"/>
              </w:rPr>
              <w:t>是相对于详细评价工作内容而言，在描述危险物质、环境影响途径、环境危害后果、风险防范措施等方面给出定性的说明。</w:t>
            </w:r>
          </w:p>
        </w:tc>
      </w:tr>
    </w:tbl>
    <w:p>
      <w:pPr>
        <w:rPr>
          <w:rFonts w:hint="default"/>
          <w:color w:val="auto"/>
          <w:lang w:val="en-US" w:eastAsia="zh-CN"/>
        </w:rPr>
      </w:pPr>
      <w:bookmarkStart w:id="321" w:name="_Toc350433099"/>
      <w:bookmarkStart w:id="322" w:name="_Toc29296_WPSOffice_Level2"/>
      <w:bookmarkStart w:id="323" w:name="_Toc350432498"/>
      <w:bookmarkStart w:id="324" w:name="_Toc333324980"/>
      <w:bookmarkStart w:id="325" w:name="_Toc350433326"/>
      <w:bookmarkStart w:id="326" w:name="_Toc305016468"/>
      <w:bookmarkStart w:id="327" w:name="_Toc351109023"/>
      <w:bookmarkStart w:id="328" w:name="_Toc360437816"/>
      <w:bookmarkStart w:id="329" w:name="_Toc350432913"/>
      <w:bookmarkStart w:id="330" w:name="_Toc305016642"/>
      <w:bookmarkStart w:id="331" w:name="_Toc25899_WPSOffice_Level2"/>
      <w:bookmarkStart w:id="332" w:name="_Toc350432631"/>
    </w:p>
    <w:p>
      <w:pPr>
        <w:pStyle w:val="4"/>
        <w:bidi w:val="0"/>
        <w:rPr>
          <w:rFonts w:hint="eastAsia"/>
          <w:color w:val="auto"/>
          <w:lang w:val="en-US" w:eastAsia="zh-CN"/>
        </w:rPr>
      </w:pPr>
      <w:bookmarkStart w:id="333" w:name="_Toc12800"/>
      <w:r>
        <w:rPr>
          <w:rFonts w:hint="eastAsia"/>
          <w:color w:val="auto"/>
          <w:lang w:val="en-US" w:eastAsia="zh-CN"/>
        </w:rPr>
        <w:t>5.3环境敏感目标概况</w:t>
      </w:r>
      <w:bookmarkEnd w:id="333"/>
    </w:p>
    <w:p>
      <w:pPr>
        <w:bidi w:val="0"/>
        <w:rPr>
          <w:rFonts w:hint="eastAsia"/>
          <w:color w:val="auto"/>
          <w:lang w:val="en-US" w:eastAsia="zh-CN"/>
        </w:rPr>
      </w:pPr>
      <w:r>
        <w:rPr>
          <w:rFonts w:hint="eastAsia"/>
          <w:color w:val="auto"/>
          <w:lang w:val="en-US" w:eastAsia="zh-CN"/>
        </w:rPr>
        <w:t>本项目评价工作等级为简单分析，根据《建设项目环境风险评价技术导则》（HJ169-2018），可不设大气环境风险评价范围；码头发生事故时可能对区域地表水环境产生影响，可能受影响的环境保护目标及保护范围具体如图1.5</w:t>
      </w:r>
      <w:r>
        <w:rPr>
          <w:rFonts w:hint="default"/>
          <w:color w:val="auto"/>
          <w:lang w:val="en-US" w:eastAsia="zh-CN"/>
        </w:rPr>
        <w:t>-1</w:t>
      </w:r>
      <w:r>
        <w:rPr>
          <w:rFonts w:hint="eastAsia"/>
          <w:color w:val="auto"/>
          <w:lang w:val="en-US" w:eastAsia="zh-CN"/>
        </w:rPr>
        <w:t xml:space="preserve">所示。 </w:t>
      </w:r>
    </w:p>
    <w:p>
      <w:pPr>
        <w:pStyle w:val="4"/>
        <w:bidi w:val="0"/>
        <w:rPr>
          <w:color w:val="auto"/>
        </w:rPr>
      </w:pPr>
      <w:bookmarkStart w:id="334" w:name="_Toc29386"/>
      <w:r>
        <w:rPr>
          <w:rFonts w:hint="eastAsia"/>
          <w:color w:val="auto"/>
          <w:lang w:val="en-US" w:eastAsia="zh-CN"/>
        </w:rPr>
        <w:t>5</w:t>
      </w:r>
      <w:r>
        <w:rPr>
          <w:color w:val="auto"/>
        </w:rPr>
        <w:t>.</w:t>
      </w:r>
      <w:r>
        <w:rPr>
          <w:rFonts w:hint="eastAsia"/>
          <w:color w:val="auto"/>
          <w:lang w:val="en-US" w:eastAsia="zh-CN"/>
        </w:rPr>
        <w:t xml:space="preserve">4 </w:t>
      </w:r>
      <w:r>
        <w:rPr>
          <w:color w:val="auto"/>
        </w:rPr>
        <w:t>风险识别</w:t>
      </w:r>
      <w:bookmarkEnd w:id="321"/>
      <w:bookmarkEnd w:id="322"/>
      <w:bookmarkEnd w:id="323"/>
      <w:bookmarkEnd w:id="324"/>
      <w:bookmarkEnd w:id="325"/>
      <w:bookmarkEnd w:id="326"/>
      <w:bookmarkEnd w:id="327"/>
      <w:bookmarkEnd w:id="328"/>
      <w:bookmarkEnd w:id="329"/>
      <w:bookmarkEnd w:id="330"/>
      <w:bookmarkEnd w:id="331"/>
      <w:bookmarkEnd w:id="332"/>
      <w:bookmarkEnd w:id="334"/>
    </w:p>
    <w:p>
      <w:pPr>
        <w:pStyle w:val="5"/>
        <w:rPr>
          <w:color w:val="auto"/>
          <w:shd w:val="clear" w:color="auto" w:fill="auto"/>
        </w:rPr>
      </w:pPr>
      <w:bookmarkStart w:id="335" w:name="_Toc20695"/>
      <w:bookmarkStart w:id="336" w:name="_Toc8617"/>
      <w:bookmarkStart w:id="337" w:name="_Toc20245"/>
      <w:bookmarkStart w:id="338" w:name="_Toc27949"/>
      <w:bookmarkStart w:id="339" w:name="_Toc25169"/>
      <w:bookmarkStart w:id="340" w:name="_Toc19693"/>
      <w:bookmarkStart w:id="341" w:name="_Toc328967903"/>
      <w:bookmarkStart w:id="342" w:name="_Toc283018646"/>
      <w:bookmarkStart w:id="343" w:name="_Toc328986623"/>
      <w:r>
        <w:rPr>
          <w:rFonts w:hint="eastAsia"/>
          <w:color w:val="auto"/>
          <w:shd w:val="clear" w:color="auto" w:fill="auto"/>
          <w:lang w:val="en-US" w:eastAsia="zh-CN"/>
        </w:rPr>
        <w:t>5</w:t>
      </w:r>
      <w:r>
        <w:rPr>
          <w:color w:val="auto"/>
          <w:shd w:val="clear" w:color="auto" w:fill="auto"/>
        </w:rPr>
        <w:t>.</w:t>
      </w:r>
      <w:r>
        <w:rPr>
          <w:rFonts w:hint="eastAsia"/>
          <w:color w:val="auto"/>
          <w:shd w:val="clear" w:color="auto" w:fill="auto"/>
          <w:lang w:val="en-US" w:eastAsia="zh-CN"/>
        </w:rPr>
        <w:t>4</w:t>
      </w:r>
      <w:r>
        <w:rPr>
          <w:color w:val="auto"/>
          <w:shd w:val="clear" w:color="auto" w:fill="auto"/>
        </w:rPr>
        <w:t>.1</w:t>
      </w:r>
      <w:r>
        <w:rPr>
          <w:rFonts w:hint="eastAsia"/>
          <w:color w:val="auto"/>
          <w:shd w:val="clear" w:color="auto" w:fill="auto"/>
          <w:lang w:val="en-US" w:eastAsia="zh-CN"/>
        </w:rPr>
        <w:t xml:space="preserve"> </w:t>
      </w:r>
      <w:r>
        <w:rPr>
          <w:color w:val="auto"/>
          <w:shd w:val="clear" w:color="auto" w:fill="auto"/>
        </w:rPr>
        <w:t>风险物质识别</w:t>
      </w:r>
    </w:p>
    <w:p>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rFonts w:hint="eastAsia"/>
          <w:color w:val="auto"/>
          <w:sz w:val="24"/>
        </w:rPr>
        <w:t>风险识别范围</w:t>
      </w:r>
    </w:p>
    <w:p>
      <w:pPr>
        <w:spacing w:line="360" w:lineRule="auto"/>
        <w:ind w:firstLine="480" w:firstLineChars="200"/>
        <w:rPr>
          <w:rFonts w:hAnsi="宋体"/>
          <w:bCs/>
          <w:color w:val="auto"/>
          <w:sz w:val="24"/>
        </w:rPr>
      </w:pPr>
      <w:r>
        <w:rPr>
          <w:color w:val="auto"/>
          <w:shd w:val="clear" w:color="auto" w:fill="auto"/>
        </w:rPr>
        <w:t>本项目</w:t>
      </w:r>
      <w:r>
        <w:rPr>
          <w:rFonts w:hint="eastAsia"/>
          <w:color w:val="auto"/>
          <w:shd w:val="clear" w:color="auto" w:fill="auto"/>
          <w:lang w:eastAsia="zh-CN"/>
        </w:rPr>
        <w:t>运输货种为</w:t>
      </w:r>
      <w:r>
        <w:rPr>
          <w:rFonts w:hint="eastAsia"/>
          <w:color w:val="auto"/>
          <w:shd w:val="clear" w:color="auto" w:fill="auto"/>
        </w:rPr>
        <w:t>矿建材料</w:t>
      </w:r>
      <w:r>
        <w:rPr>
          <w:rFonts w:hint="eastAsia"/>
          <w:color w:val="auto"/>
          <w:shd w:val="clear" w:color="auto" w:fill="auto"/>
          <w:lang w:eastAsia="zh-CN"/>
        </w:rPr>
        <w:t>（黄砂、碎石）</w:t>
      </w:r>
      <w:r>
        <w:rPr>
          <w:rFonts w:hint="eastAsia"/>
          <w:color w:val="auto"/>
          <w:shd w:val="clear" w:color="auto" w:fill="auto"/>
        </w:rPr>
        <w:t>，</w:t>
      </w:r>
      <w:r>
        <w:rPr>
          <w:color w:val="auto"/>
          <w:shd w:val="clear" w:color="auto" w:fill="auto"/>
        </w:rPr>
        <w:t>吞吐量为</w:t>
      </w:r>
      <w:r>
        <w:rPr>
          <w:rFonts w:hint="eastAsia"/>
          <w:color w:val="auto"/>
          <w:shd w:val="clear" w:color="auto" w:fill="auto"/>
          <w:lang w:val="en-US" w:eastAsia="zh-CN"/>
        </w:rPr>
        <w:t>150</w:t>
      </w:r>
      <w:r>
        <w:rPr>
          <w:color w:val="auto"/>
          <w:shd w:val="clear" w:color="auto" w:fill="auto"/>
        </w:rPr>
        <w:t>万吨/年</w:t>
      </w:r>
      <w:r>
        <w:rPr>
          <w:rFonts w:hint="eastAsia"/>
          <w:color w:val="auto"/>
          <w:shd w:val="clear" w:color="auto" w:fill="auto"/>
          <w:lang w:eastAsia="zh-CN"/>
        </w:rPr>
        <w:t>，</w:t>
      </w:r>
      <w:r>
        <w:rPr>
          <w:color w:val="auto"/>
          <w:shd w:val="clear" w:color="auto" w:fill="auto"/>
        </w:rPr>
        <w:t>上述各物品均不属于</w:t>
      </w:r>
      <w:r>
        <w:rPr>
          <w:rFonts w:hint="eastAsia"/>
          <w:color w:val="auto"/>
          <w:shd w:val="clear" w:color="auto" w:fill="auto"/>
        </w:rPr>
        <w:t>易燃易爆、</w:t>
      </w:r>
      <w:r>
        <w:rPr>
          <w:color w:val="auto"/>
          <w:shd w:val="clear" w:color="auto" w:fill="auto"/>
        </w:rPr>
        <w:t>有毒有害或危险化学品。</w:t>
      </w:r>
    </w:p>
    <w:p>
      <w:pPr>
        <w:spacing w:line="360" w:lineRule="auto"/>
        <w:ind w:firstLine="480" w:firstLineChars="200"/>
        <w:textAlignment w:val="baseline"/>
        <w:rPr>
          <w:color w:val="auto"/>
          <w:sz w:val="24"/>
        </w:rPr>
      </w:pPr>
      <w:r>
        <w:rPr>
          <w:color w:val="auto"/>
          <w:sz w:val="24"/>
        </w:rPr>
        <w:t>但本项目营运期间，靠离码头船舶在进行旋回作业时，将会对航道内行驶的过往船舶产生较大的影响，尤其是船舶离港下行时将占用下行通航分道，与在航道内正常航行的其它船舶</w:t>
      </w:r>
      <w:r>
        <w:rPr>
          <w:rFonts w:hint="eastAsia"/>
          <w:color w:val="auto"/>
          <w:sz w:val="24"/>
        </w:rPr>
        <w:t>存在</w:t>
      </w:r>
      <w:r>
        <w:rPr>
          <w:color w:val="auto"/>
          <w:sz w:val="24"/>
        </w:rPr>
        <w:t>碰撞的</w:t>
      </w:r>
      <w:r>
        <w:rPr>
          <w:rFonts w:hint="eastAsia"/>
          <w:color w:val="auto"/>
          <w:sz w:val="24"/>
        </w:rPr>
        <w:t>风</w:t>
      </w:r>
      <w:r>
        <w:rPr>
          <w:color w:val="auto"/>
          <w:sz w:val="24"/>
        </w:rPr>
        <w:t>险，</w:t>
      </w:r>
      <w:r>
        <w:rPr>
          <w:rFonts w:hint="eastAsia"/>
          <w:color w:val="auto"/>
          <w:sz w:val="24"/>
        </w:rPr>
        <w:t>从而</w:t>
      </w:r>
      <w:r>
        <w:rPr>
          <w:color w:val="auto"/>
          <w:sz w:val="24"/>
        </w:rPr>
        <w:t>造成船舶溢油事故。</w:t>
      </w:r>
    </w:p>
    <w:p>
      <w:pPr>
        <w:spacing w:line="360" w:lineRule="auto"/>
        <w:ind w:firstLine="480" w:firstLineChars="200"/>
        <w:textAlignment w:val="baseline"/>
        <w:rPr>
          <w:color w:val="auto"/>
          <w:shd w:val="clear" w:color="auto" w:fill="auto"/>
        </w:rPr>
      </w:pPr>
      <w:r>
        <w:rPr>
          <w:color w:val="auto"/>
          <w:shd w:val="clear" w:color="auto" w:fill="auto"/>
        </w:rPr>
        <w:t>本项目风险事故识别如下：</w:t>
      </w:r>
    </w:p>
    <w:p>
      <w:pPr>
        <w:ind w:firstLine="480"/>
        <w:rPr>
          <w:color w:val="auto"/>
          <w:shd w:val="clear" w:color="auto" w:fill="auto"/>
        </w:rPr>
      </w:pPr>
      <w:r>
        <w:rPr>
          <w:rFonts w:hint="eastAsia"/>
          <w:color w:val="auto"/>
          <w:sz w:val="24"/>
        </w:rPr>
        <w:t>①</w:t>
      </w:r>
      <w:r>
        <w:rPr>
          <w:color w:val="auto"/>
          <w:shd w:val="clear" w:color="auto" w:fill="auto"/>
        </w:rPr>
        <w:t>船舶离靠岸、航行过程中因操作不当、违章航行等原因导致船舶与码头或船舶与船舶碰撞、船舶触损等事故，并引起燃油舱破裂，造成燃料油泄漏；</w:t>
      </w:r>
    </w:p>
    <w:p>
      <w:pPr>
        <w:ind w:firstLine="480"/>
        <w:rPr>
          <w:rFonts w:hint="eastAsia" w:eastAsia="宋体"/>
          <w:color w:val="auto"/>
          <w:shd w:val="clear" w:color="auto" w:fill="auto"/>
          <w:lang w:eastAsia="zh-CN"/>
        </w:rPr>
      </w:pPr>
      <w:r>
        <w:rPr>
          <w:rFonts w:hint="eastAsia"/>
          <w:color w:val="auto"/>
          <w:sz w:val="24"/>
        </w:rPr>
        <w:t>②</w:t>
      </w:r>
      <w:r>
        <w:rPr>
          <w:color w:val="auto"/>
          <w:shd w:val="clear" w:color="auto" w:fill="auto"/>
        </w:rPr>
        <w:t>船舶自身由于机舱失灵、燃油管破裂等导致船舶发生火灾、爆炸及沉船事故，并导致燃料油泄漏</w:t>
      </w:r>
      <w:r>
        <w:rPr>
          <w:rFonts w:hint="eastAsia"/>
          <w:color w:val="auto"/>
          <w:shd w:val="clear" w:color="auto" w:fill="auto"/>
          <w:lang w:eastAsia="zh-CN"/>
        </w:rPr>
        <w:t>。</w:t>
      </w:r>
    </w:p>
    <w:p>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rFonts w:hint="eastAsia"/>
          <w:color w:val="auto"/>
          <w:sz w:val="24"/>
        </w:rPr>
        <w:t>风险识别类型</w:t>
      </w:r>
    </w:p>
    <w:p>
      <w:pPr>
        <w:spacing w:line="360" w:lineRule="auto"/>
        <w:ind w:firstLine="480" w:firstLineChars="200"/>
        <w:rPr>
          <w:rFonts w:hint="eastAsia"/>
          <w:color w:val="auto"/>
          <w:sz w:val="24"/>
        </w:rPr>
      </w:pPr>
      <w:r>
        <w:rPr>
          <w:rFonts w:hint="eastAsia"/>
          <w:color w:val="auto"/>
          <w:sz w:val="24"/>
        </w:rPr>
        <w:t>项目运输过程中可能发生的事故有</w:t>
      </w:r>
      <w:r>
        <w:rPr>
          <w:color w:val="auto"/>
          <w:sz w:val="24"/>
        </w:rPr>
        <w:t>船舶溢油事故</w:t>
      </w:r>
      <w:r>
        <w:rPr>
          <w:rFonts w:hint="eastAsia"/>
          <w:color w:val="auto"/>
          <w:sz w:val="24"/>
        </w:rPr>
        <w:t>引起火灾、爆炸等。因此，本次环境风险评价和管理的主要研究对象是：对在码头区域发生溢油事故进行影响分析。</w:t>
      </w:r>
    </w:p>
    <w:p>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rFonts w:hint="eastAsia"/>
          <w:color w:val="auto"/>
          <w:sz w:val="24"/>
        </w:rPr>
        <w:t>风险物质识别</w:t>
      </w:r>
    </w:p>
    <w:p>
      <w:pPr>
        <w:pStyle w:val="2"/>
        <w:rPr>
          <w:rFonts w:hint="eastAsia"/>
          <w:color w:val="auto"/>
          <w:sz w:val="24"/>
        </w:rPr>
      </w:pPr>
      <w:r>
        <w:rPr>
          <w:color w:val="auto"/>
          <w:sz w:val="24"/>
        </w:rPr>
        <w:t>本项目风险类型主要为停靠船舶碰撞导致溢油扩散（石油产品污染水体）。</w:t>
      </w:r>
      <w:r>
        <w:rPr>
          <w:rFonts w:hint="eastAsia"/>
          <w:color w:val="auto"/>
          <w:sz w:val="24"/>
        </w:rPr>
        <w:t>船舶</w:t>
      </w:r>
      <w:r>
        <w:rPr>
          <w:color w:val="auto"/>
          <w:sz w:val="24"/>
        </w:rPr>
        <w:t>动力油以柴油为主，</w:t>
      </w:r>
      <w:r>
        <w:rPr>
          <w:rFonts w:hint="eastAsia"/>
          <w:color w:val="auto"/>
          <w:sz w:val="24"/>
        </w:rPr>
        <w:t>柴油的</w:t>
      </w:r>
      <w:r>
        <w:rPr>
          <w:color w:val="auto"/>
          <w:sz w:val="24"/>
        </w:rPr>
        <w:t>毒性表现，</w:t>
      </w:r>
      <w:r>
        <w:rPr>
          <w:rFonts w:hint="eastAsia"/>
          <w:color w:val="auto"/>
          <w:sz w:val="24"/>
        </w:rPr>
        <w:t>一是有特殊的刺激性气体，二是液体有毒或蒸气有毒。蒸气可引起眼及上呼吸道刺激症状，如浓度过高，几分钟即可引起呼吸困难等缺氧症状。并可通过消化道、呼吸道、皮肤侵入机体对人产生危害。</w:t>
      </w:r>
    </w:p>
    <w:p>
      <w:pPr>
        <w:keepNext w:val="0"/>
        <w:keepLines w:val="0"/>
        <w:pageBreakBefore w:val="0"/>
        <w:widowControl w:val="0"/>
        <w:kinsoku/>
        <w:wordWrap/>
        <w:overflowPunct/>
        <w:topLinePunct w:val="0"/>
        <w:autoSpaceDE/>
        <w:autoSpaceDN/>
        <w:bidi w:val="0"/>
        <w:adjustRightInd/>
        <w:snapToGrid/>
        <w:spacing w:before="157" w:beforeLines="50" w:line="240" w:lineRule="auto"/>
        <w:ind w:firstLine="0" w:firstLineChars="0"/>
        <w:jc w:val="center"/>
        <w:textAlignment w:val="auto"/>
        <w:rPr>
          <w:rFonts w:hint="default" w:ascii="Times New Roman" w:hAnsi="Times New Roman" w:eastAsia="黑体" w:cs="Times New Roman"/>
          <w:color w:val="auto"/>
          <w:kern w:val="2"/>
          <w:sz w:val="21"/>
          <w:szCs w:val="21"/>
          <w:shd w:val="clear" w:color="auto" w:fill="auto"/>
          <w:lang w:val="en-US" w:eastAsia="zh-CN" w:bidi="ar-SA"/>
        </w:rPr>
      </w:pPr>
      <w:r>
        <w:rPr>
          <w:rFonts w:hint="eastAsia" w:ascii="Times New Roman" w:hAnsi="Times New Roman" w:eastAsia="黑体" w:cs="Times New Roman"/>
          <w:color w:val="auto"/>
          <w:kern w:val="2"/>
          <w:sz w:val="21"/>
          <w:szCs w:val="21"/>
          <w:shd w:val="clear" w:color="auto" w:fill="auto"/>
          <w:lang w:val="en-US" w:eastAsia="zh-CN" w:bidi="ar-SA"/>
        </w:rPr>
        <w:t>表5.</w:t>
      </w:r>
      <w:r>
        <w:rPr>
          <w:rFonts w:hint="eastAsia" w:eastAsia="黑体" w:cs="Times New Roman"/>
          <w:color w:val="auto"/>
          <w:kern w:val="2"/>
          <w:sz w:val="21"/>
          <w:szCs w:val="21"/>
          <w:shd w:val="clear" w:color="auto" w:fill="auto"/>
          <w:lang w:val="en-US" w:eastAsia="zh-CN" w:bidi="ar-SA"/>
        </w:rPr>
        <w:t>4</w:t>
      </w:r>
      <w:r>
        <w:rPr>
          <w:rFonts w:hint="eastAsia" w:ascii="Times New Roman" w:hAnsi="Times New Roman" w:eastAsia="黑体" w:cs="Times New Roman"/>
          <w:color w:val="auto"/>
          <w:kern w:val="2"/>
          <w:sz w:val="21"/>
          <w:szCs w:val="21"/>
          <w:shd w:val="clear" w:color="auto" w:fill="auto"/>
          <w:lang w:val="en-US" w:eastAsia="zh-CN" w:bidi="ar-SA"/>
        </w:rPr>
        <w:t>-1 柴油的</w:t>
      </w:r>
      <w:r>
        <w:rPr>
          <w:rFonts w:hint="default" w:ascii="Times New Roman" w:hAnsi="Times New Roman" w:eastAsia="黑体" w:cs="Times New Roman"/>
          <w:color w:val="auto"/>
          <w:kern w:val="2"/>
          <w:sz w:val="21"/>
          <w:szCs w:val="21"/>
          <w:shd w:val="clear" w:color="auto" w:fill="auto"/>
          <w:lang w:val="en-US" w:eastAsia="zh-CN" w:bidi="ar-SA"/>
        </w:rPr>
        <w:t>理化和毒理性质</w:t>
      </w:r>
    </w:p>
    <w:tbl>
      <w:tblPr>
        <w:tblStyle w:val="26"/>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9"/>
        <w:gridCol w:w="2145"/>
        <w:gridCol w:w="4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exact"/>
          <w:jc w:val="center"/>
        </w:trPr>
        <w:tc>
          <w:tcPr>
            <w:tcW w:w="1409" w:type="dxa"/>
            <w:vAlign w:val="center"/>
          </w:tcPr>
          <w:p>
            <w:pPr>
              <w:spacing w:line="240" w:lineRule="auto"/>
              <w:ind w:firstLine="0" w:firstLineChars="0"/>
              <w:jc w:val="center"/>
              <w:rPr>
                <w:rFonts w:hint="default" w:ascii="Times New Roman" w:hAnsi="Times New Roman" w:cs="Times New Roman"/>
                <w:b/>
                <w:bCs/>
                <w:color w:val="auto"/>
                <w:sz w:val="21"/>
                <w:szCs w:val="21"/>
                <w:shd w:val="clear" w:color="auto" w:fill="auto"/>
                <w:lang w:eastAsia="zh-CN"/>
              </w:rPr>
            </w:pPr>
            <w:r>
              <w:rPr>
                <w:rFonts w:hint="eastAsia" w:ascii="Times New Roman" w:hAnsi="Times New Roman" w:cs="Times New Roman"/>
                <w:b/>
                <w:bCs/>
                <w:color w:val="auto"/>
                <w:sz w:val="21"/>
                <w:szCs w:val="21"/>
                <w:shd w:val="clear" w:color="auto" w:fill="auto"/>
                <w:lang w:eastAsia="zh-CN"/>
              </w:rPr>
              <w:t>类别</w:t>
            </w:r>
          </w:p>
        </w:tc>
        <w:tc>
          <w:tcPr>
            <w:tcW w:w="2145" w:type="dxa"/>
            <w:vAlign w:val="center"/>
          </w:tcPr>
          <w:p>
            <w:pPr>
              <w:spacing w:line="240" w:lineRule="auto"/>
              <w:ind w:firstLine="0" w:firstLineChars="0"/>
              <w:jc w:val="center"/>
              <w:rPr>
                <w:rFonts w:hint="default" w:ascii="Times New Roman" w:hAnsi="Times New Roman" w:cs="Times New Roman"/>
                <w:b/>
                <w:bCs/>
                <w:color w:val="auto"/>
                <w:sz w:val="21"/>
                <w:szCs w:val="21"/>
                <w:shd w:val="clear" w:color="auto" w:fill="auto"/>
                <w:lang w:eastAsia="zh-CN"/>
              </w:rPr>
            </w:pPr>
            <w:r>
              <w:rPr>
                <w:rFonts w:hint="eastAsia" w:ascii="Times New Roman" w:hAnsi="Times New Roman" w:cs="Times New Roman"/>
                <w:b/>
                <w:bCs/>
                <w:color w:val="auto"/>
                <w:sz w:val="21"/>
                <w:szCs w:val="21"/>
                <w:shd w:val="clear" w:color="auto" w:fill="auto"/>
                <w:lang w:eastAsia="zh-CN"/>
              </w:rPr>
              <w:t>项目</w:t>
            </w:r>
          </w:p>
        </w:tc>
        <w:tc>
          <w:tcPr>
            <w:tcW w:w="4968" w:type="dxa"/>
            <w:vAlign w:val="center"/>
          </w:tcPr>
          <w:p>
            <w:pPr>
              <w:spacing w:line="240" w:lineRule="auto"/>
              <w:ind w:firstLine="0" w:firstLineChars="0"/>
              <w:jc w:val="center"/>
              <w:rPr>
                <w:rFonts w:hint="default" w:ascii="Times New Roman" w:hAnsi="Times New Roman" w:cs="Times New Roman"/>
                <w:b/>
                <w:bCs/>
                <w:color w:val="auto"/>
                <w:sz w:val="21"/>
                <w:szCs w:val="21"/>
                <w:shd w:val="clear" w:color="auto" w:fill="auto"/>
                <w:lang w:eastAsia="zh-CN"/>
              </w:rPr>
            </w:pPr>
            <w:r>
              <w:rPr>
                <w:rFonts w:hint="eastAsia" w:ascii="Times New Roman" w:hAnsi="Times New Roman" w:cs="Times New Roman"/>
                <w:b/>
                <w:bCs/>
                <w:color w:val="auto"/>
                <w:sz w:val="21"/>
                <w:szCs w:val="21"/>
                <w:shd w:val="clear" w:color="auto" w:fill="auto"/>
                <w:lang w:eastAsia="zh-CN"/>
              </w:rPr>
              <w:t>柴油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exact"/>
          <w:jc w:val="center"/>
        </w:trPr>
        <w:tc>
          <w:tcPr>
            <w:tcW w:w="1409" w:type="dxa"/>
            <w:vMerge w:val="restart"/>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理化性质</w:t>
            </w:r>
          </w:p>
        </w:tc>
        <w:tc>
          <w:tcPr>
            <w:tcW w:w="2145"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外观</w:t>
            </w:r>
            <w:r>
              <w:rPr>
                <w:rFonts w:hint="default" w:ascii="Times New Roman" w:hAnsi="Times New Roman" w:cs="Times New Roman"/>
                <w:color w:val="auto"/>
                <w:sz w:val="21"/>
                <w:szCs w:val="21"/>
                <w:shd w:val="clear" w:color="auto" w:fill="auto"/>
                <w:lang w:eastAsia="zh-CN"/>
              </w:rPr>
              <w:t>及性状</w:t>
            </w:r>
          </w:p>
        </w:tc>
        <w:tc>
          <w:tcPr>
            <w:tcW w:w="496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稍有</w:t>
            </w:r>
            <w:r>
              <w:rPr>
                <w:rFonts w:hint="default" w:ascii="Times New Roman" w:hAnsi="Times New Roman" w:cs="Times New Roman"/>
                <w:color w:val="auto"/>
                <w:sz w:val="21"/>
                <w:szCs w:val="21"/>
                <w:shd w:val="clear" w:color="auto" w:fill="auto"/>
                <w:lang w:eastAsia="zh-CN"/>
              </w:rPr>
              <w:t>粘性的棕色液体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exact"/>
          <w:jc w:val="center"/>
        </w:trPr>
        <w:tc>
          <w:tcPr>
            <w:tcW w:w="1409"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p>
        </w:tc>
        <w:tc>
          <w:tcPr>
            <w:tcW w:w="2145"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熔点/沸点</w:t>
            </w:r>
            <w:r>
              <w:rPr>
                <w:rFonts w:hint="default" w:ascii="Times New Roman" w:hAnsi="Times New Roman" w:cs="Times New Roman"/>
                <w:color w:val="auto"/>
                <w:sz w:val="21"/>
                <w:szCs w:val="21"/>
                <w:shd w:val="clear" w:color="auto" w:fill="auto"/>
                <w:lang w:eastAsia="zh-CN"/>
              </w:rPr>
              <w:t>（</w:t>
            </w:r>
            <w:r>
              <w:rPr>
                <w:rFonts w:hint="eastAsia" w:ascii="Times New Roman" w:hAnsi="Times New Roman" w:cs="Times New Roman"/>
                <w:color w:val="auto"/>
                <w:sz w:val="21"/>
                <w:szCs w:val="21"/>
                <w:shd w:val="clear" w:color="auto" w:fill="auto"/>
                <w:lang w:eastAsia="zh-CN"/>
              </w:rPr>
              <w:t>℃</w:t>
            </w:r>
            <w:r>
              <w:rPr>
                <w:rFonts w:hint="default" w:ascii="Times New Roman" w:hAnsi="Times New Roman" w:cs="Times New Roman"/>
                <w:color w:val="auto"/>
                <w:sz w:val="21"/>
                <w:szCs w:val="21"/>
                <w:shd w:val="clear" w:color="auto" w:fill="auto"/>
                <w:lang w:eastAsia="zh-CN"/>
              </w:rPr>
              <w:t>）</w:t>
            </w:r>
          </w:p>
        </w:tc>
        <w:tc>
          <w:tcPr>
            <w:tcW w:w="496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w:t>
            </w:r>
            <w:r>
              <w:rPr>
                <w:rFonts w:hint="default" w:ascii="Times New Roman" w:hAnsi="Times New Roman" w:cs="Times New Roman"/>
                <w:color w:val="auto"/>
                <w:sz w:val="21"/>
                <w:szCs w:val="21"/>
                <w:shd w:val="clear" w:color="auto" w:fill="auto"/>
                <w:lang w:eastAsia="zh-CN"/>
              </w:rPr>
              <w:t>18/282-338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exact"/>
          <w:jc w:val="center"/>
        </w:trPr>
        <w:tc>
          <w:tcPr>
            <w:tcW w:w="1409"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p>
        </w:tc>
        <w:tc>
          <w:tcPr>
            <w:tcW w:w="2145"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相对密度</w:t>
            </w:r>
          </w:p>
        </w:tc>
        <w:tc>
          <w:tcPr>
            <w:tcW w:w="496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对水0.87</w:t>
            </w:r>
            <w:r>
              <w:rPr>
                <w:rFonts w:hint="default" w:ascii="Times New Roman" w:hAnsi="Times New Roman" w:cs="Times New Roman"/>
                <w:color w:val="auto"/>
                <w:sz w:val="21"/>
                <w:szCs w:val="21"/>
                <w:shd w:val="clear" w:color="auto" w:fill="auto"/>
                <w:lang w:eastAsia="zh-CN"/>
              </w:rPr>
              <w:t>-0.9</w:t>
            </w:r>
            <w:r>
              <w:rPr>
                <w:rFonts w:hint="eastAsia" w:ascii="Times New Roman" w:hAnsi="Times New Roman" w:cs="Times New Roman"/>
                <w:color w:val="auto"/>
                <w:sz w:val="21"/>
                <w:szCs w:val="21"/>
                <w:shd w:val="clear" w:color="auto" w:fill="auto"/>
                <w:lang w:eastAsia="zh-CN"/>
              </w:rPr>
              <w:t>，</w:t>
            </w:r>
            <w:r>
              <w:rPr>
                <w:rFonts w:hint="default" w:ascii="Times New Roman" w:hAnsi="Times New Roman" w:cs="Times New Roman"/>
                <w:color w:val="auto"/>
                <w:sz w:val="21"/>
                <w:szCs w:val="21"/>
                <w:shd w:val="clear" w:color="auto" w:fill="auto"/>
                <w:lang w:eastAsia="zh-CN"/>
              </w:rPr>
              <w:t>对空气</w:t>
            </w:r>
            <w:r>
              <w:rPr>
                <w:rFonts w:hint="eastAsia" w:ascii="Times New Roman" w:hAnsi="Times New Roman" w:cs="Times New Roman"/>
                <w:color w:val="auto"/>
                <w:sz w:val="21"/>
                <w:szCs w:val="21"/>
                <w:shd w:val="clear" w:color="auto" w:fill="auto"/>
                <w:lang w:eastAsia="zh-CN"/>
              </w:rPr>
              <w:t>&gt;1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exact"/>
          <w:jc w:val="center"/>
        </w:trPr>
        <w:tc>
          <w:tcPr>
            <w:tcW w:w="1409"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p>
        </w:tc>
        <w:tc>
          <w:tcPr>
            <w:tcW w:w="2145"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溶解性</w:t>
            </w:r>
          </w:p>
        </w:tc>
        <w:tc>
          <w:tcPr>
            <w:tcW w:w="496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不溶于</w:t>
            </w:r>
            <w:r>
              <w:rPr>
                <w:rFonts w:hint="default" w:ascii="Times New Roman" w:hAnsi="Times New Roman" w:cs="Times New Roman"/>
                <w:color w:val="auto"/>
                <w:sz w:val="21"/>
                <w:szCs w:val="21"/>
                <w:shd w:val="clear" w:color="auto" w:fill="auto"/>
                <w:lang w:eastAsia="zh-CN"/>
              </w:rPr>
              <w:t>水，易溶于</w:t>
            </w:r>
            <w:r>
              <w:rPr>
                <w:rFonts w:hint="eastAsia" w:ascii="Times New Roman" w:hAnsi="Times New Roman" w:cs="Times New Roman"/>
                <w:color w:val="auto"/>
                <w:sz w:val="21"/>
                <w:szCs w:val="21"/>
                <w:shd w:val="clear" w:color="auto" w:fill="auto"/>
                <w:lang w:eastAsia="zh-CN"/>
              </w:rPr>
              <w:t>苯</w:t>
            </w:r>
            <w:r>
              <w:rPr>
                <w:rFonts w:hint="default" w:ascii="Times New Roman" w:hAnsi="Times New Roman" w:cs="Times New Roman"/>
                <w:color w:val="auto"/>
                <w:sz w:val="21"/>
                <w:szCs w:val="21"/>
                <w:shd w:val="clear" w:color="auto" w:fill="auto"/>
                <w:lang w:eastAsia="zh-CN"/>
              </w:rPr>
              <w:t>、二硫化碳、醇、可溶于脂肪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exact"/>
          <w:jc w:val="center"/>
        </w:trPr>
        <w:tc>
          <w:tcPr>
            <w:tcW w:w="1409" w:type="dxa"/>
            <w:vMerge w:val="restart"/>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燃烧</w:t>
            </w:r>
            <w:r>
              <w:rPr>
                <w:rFonts w:hint="default" w:ascii="Times New Roman" w:hAnsi="Times New Roman" w:cs="Times New Roman"/>
                <w:color w:val="auto"/>
                <w:sz w:val="21"/>
                <w:szCs w:val="21"/>
                <w:shd w:val="clear" w:color="auto" w:fill="auto"/>
                <w:lang w:eastAsia="zh-CN"/>
              </w:rPr>
              <w:t>爆炸性</w:t>
            </w:r>
          </w:p>
        </w:tc>
        <w:tc>
          <w:tcPr>
            <w:tcW w:w="2145"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闪点/引燃温度</w:t>
            </w:r>
            <w:r>
              <w:rPr>
                <w:rFonts w:hint="default" w:ascii="Times New Roman" w:hAnsi="Times New Roman" w:cs="Times New Roman"/>
                <w:color w:val="auto"/>
                <w:sz w:val="21"/>
                <w:szCs w:val="21"/>
                <w:shd w:val="clear" w:color="auto" w:fill="auto"/>
                <w:lang w:eastAsia="zh-CN"/>
              </w:rPr>
              <w:t>（</w:t>
            </w:r>
            <w:r>
              <w:rPr>
                <w:rFonts w:hint="eastAsia" w:ascii="Times New Roman" w:hAnsi="Times New Roman" w:cs="Times New Roman"/>
                <w:color w:val="auto"/>
                <w:sz w:val="21"/>
                <w:szCs w:val="21"/>
                <w:shd w:val="clear" w:color="auto" w:fill="auto"/>
                <w:lang w:eastAsia="zh-CN"/>
              </w:rPr>
              <w:t>℃</w:t>
            </w:r>
            <w:r>
              <w:rPr>
                <w:rFonts w:hint="default" w:ascii="Times New Roman" w:hAnsi="Times New Roman" w:cs="Times New Roman"/>
                <w:color w:val="auto"/>
                <w:sz w:val="21"/>
                <w:szCs w:val="21"/>
                <w:shd w:val="clear" w:color="auto" w:fill="auto"/>
                <w:lang w:eastAsia="zh-CN"/>
              </w:rPr>
              <w:t>）</w:t>
            </w:r>
          </w:p>
        </w:tc>
        <w:tc>
          <w:tcPr>
            <w:tcW w:w="496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50/</w:t>
            </w:r>
            <w:r>
              <w:rPr>
                <w:rFonts w:hint="default" w:ascii="Times New Roman" w:hAnsi="Times New Roman" w:cs="Times New Roman"/>
                <w:color w:val="auto"/>
                <w:sz w:val="21"/>
                <w:szCs w:val="21"/>
                <w:shd w:val="clear" w:color="auto" w:fill="auto"/>
                <w:lang w:eastAsia="zh-CN"/>
              </w:rPr>
              <w:t>227-257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exact"/>
          <w:jc w:val="center"/>
        </w:trPr>
        <w:tc>
          <w:tcPr>
            <w:tcW w:w="1409"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p>
        </w:tc>
        <w:tc>
          <w:tcPr>
            <w:tcW w:w="2145"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爆炸</w:t>
            </w:r>
            <w:r>
              <w:rPr>
                <w:rFonts w:hint="default" w:ascii="Times New Roman" w:hAnsi="Times New Roman" w:cs="Times New Roman"/>
                <w:color w:val="auto"/>
                <w:sz w:val="21"/>
                <w:szCs w:val="21"/>
                <w:shd w:val="clear" w:color="auto" w:fill="auto"/>
                <w:lang w:eastAsia="zh-CN"/>
              </w:rPr>
              <w:t>极限（</w:t>
            </w:r>
            <w:r>
              <w:rPr>
                <w:rFonts w:hint="eastAsia" w:ascii="Times New Roman" w:hAnsi="Times New Roman" w:cs="Times New Roman"/>
                <w:color w:val="auto"/>
                <w:sz w:val="21"/>
                <w:szCs w:val="21"/>
                <w:shd w:val="clear" w:color="auto" w:fill="auto"/>
                <w:lang w:eastAsia="zh-CN"/>
              </w:rPr>
              <w:t>vol</w:t>
            </w:r>
            <w:r>
              <w:rPr>
                <w:rFonts w:hint="default" w:ascii="Times New Roman" w:hAnsi="Times New Roman" w:cs="Times New Roman"/>
                <w:color w:val="auto"/>
                <w:sz w:val="21"/>
                <w:szCs w:val="21"/>
                <w:shd w:val="clear" w:color="auto" w:fill="auto"/>
                <w:lang w:eastAsia="zh-CN"/>
              </w:rPr>
              <w:t>%）</w:t>
            </w:r>
          </w:p>
        </w:tc>
        <w:tc>
          <w:tcPr>
            <w:tcW w:w="496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1.4-4.5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exact"/>
          <w:jc w:val="center"/>
        </w:trPr>
        <w:tc>
          <w:tcPr>
            <w:tcW w:w="1409"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p>
        </w:tc>
        <w:tc>
          <w:tcPr>
            <w:tcW w:w="2145"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稳定性</w:t>
            </w:r>
          </w:p>
        </w:tc>
        <w:tc>
          <w:tcPr>
            <w:tcW w:w="496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exact"/>
          <w:jc w:val="center"/>
        </w:trPr>
        <w:tc>
          <w:tcPr>
            <w:tcW w:w="1409"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p>
        </w:tc>
        <w:tc>
          <w:tcPr>
            <w:tcW w:w="2145"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建规火险分级</w:t>
            </w:r>
          </w:p>
        </w:tc>
        <w:tc>
          <w:tcPr>
            <w:tcW w:w="496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丙A类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exact"/>
          <w:jc w:val="center"/>
        </w:trPr>
        <w:tc>
          <w:tcPr>
            <w:tcW w:w="1409"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p>
        </w:tc>
        <w:tc>
          <w:tcPr>
            <w:tcW w:w="2145"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爆炸危险组别</w:t>
            </w:r>
            <w:r>
              <w:rPr>
                <w:rFonts w:hint="default" w:ascii="Times New Roman" w:hAnsi="Times New Roman" w:cs="Times New Roman"/>
                <w:color w:val="auto"/>
                <w:sz w:val="21"/>
                <w:szCs w:val="21"/>
                <w:shd w:val="clear" w:color="auto" w:fill="auto"/>
                <w:lang w:eastAsia="zh-CN"/>
              </w:rPr>
              <w:t>、类别</w:t>
            </w:r>
          </w:p>
        </w:tc>
        <w:tc>
          <w:tcPr>
            <w:tcW w:w="496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T3/</w:t>
            </w:r>
            <w:r>
              <w:rPr>
                <w:rFonts w:hint="default" w:ascii="Times New Roman" w:hAnsi="Times New Roman" w:cs="Times New Roman"/>
                <w:color w:val="auto"/>
                <w:sz w:val="21"/>
                <w:szCs w:val="21"/>
                <w:shd w:val="clear" w:color="auto" w:fill="auto"/>
                <w:lang w:eastAsia="zh-CN"/>
              </w:rPr>
              <w:fldChar w:fldCharType="begin"/>
            </w:r>
            <w:r>
              <w:rPr>
                <w:rFonts w:hint="default" w:ascii="Times New Roman" w:hAnsi="Times New Roman" w:cs="Times New Roman"/>
                <w:color w:val="auto"/>
                <w:sz w:val="21"/>
                <w:szCs w:val="21"/>
                <w:shd w:val="clear" w:color="auto" w:fill="auto"/>
                <w:lang w:eastAsia="zh-CN"/>
              </w:rPr>
              <w:instrText xml:space="preserve"> </w:instrText>
            </w:r>
            <w:r>
              <w:rPr>
                <w:rFonts w:hint="eastAsia" w:ascii="Times New Roman" w:hAnsi="Times New Roman" w:cs="Times New Roman"/>
                <w:color w:val="auto"/>
                <w:sz w:val="21"/>
                <w:szCs w:val="21"/>
                <w:shd w:val="clear" w:color="auto" w:fill="auto"/>
                <w:lang w:eastAsia="zh-CN"/>
              </w:rPr>
              <w:instrText xml:space="preserve">= 2 \* ROMAN</w:instrText>
            </w:r>
            <w:r>
              <w:rPr>
                <w:rFonts w:hint="default" w:ascii="Times New Roman" w:hAnsi="Times New Roman" w:cs="Times New Roman"/>
                <w:color w:val="auto"/>
                <w:sz w:val="21"/>
                <w:szCs w:val="21"/>
                <w:shd w:val="clear" w:color="auto" w:fill="auto"/>
                <w:lang w:eastAsia="zh-CN"/>
              </w:rPr>
              <w:instrText xml:space="preserve"> </w:instrText>
            </w:r>
            <w:r>
              <w:rPr>
                <w:rFonts w:hint="default" w:ascii="Times New Roman" w:hAnsi="Times New Roman" w:cs="Times New Roman"/>
                <w:color w:val="auto"/>
                <w:sz w:val="21"/>
                <w:szCs w:val="21"/>
                <w:shd w:val="clear" w:color="auto" w:fill="auto"/>
                <w:lang w:eastAsia="zh-CN"/>
              </w:rPr>
              <w:fldChar w:fldCharType="separate"/>
            </w:r>
            <w:r>
              <w:rPr>
                <w:rFonts w:hint="default" w:ascii="Times New Roman" w:hAnsi="Times New Roman" w:cs="Times New Roman"/>
                <w:color w:val="auto"/>
                <w:sz w:val="21"/>
                <w:szCs w:val="21"/>
                <w:shd w:val="clear" w:color="auto" w:fill="auto"/>
                <w:lang w:eastAsia="zh-CN"/>
              </w:rPr>
              <w:t>II</w:t>
            </w:r>
            <w:r>
              <w:rPr>
                <w:rFonts w:hint="default" w:ascii="Times New Roman" w:hAnsi="Times New Roman" w:cs="Times New Roman"/>
                <w:color w:val="auto"/>
                <w:sz w:val="21"/>
                <w:szCs w:val="21"/>
                <w:shd w:val="clear" w:color="auto" w:fill="auto"/>
                <w:lang w:eastAsia="zh-CN"/>
              </w:rPr>
              <w:fldChar w:fldCharType="end"/>
            </w:r>
            <w:r>
              <w:rPr>
                <w:rFonts w:hint="default" w:ascii="Times New Roman" w:hAnsi="Times New Roman" w:cs="Times New Roman"/>
                <w:color w:val="auto"/>
                <w:sz w:val="21"/>
                <w:szCs w:val="21"/>
                <w:shd w:val="clear" w:color="auto" w:fill="auto"/>
                <w:lang w:eastAsia="zh-CN"/>
              </w:rPr>
              <w:t xml:space="preserve">A </w:t>
            </w:r>
            <w:r>
              <w:rPr>
                <w:rFonts w:hint="eastAsia" w:ascii="Times New Roman" w:hAnsi="Times New Roman" w:cs="Times New Roman"/>
                <w:color w:val="auto"/>
                <w:sz w:val="21"/>
                <w:szCs w:val="21"/>
                <w:shd w:val="clear" w:color="auto" w:fill="auto"/>
                <w:lang w:eastAsia="zh-CN"/>
              </w:rPr>
              <w:t>高闪点</w:t>
            </w:r>
            <w:r>
              <w:rPr>
                <w:rFonts w:hint="default" w:ascii="Times New Roman" w:hAnsi="Times New Roman" w:cs="Times New Roman"/>
                <w:color w:val="auto"/>
                <w:sz w:val="21"/>
                <w:szCs w:val="21"/>
                <w:shd w:val="clear" w:color="auto" w:fill="auto"/>
                <w:lang w:eastAsia="zh-CN"/>
              </w:rPr>
              <w:t>易燃液体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jc w:val="center"/>
        </w:trPr>
        <w:tc>
          <w:tcPr>
            <w:tcW w:w="1409"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p>
        </w:tc>
        <w:tc>
          <w:tcPr>
            <w:tcW w:w="2145"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危险特性</w:t>
            </w:r>
          </w:p>
        </w:tc>
        <w:tc>
          <w:tcPr>
            <w:tcW w:w="496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遇明火</w:t>
            </w:r>
            <w:r>
              <w:rPr>
                <w:rFonts w:hint="default" w:ascii="Times New Roman" w:hAnsi="Times New Roman" w:cs="Times New Roman"/>
                <w:color w:val="auto"/>
                <w:sz w:val="21"/>
                <w:szCs w:val="21"/>
                <w:shd w:val="clear" w:color="auto" w:fill="auto"/>
                <w:lang w:eastAsia="zh-CN"/>
              </w:rPr>
              <w:t>、高热或与氧化剂接触，有引起燃烧爆炸的危险，遇高热，容器内压增大，有开裂和爆炸的危险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exact"/>
          <w:jc w:val="center"/>
        </w:trPr>
        <w:tc>
          <w:tcPr>
            <w:tcW w:w="1409"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p>
        </w:tc>
        <w:tc>
          <w:tcPr>
            <w:tcW w:w="2145"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灭火方法</w:t>
            </w:r>
          </w:p>
        </w:tc>
        <w:tc>
          <w:tcPr>
            <w:tcW w:w="496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灭火剂</w:t>
            </w:r>
            <w:r>
              <w:rPr>
                <w:rFonts w:hint="default" w:ascii="Times New Roman" w:hAnsi="Times New Roman" w:cs="Times New Roman"/>
                <w:color w:val="auto"/>
                <w:sz w:val="21"/>
                <w:szCs w:val="21"/>
                <w:shd w:val="clear" w:color="auto" w:fill="auto"/>
                <w:lang w:eastAsia="zh-CN"/>
              </w:rPr>
              <w:t>种类：二氧化碳、泡沫、干粉、沙土</w:t>
            </w:r>
          </w:p>
        </w:tc>
      </w:tr>
    </w:tbl>
    <w:p>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4</w:t>
      </w:r>
      <w:r>
        <w:rPr>
          <w:rFonts w:hint="eastAsia"/>
          <w:color w:val="auto"/>
          <w:sz w:val="24"/>
          <w:lang w:eastAsia="zh-CN"/>
        </w:rPr>
        <w:t>）</w:t>
      </w:r>
      <w:r>
        <w:rPr>
          <w:rFonts w:hint="eastAsia"/>
          <w:color w:val="auto"/>
          <w:sz w:val="24"/>
        </w:rPr>
        <w:t>油品危险性分析</w:t>
      </w:r>
    </w:p>
    <w:p>
      <w:pPr>
        <w:spacing w:line="360" w:lineRule="auto"/>
        <w:ind w:firstLine="480" w:firstLineChars="200"/>
        <w:rPr>
          <w:color w:val="auto"/>
          <w:sz w:val="24"/>
        </w:rPr>
      </w:pPr>
      <w:r>
        <w:rPr>
          <w:rFonts w:hint="eastAsia"/>
          <w:color w:val="auto"/>
          <w:sz w:val="24"/>
        </w:rPr>
        <w:t>油品的易燃性：本项目涉及的柴油是易燃液体，具有燃烧特性。</w:t>
      </w:r>
    </w:p>
    <w:p>
      <w:pPr>
        <w:spacing w:line="360" w:lineRule="auto"/>
        <w:ind w:firstLine="480" w:firstLineChars="200"/>
        <w:rPr>
          <w:rFonts w:hint="eastAsia"/>
          <w:color w:val="auto"/>
        </w:rPr>
      </w:pPr>
      <w:r>
        <w:rPr>
          <w:rFonts w:hint="eastAsia"/>
          <w:color w:val="auto"/>
          <w:sz w:val="24"/>
        </w:rPr>
        <w:t>泄露扩散性：柴油如泄露到</w:t>
      </w:r>
      <w:r>
        <w:rPr>
          <w:rFonts w:hint="eastAsia"/>
          <w:color w:val="auto"/>
          <w:sz w:val="24"/>
          <w:lang w:eastAsia="zh-CN"/>
        </w:rPr>
        <w:t>河</w:t>
      </w:r>
      <w:r>
        <w:rPr>
          <w:rFonts w:hint="eastAsia"/>
          <w:color w:val="auto"/>
          <w:sz w:val="24"/>
        </w:rPr>
        <w:t>面，并不断扩散，污染</w:t>
      </w:r>
      <w:r>
        <w:rPr>
          <w:rFonts w:hint="eastAsia"/>
          <w:color w:val="auto"/>
          <w:sz w:val="24"/>
          <w:lang w:eastAsia="zh-CN"/>
        </w:rPr>
        <w:t>河</w:t>
      </w:r>
      <w:r>
        <w:rPr>
          <w:rFonts w:hint="eastAsia"/>
          <w:color w:val="auto"/>
          <w:sz w:val="24"/>
        </w:rPr>
        <w:t>水。</w:t>
      </w:r>
    </w:p>
    <w:p>
      <w:pPr>
        <w:pStyle w:val="5"/>
        <w:bidi w:val="0"/>
        <w:rPr>
          <w:color w:val="auto"/>
        </w:rPr>
      </w:pPr>
      <w:r>
        <w:rPr>
          <w:rFonts w:hint="eastAsia"/>
          <w:color w:val="auto"/>
          <w:lang w:val="en-US" w:eastAsia="zh-CN"/>
        </w:rPr>
        <w:t xml:space="preserve">5.4.2 </w:t>
      </w:r>
      <w:r>
        <w:rPr>
          <w:rFonts w:hint="eastAsia"/>
          <w:color w:val="auto"/>
        </w:rPr>
        <w:t>生产设施、生产工艺风险识别</w:t>
      </w:r>
    </w:p>
    <w:p>
      <w:pPr>
        <w:bidi w:val="0"/>
        <w:rPr>
          <w:rFonts w:hint="eastAsia"/>
          <w:color w:val="auto"/>
        </w:rPr>
      </w:pPr>
      <w:r>
        <w:rPr>
          <w:rFonts w:hint="eastAsia"/>
          <w:color w:val="auto"/>
        </w:rPr>
        <w:t>项目生产设施主要为</w:t>
      </w:r>
      <w:r>
        <w:rPr>
          <w:rFonts w:hint="eastAsia"/>
          <w:color w:val="auto"/>
          <w:lang w:eastAsia="zh-CN"/>
        </w:rPr>
        <w:t>固定吊</w:t>
      </w:r>
      <w:r>
        <w:rPr>
          <w:rFonts w:hint="eastAsia"/>
          <w:color w:val="auto"/>
        </w:rPr>
        <w:t>、</w:t>
      </w:r>
      <w:r>
        <w:rPr>
          <w:rFonts w:hint="eastAsia"/>
          <w:color w:val="auto"/>
          <w:lang w:eastAsia="zh-CN"/>
        </w:rPr>
        <w:t>载重运输车</w:t>
      </w:r>
      <w:r>
        <w:rPr>
          <w:rFonts w:hint="eastAsia"/>
          <w:color w:val="auto"/>
        </w:rPr>
        <w:t>等，无涉及危险物质的生产装置；生产工艺主要为</w:t>
      </w:r>
      <w:r>
        <w:rPr>
          <w:rFonts w:hint="eastAsia"/>
          <w:color w:val="auto"/>
          <w:lang w:eastAsia="zh-CN"/>
        </w:rPr>
        <w:t>散货装卸、</w:t>
      </w:r>
      <w:r>
        <w:rPr>
          <w:rFonts w:hint="eastAsia"/>
          <w:color w:val="auto"/>
        </w:rPr>
        <w:t>运输作业，生产工艺过程中不涉及危险物质，故项目生产工艺、生产设施不涉及风险识别内容。</w:t>
      </w:r>
    </w:p>
    <w:p>
      <w:pPr>
        <w:pStyle w:val="4"/>
        <w:bidi w:val="0"/>
        <w:rPr>
          <w:rFonts w:hint="eastAsia"/>
          <w:color w:val="auto"/>
          <w:lang w:val="en-US" w:eastAsia="zh-CN"/>
        </w:rPr>
      </w:pPr>
      <w:bookmarkStart w:id="344" w:name="_Toc91"/>
      <w:r>
        <w:rPr>
          <w:rFonts w:hint="eastAsia"/>
          <w:color w:val="auto"/>
          <w:lang w:val="en-US" w:eastAsia="zh-CN"/>
        </w:rPr>
        <w:t>5.5 环境风险分析</w:t>
      </w:r>
      <w:bookmarkEnd w:id="344"/>
    </w:p>
    <w:p>
      <w:pPr>
        <w:pStyle w:val="5"/>
        <w:rPr>
          <w:color w:val="auto"/>
          <w:shd w:val="clear" w:color="auto" w:fill="auto"/>
        </w:rPr>
      </w:pPr>
      <w:bookmarkStart w:id="345" w:name="_Toc316642074"/>
      <w:r>
        <w:rPr>
          <w:rFonts w:hint="eastAsia"/>
          <w:color w:val="auto"/>
          <w:shd w:val="clear" w:color="auto" w:fill="auto"/>
          <w:lang w:val="en-US" w:eastAsia="zh-CN"/>
        </w:rPr>
        <w:t>5</w:t>
      </w:r>
      <w:r>
        <w:rPr>
          <w:rFonts w:hint="eastAsia"/>
          <w:color w:val="auto"/>
          <w:shd w:val="clear" w:color="auto" w:fill="auto"/>
        </w:rPr>
        <w:t>.5</w:t>
      </w:r>
      <w:r>
        <w:rPr>
          <w:color w:val="auto"/>
          <w:shd w:val="clear" w:color="auto" w:fill="auto"/>
        </w:rPr>
        <w:t>.1</w:t>
      </w:r>
      <w:r>
        <w:rPr>
          <w:rFonts w:hint="eastAsia"/>
          <w:color w:val="auto"/>
          <w:shd w:val="clear" w:color="auto" w:fill="auto"/>
          <w:lang w:val="en-US" w:eastAsia="zh-CN"/>
        </w:rPr>
        <w:t xml:space="preserve"> </w:t>
      </w:r>
      <w:r>
        <w:rPr>
          <w:color w:val="auto"/>
          <w:shd w:val="clear" w:color="auto" w:fill="auto"/>
        </w:rPr>
        <w:t>溢油扩延计算模式</w:t>
      </w:r>
      <w:bookmarkEnd w:id="345"/>
    </w:p>
    <w:p>
      <w:pPr>
        <w:adjustRightInd w:val="0"/>
        <w:snapToGrid w:val="0"/>
        <w:ind w:firstLine="480"/>
        <w:rPr>
          <w:color w:val="auto"/>
          <w:shd w:val="clear" w:color="auto" w:fill="auto"/>
        </w:rPr>
      </w:pPr>
      <w:r>
        <w:rPr>
          <w:rFonts w:hAnsi="宋体"/>
          <w:color w:val="auto"/>
          <w:shd w:val="clear" w:color="auto" w:fill="auto"/>
        </w:rPr>
        <w:t>油膜的扩延，在初期阶段的扩展起主导作用，而在最后阶段是扩散起主导作用。虽然计算扩延范围的公式很多，但由于影响因素复杂，许多公式都是简化而得的，计算结果也有差异。在众多的成果中，费伊</w:t>
      </w:r>
      <w:r>
        <w:rPr>
          <w:color w:val="auto"/>
          <w:shd w:val="clear" w:color="auto" w:fill="auto"/>
        </w:rPr>
        <w:t>(Fay)</w:t>
      </w:r>
      <w:r>
        <w:rPr>
          <w:rFonts w:hAnsi="宋体"/>
          <w:color w:val="auto"/>
          <w:shd w:val="clear" w:color="auto" w:fill="auto"/>
        </w:rPr>
        <w:t>公式是广泛受到重视的只考虑油膜扩展作用的公式之一。</w:t>
      </w:r>
    </w:p>
    <w:p>
      <w:pPr>
        <w:adjustRightInd w:val="0"/>
        <w:snapToGrid w:val="0"/>
        <w:ind w:firstLine="480"/>
        <w:rPr>
          <w:color w:val="auto"/>
          <w:shd w:val="clear" w:color="auto" w:fill="auto"/>
        </w:rPr>
      </w:pPr>
      <w:r>
        <w:rPr>
          <w:rFonts w:hAnsi="宋体"/>
          <w:color w:val="auto"/>
          <w:shd w:val="clear" w:color="auto" w:fill="auto"/>
        </w:rPr>
        <w:t>费伊把扩展过程划分为三个阶段：</w:t>
      </w:r>
    </w:p>
    <w:p>
      <w:pPr>
        <w:adjustRightInd w:val="0"/>
        <w:snapToGrid w:val="0"/>
        <w:ind w:firstLine="480"/>
        <w:rPr>
          <w:color w:val="auto"/>
          <w:shd w:val="clear" w:color="auto" w:fill="auto"/>
        </w:rPr>
      </w:pPr>
      <w:r>
        <w:rPr>
          <w:rFonts w:hint="eastAsia"/>
          <w:color w:val="auto"/>
          <w:shd w:val="clear" w:color="auto" w:fill="auto"/>
        </w:rPr>
        <w:t>（1）</w:t>
      </w:r>
      <w:r>
        <w:rPr>
          <w:rFonts w:hAnsi="宋体"/>
          <w:color w:val="auto"/>
          <w:shd w:val="clear" w:color="auto" w:fill="auto"/>
        </w:rPr>
        <w:t>惯性扩展阶段</w:t>
      </w:r>
    </w:p>
    <w:p>
      <w:pPr>
        <w:adjustRightInd w:val="0"/>
        <w:snapToGrid w:val="0"/>
        <w:ind w:firstLine="0" w:firstLineChars="0"/>
        <w:jc w:val="center"/>
        <w:rPr>
          <w:color w:val="auto"/>
          <w:shd w:val="clear" w:color="auto" w:fill="auto"/>
        </w:rPr>
      </w:pPr>
      <w:r>
        <w:rPr>
          <w:color w:val="auto"/>
          <w:shd w:val="clear" w:color="auto" w:fill="auto"/>
        </w:rPr>
        <w:object>
          <v:shape id="_x0000_i1029" o:spt="75" type="#_x0000_t75" style="height:18pt;width:94pt;" o:ole="t" filled="f" o:preferrelative="t" stroked="f" coordsize="21600,21600">
            <v:path/>
            <v:fill on="f" focussize="0,0"/>
            <v:stroke on="f" joinstyle="miter"/>
            <v:imagedata r:id="rId66" o:title=""/>
            <o:lock v:ext="edit" aspectratio="t"/>
            <w10:wrap type="none"/>
            <w10:anchorlock/>
          </v:shape>
          <o:OLEObject Type="Embed" ProgID="Equation.3" ShapeID="_x0000_i1029" DrawAspect="Content" ObjectID="_1468075727" r:id="rId65">
            <o:LockedField>false</o:LockedField>
          </o:OLEObject>
        </w:object>
      </w:r>
    </w:p>
    <w:p>
      <w:pPr>
        <w:adjustRightInd w:val="0"/>
        <w:snapToGrid w:val="0"/>
        <w:ind w:firstLine="480"/>
        <w:rPr>
          <w:color w:val="auto"/>
          <w:shd w:val="clear" w:color="auto" w:fill="auto"/>
        </w:rPr>
      </w:pPr>
      <w:r>
        <w:rPr>
          <w:rFonts w:hint="eastAsia"/>
          <w:color w:val="auto"/>
          <w:shd w:val="clear" w:color="auto" w:fill="auto"/>
        </w:rPr>
        <w:t>（2）</w:t>
      </w:r>
      <w:r>
        <w:rPr>
          <w:rFonts w:hAnsi="宋体"/>
          <w:color w:val="auto"/>
          <w:shd w:val="clear" w:color="auto" w:fill="auto"/>
        </w:rPr>
        <w:t>粘性扩履阶段</w:t>
      </w:r>
    </w:p>
    <w:p>
      <w:pPr>
        <w:adjustRightInd w:val="0"/>
        <w:snapToGrid w:val="0"/>
        <w:ind w:firstLine="480"/>
        <w:jc w:val="center"/>
        <w:rPr>
          <w:color w:val="auto"/>
          <w:shd w:val="clear" w:color="auto" w:fill="auto"/>
        </w:rPr>
      </w:pPr>
      <w:r>
        <w:rPr>
          <w:color w:val="auto"/>
          <w:position w:val="-10"/>
          <w:shd w:val="clear" w:color="auto" w:fill="auto"/>
        </w:rPr>
        <w:object>
          <v:shape id="_x0000_i1030" o:spt="75" type="#_x0000_t75" style="height:19pt;width:132.95pt;" o:ole="t" filled="f" o:preferrelative="t" stroked="f" coordsize="21600,21600">
            <v:path/>
            <v:fill on="f" focussize="0,0"/>
            <v:stroke on="f" joinstyle="miter"/>
            <v:imagedata r:id="rId68" o:title=""/>
            <o:lock v:ext="edit" aspectratio="t"/>
            <w10:wrap type="none"/>
            <w10:anchorlock/>
          </v:shape>
          <o:OLEObject Type="Embed" ProgID="Equation.3" ShapeID="_x0000_i1030" DrawAspect="Content" ObjectID="_1468075728" r:id="rId67">
            <o:LockedField>false</o:LockedField>
          </o:OLEObject>
        </w:object>
      </w:r>
    </w:p>
    <w:p>
      <w:pPr>
        <w:adjustRightInd w:val="0"/>
        <w:snapToGrid w:val="0"/>
        <w:ind w:firstLine="480"/>
        <w:rPr>
          <w:color w:val="auto"/>
          <w:shd w:val="clear" w:color="auto" w:fill="auto"/>
        </w:rPr>
      </w:pPr>
      <w:r>
        <w:rPr>
          <w:rFonts w:hint="eastAsia"/>
          <w:color w:val="auto"/>
          <w:shd w:val="clear" w:color="auto" w:fill="auto"/>
        </w:rPr>
        <w:t>（3）</w:t>
      </w:r>
      <w:r>
        <w:rPr>
          <w:rFonts w:hAnsi="宋体"/>
          <w:color w:val="auto"/>
          <w:shd w:val="clear" w:color="auto" w:fill="auto"/>
        </w:rPr>
        <w:t>表面张力扩展阶段</w:t>
      </w:r>
    </w:p>
    <w:p>
      <w:pPr>
        <w:adjustRightInd w:val="0"/>
        <w:snapToGrid w:val="0"/>
        <w:ind w:firstLine="480"/>
        <w:jc w:val="center"/>
        <w:rPr>
          <w:color w:val="auto"/>
          <w:shd w:val="clear" w:color="auto" w:fill="auto"/>
        </w:rPr>
      </w:pPr>
      <w:r>
        <w:rPr>
          <w:color w:val="auto"/>
          <w:position w:val="-12"/>
          <w:shd w:val="clear" w:color="auto" w:fill="auto"/>
        </w:rPr>
        <w:object>
          <v:shape id="_x0000_i1031" o:spt="75" type="#_x0000_t75" style="height:20pt;width:137pt;" o:ole="t" filled="f" o:preferrelative="t" stroked="f" coordsize="21600,21600">
            <v:path/>
            <v:fill on="f" focussize="0,0"/>
            <v:stroke on="f" joinstyle="miter"/>
            <v:imagedata r:id="rId70" o:title=""/>
            <o:lock v:ext="edit" aspectratio="t"/>
            <w10:wrap type="none"/>
            <w10:anchorlock/>
          </v:shape>
          <o:OLEObject Type="Embed" ProgID="Equation.3" ShapeID="_x0000_i1031" DrawAspect="Content" ObjectID="_1468075729" r:id="rId69">
            <o:LockedField>false</o:LockedField>
          </o:OLEObject>
        </w:object>
      </w:r>
    </w:p>
    <w:p>
      <w:pPr>
        <w:adjustRightInd w:val="0"/>
        <w:snapToGrid w:val="0"/>
        <w:ind w:firstLine="480"/>
        <w:rPr>
          <w:color w:val="auto"/>
          <w:shd w:val="clear" w:color="auto" w:fill="auto"/>
        </w:rPr>
      </w:pPr>
      <w:r>
        <w:rPr>
          <w:rFonts w:hint="eastAsia"/>
          <w:color w:val="auto"/>
          <w:shd w:val="clear" w:color="auto" w:fill="auto"/>
        </w:rPr>
        <w:t>（4）</w:t>
      </w:r>
      <w:r>
        <w:rPr>
          <w:rFonts w:hAnsi="宋体"/>
          <w:color w:val="auto"/>
          <w:shd w:val="clear" w:color="auto" w:fill="auto"/>
        </w:rPr>
        <w:t>在扩展结束之后，油膜直径保持不变</w:t>
      </w:r>
    </w:p>
    <w:p>
      <w:pPr>
        <w:adjustRightInd w:val="0"/>
        <w:snapToGrid w:val="0"/>
        <w:ind w:firstLine="0" w:firstLineChars="0"/>
        <w:jc w:val="center"/>
        <w:rPr>
          <w:color w:val="auto"/>
          <w:shd w:val="clear" w:color="auto" w:fill="auto"/>
          <w:vertAlign w:val="superscript"/>
        </w:rPr>
      </w:pPr>
      <w:r>
        <w:rPr>
          <w:color w:val="auto"/>
          <w:shd w:val="clear" w:color="auto" w:fill="auto"/>
        </w:rPr>
        <w:t>D</w:t>
      </w:r>
      <w:r>
        <w:rPr>
          <w:rFonts w:hAnsi="宋体"/>
          <w:color w:val="auto"/>
          <w:shd w:val="clear" w:color="auto" w:fill="auto"/>
          <w:lang w:val="en-GB"/>
        </w:rPr>
        <w:t>＝</w:t>
      </w:r>
      <w:r>
        <w:rPr>
          <w:color w:val="auto"/>
          <w:shd w:val="clear" w:color="auto" w:fill="auto"/>
        </w:rPr>
        <w:t>356.8V</w:t>
      </w:r>
      <w:r>
        <w:rPr>
          <w:color w:val="auto"/>
          <w:shd w:val="clear" w:color="auto" w:fill="auto"/>
          <w:vertAlign w:val="superscript"/>
        </w:rPr>
        <w:t>3/8</w:t>
      </w:r>
    </w:p>
    <w:p>
      <w:pPr>
        <w:adjustRightInd w:val="0"/>
        <w:snapToGrid w:val="0"/>
        <w:ind w:firstLine="480"/>
        <w:rPr>
          <w:color w:val="auto"/>
          <w:shd w:val="clear" w:color="auto" w:fill="auto"/>
        </w:rPr>
      </w:pPr>
      <w:r>
        <w:rPr>
          <w:rFonts w:hAnsi="宋体"/>
          <w:color w:val="auto"/>
          <w:shd w:val="clear" w:color="auto" w:fill="auto"/>
        </w:rPr>
        <w:t>式中：</w:t>
      </w:r>
      <w:r>
        <w:rPr>
          <w:color w:val="auto"/>
          <w:shd w:val="clear" w:color="auto" w:fill="auto"/>
        </w:rPr>
        <w:t>D—</w:t>
      </w:r>
      <w:r>
        <w:rPr>
          <w:rFonts w:hAnsi="宋体"/>
          <w:color w:val="auto"/>
          <w:shd w:val="clear" w:color="auto" w:fill="auto"/>
        </w:rPr>
        <w:t>油膜直径（</w:t>
      </w:r>
      <w:r>
        <w:rPr>
          <w:rFonts w:hint="eastAsia"/>
          <w:color w:val="auto"/>
          <w:shd w:val="clear" w:color="auto" w:fill="auto"/>
          <w:lang w:eastAsia="zh-CN"/>
        </w:rPr>
        <w:t>m</w:t>
      </w:r>
      <w:r>
        <w:rPr>
          <w:rFonts w:hAnsi="宋体"/>
          <w:color w:val="auto"/>
          <w:shd w:val="clear" w:color="auto" w:fill="auto"/>
        </w:rPr>
        <w:t>）；</w:t>
      </w:r>
    </w:p>
    <w:p>
      <w:pPr>
        <w:adjustRightInd w:val="0"/>
        <w:snapToGrid w:val="0"/>
        <w:ind w:firstLine="1200" w:firstLineChars="500"/>
        <w:rPr>
          <w:color w:val="auto"/>
          <w:shd w:val="clear" w:color="auto" w:fill="auto"/>
        </w:rPr>
      </w:pPr>
      <w:r>
        <w:rPr>
          <w:color w:val="auto"/>
          <w:shd w:val="clear" w:color="auto" w:fill="auto"/>
        </w:rPr>
        <w:t>g</w:t>
      </w:r>
      <w:r>
        <w:rPr>
          <w:color w:val="auto"/>
          <w:shd w:val="clear" w:color="auto" w:fill="auto"/>
          <w:lang w:val="en-GB"/>
        </w:rPr>
        <w:t>—</w:t>
      </w:r>
      <w:r>
        <w:rPr>
          <w:rFonts w:hAnsi="宋体"/>
          <w:color w:val="auto"/>
          <w:shd w:val="clear" w:color="auto" w:fill="auto"/>
        </w:rPr>
        <w:t>重力加速度</w:t>
      </w:r>
      <w:r>
        <w:rPr>
          <w:color w:val="auto"/>
          <w:shd w:val="clear" w:color="auto" w:fill="auto"/>
        </w:rPr>
        <w:t>(</w:t>
      </w:r>
      <w:r>
        <w:rPr>
          <w:rFonts w:hint="eastAsia"/>
          <w:color w:val="auto"/>
          <w:shd w:val="clear" w:color="auto" w:fill="auto"/>
          <w:lang w:eastAsia="zh-CN"/>
        </w:rPr>
        <w:t>m</w:t>
      </w:r>
      <w:r>
        <w:rPr>
          <w:color w:val="auto"/>
          <w:shd w:val="clear" w:color="auto" w:fill="auto"/>
        </w:rPr>
        <w:t>/s</w:t>
      </w:r>
      <w:r>
        <w:rPr>
          <w:color w:val="auto"/>
          <w:shd w:val="clear" w:color="auto" w:fill="auto"/>
          <w:vertAlign w:val="superscript"/>
        </w:rPr>
        <w:t>2</w:t>
      </w:r>
      <w:r>
        <w:rPr>
          <w:color w:val="auto"/>
          <w:shd w:val="clear" w:color="auto" w:fill="auto"/>
        </w:rPr>
        <w:t>)</w:t>
      </w:r>
      <w:r>
        <w:rPr>
          <w:rFonts w:hAnsi="宋体"/>
          <w:color w:val="auto"/>
          <w:shd w:val="clear" w:color="auto" w:fill="auto"/>
          <w:lang w:val="en-GB"/>
        </w:rPr>
        <w:t>；</w:t>
      </w:r>
    </w:p>
    <w:p>
      <w:pPr>
        <w:adjustRightInd w:val="0"/>
        <w:snapToGrid w:val="0"/>
        <w:ind w:firstLine="1200" w:firstLineChars="500"/>
        <w:rPr>
          <w:color w:val="auto"/>
          <w:shd w:val="clear" w:color="auto" w:fill="auto"/>
        </w:rPr>
      </w:pPr>
      <w:r>
        <w:rPr>
          <w:color w:val="auto"/>
          <w:shd w:val="clear" w:color="auto" w:fill="auto"/>
        </w:rPr>
        <w:t>V—</w:t>
      </w:r>
      <w:r>
        <w:rPr>
          <w:rFonts w:hAnsi="宋体"/>
          <w:color w:val="auto"/>
          <w:shd w:val="clear" w:color="auto" w:fill="auto"/>
        </w:rPr>
        <w:t>溢油总体积（</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Ansi="宋体"/>
          <w:color w:val="auto"/>
          <w:shd w:val="clear" w:color="auto" w:fill="auto"/>
        </w:rPr>
        <w:t>）；</w:t>
      </w:r>
    </w:p>
    <w:p>
      <w:pPr>
        <w:adjustRightInd w:val="0"/>
        <w:snapToGrid w:val="0"/>
        <w:ind w:firstLine="1200" w:firstLineChars="500"/>
        <w:rPr>
          <w:color w:val="auto"/>
          <w:shd w:val="clear" w:color="auto" w:fill="auto"/>
        </w:rPr>
      </w:pPr>
      <w:r>
        <w:rPr>
          <w:color w:val="auto"/>
          <w:shd w:val="clear" w:color="auto" w:fill="auto"/>
        </w:rPr>
        <w:t>t—</w:t>
      </w:r>
      <w:r>
        <w:rPr>
          <w:rFonts w:hAnsi="宋体"/>
          <w:color w:val="auto"/>
          <w:shd w:val="clear" w:color="auto" w:fill="auto"/>
        </w:rPr>
        <w:t>从溢油开始计算所经历的时间（</w:t>
      </w:r>
      <w:r>
        <w:rPr>
          <w:color w:val="auto"/>
          <w:shd w:val="clear" w:color="auto" w:fill="auto"/>
        </w:rPr>
        <w:t>s</w:t>
      </w:r>
      <w:r>
        <w:rPr>
          <w:rFonts w:hAnsi="宋体"/>
          <w:color w:val="auto"/>
          <w:shd w:val="clear" w:color="auto" w:fill="auto"/>
        </w:rPr>
        <w:t>）</w:t>
      </w:r>
    </w:p>
    <w:p>
      <w:pPr>
        <w:adjustRightInd w:val="0"/>
        <w:snapToGrid w:val="0"/>
        <w:ind w:firstLine="1200" w:firstLineChars="500"/>
        <w:rPr>
          <w:color w:val="auto"/>
          <w:shd w:val="clear" w:color="auto" w:fill="auto"/>
        </w:rPr>
      </w:pPr>
      <w:r>
        <w:rPr>
          <w:color w:val="auto"/>
          <w:shd w:val="clear" w:color="auto" w:fill="auto"/>
        </w:rPr>
        <w:t>β—β</w:t>
      </w:r>
      <w:r>
        <w:rPr>
          <w:rFonts w:hAnsi="宋体"/>
          <w:color w:val="auto"/>
          <w:shd w:val="clear" w:color="auto" w:fill="auto"/>
        </w:rPr>
        <w:t>＝</w:t>
      </w:r>
      <w:r>
        <w:rPr>
          <w:color w:val="auto"/>
          <w:shd w:val="clear" w:color="auto" w:fill="auto"/>
        </w:rPr>
        <w:t>1</w:t>
      </w:r>
      <w:r>
        <w:rPr>
          <w:rFonts w:hAnsi="宋体"/>
          <w:color w:val="auto"/>
          <w:shd w:val="clear" w:color="auto" w:fill="auto"/>
        </w:rPr>
        <w:t>－</w:t>
      </w:r>
      <w:r>
        <w:rPr>
          <w:color w:val="auto"/>
          <w:shd w:val="clear" w:color="auto" w:fill="auto"/>
        </w:rPr>
        <w:t>ρ</w:t>
      </w:r>
      <w:r>
        <w:rPr>
          <w:color w:val="auto"/>
          <w:shd w:val="clear" w:color="auto" w:fill="auto"/>
          <w:vertAlign w:val="superscript"/>
        </w:rPr>
        <w:t>0</w:t>
      </w:r>
      <w:r>
        <w:rPr>
          <w:color w:val="auto"/>
          <w:shd w:val="clear" w:color="auto" w:fill="auto"/>
        </w:rPr>
        <w:t>/ρ</w:t>
      </w:r>
      <w:r>
        <w:rPr>
          <w:color w:val="auto"/>
          <w:shd w:val="clear" w:color="auto" w:fill="auto"/>
          <w:vertAlign w:val="superscript"/>
        </w:rPr>
        <w:t>w</w:t>
      </w:r>
      <w:r>
        <w:rPr>
          <w:rFonts w:hAnsi="宋体"/>
          <w:color w:val="auto"/>
          <w:shd w:val="clear" w:color="auto" w:fill="auto"/>
        </w:rPr>
        <w:t>；</w:t>
      </w:r>
    </w:p>
    <w:p>
      <w:pPr>
        <w:adjustRightInd w:val="0"/>
        <w:snapToGrid w:val="0"/>
        <w:ind w:firstLine="1200" w:firstLineChars="500"/>
        <w:rPr>
          <w:color w:val="auto"/>
          <w:shd w:val="clear" w:color="auto" w:fill="auto"/>
        </w:rPr>
      </w:pPr>
      <w:r>
        <w:rPr>
          <w:color w:val="auto"/>
          <w:shd w:val="clear" w:color="auto" w:fill="auto"/>
        </w:rPr>
        <w:t>ρ</w:t>
      </w:r>
      <w:r>
        <w:rPr>
          <w:color w:val="auto"/>
          <w:shd w:val="clear" w:color="auto" w:fill="auto"/>
          <w:vertAlign w:val="superscript"/>
        </w:rPr>
        <w:t>0</w:t>
      </w:r>
      <w:r>
        <w:rPr>
          <w:color w:val="auto"/>
          <w:shd w:val="clear" w:color="auto" w:fill="auto"/>
        </w:rPr>
        <w:t>—</w:t>
      </w:r>
      <w:r>
        <w:rPr>
          <w:rFonts w:hAnsi="宋体"/>
          <w:color w:val="auto"/>
          <w:shd w:val="clear" w:color="auto" w:fill="auto"/>
        </w:rPr>
        <w:t>油的密度（</w:t>
      </w:r>
      <w:r>
        <w:rPr>
          <w:color w:val="auto"/>
          <w:shd w:val="clear" w:color="auto" w:fill="auto"/>
        </w:rPr>
        <w:t>t/</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Ansi="宋体"/>
          <w:color w:val="auto"/>
          <w:shd w:val="clear" w:color="auto" w:fill="auto"/>
        </w:rPr>
        <w:t>）；</w:t>
      </w:r>
    </w:p>
    <w:p>
      <w:pPr>
        <w:adjustRightInd w:val="0"/>
        <w:snapToGrid w:val="0"/>
        <w:ind w:firstLine="1200" w:firstLineChars="500"/>
        <w:rPr>
          <w:color w:val="auto"/>
          <w:shd w:val="clear" w:color="auto" w:fill="auto"/>
        </w:rPr>
      </w:pPr>
      <w:r>
        <w:rPr>
          <w:color w:val="auto"/>
          <w:shd w:val="clear" w:color="auto" w:fill="auto"/>
        </w:rPr>
        <w:t>ρ</w:t>
      </w:r>
      <w:r>
        <w:rPr>
          <w:color w:val="auto"/>
          <w:shd w:val="clear" w:color="auto" w:fill="auto"/>
          <w:vertAlign w:val="superscript"/>
        </w:rPr>
        <w:t>w</w:t>
      </w:r>
      <w:r>
        <w:rPr>
          <w:color w:val="auto"/>
          <w:shd w:val="clear" w:color="auto" w:fill="auto"/>
        </w:rPr>
        <w:t>—</w:t>
      </w:r>
      <w:r>
        <w:rPr>
          <w:rFonts w:hAnsi="宋体"/>
          <w:color w:val="auto"/>
          <w:shd w:val="clear" w:color="auto" w:fill="auto"/>
        </w:rPr>
        <w:t>水的密度（</w:t>
      </w:r>
      <w:r>
        <w:rPr>
          <w:color w:val="auto"/>
          <w:shd w:val="clear" w:color="auto" w:fill="auto"/>
        </w:rPr>
        <w:t>t/</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Ansi="宋体"/>
          <w:color w:val="auto"/>
          <w:shd w:val="clear" w:color="auto" w:fill="auto"/>
        </w:rPr>
        <w:t>）；</w:t>
      </w:r>
    </w:p>
    <w:p>
      <w:pPr>
        <w:adjustRightInd w:val="0"/>
        <w:snapToGrid w:val="0"/>
        <w:ind w:firstLine="480"/>
        <w:rPr>
          <w:color w:val="auto"/>
          <w:shd w:val="clear" w:color="auto" w:fill="auto"/>
        </w:rPr>
      </w:pPr>
      <w:r>
        <w:rPr>
          <w:color w:val="auto"/>
          <w:shd w:val="clear" w:color="auto" w:fill="auto"/>
        </w:rPr>
        <w:t xml:space="preserve">      δ</w:t>
      </w:r>
      <w:r>
        <w:rPr>
          <w:color w:val="auto"/>
          <w:shd w:val="clear" w:color="auto" w:fill="auto"/>
          <w:vertAlign w:val="subscript"/>
        </w:rPr>
        <w:t>aw</w:t>
      </w:r>
      <w:r>
        <w:rPr>
          <w:color w:val="auto"/>
          <w:shd w:val="clear" w:color="auto" w:fill="auto"/>
        </w:rPr>
        <w:t>—</w:t>
      </w:r>
      <w:r>
        <w:rPr>
          <w:rFonts w:hAnsi="宋体"/>
          <w:color w:val="auto"/>
          <w:shd w:val="clear" w:color="auto" w:fill="auto"/>
        </w:rPr>
        <w:t>空气与水之间的表面张力系数</w:t>
      </w:r>
      <w:r>
        <w:rPr>
          <w:color w:val="auto"/>
          <w:shd w:val="clear" w:color="auto" w:fill="auto"/>
        </w:rPr>
        <w:t>(</w:t>
      </w:r>
      <w:r>
        <w:rPr>
          <w:rFonts w:hint="eastAsia" w:hAnsi="宋体"/>
          <w:color w:val="auto"/>
          <w:shd w:val="clear" w:color="auto" w:fill="auto"/>
        </w:rPr>
        <w:t>kg</w:t>
      </w:r>
      <w:r>
        <w:rPr>
          <w:color w:val="auto"/>
          <w:shd w:val="clear" w:color="auto" w:fill="auto"/>
        </w:rPr>
        <w:t>/</w:t>
      </w:r>
      <w:r>
        <w:rPr>
          <w:rFonts w:hint="eastAsia"/>
          <w:color w:val="auto"/>
          <w:shd w:val="clear" w:color="auto" w:fill="auto"/>
          <w:lang w:eastAsia="zh-CN"/>
        </w:rPr>
        <w:t>m</w:t>
      </w:r>
      <w:r>
        <w:rPr>
          <w:color w:val="auto"/>
          <w:shd w:val="clear" w:color="auto" w:fill="auto"/>
        </w:rPr>
        <w:t>)</w:t>
      </w:r>
      <w:r>
        <w:rPr>
          <w:rFonts w:hAnsi="宋体"/>
          <w:color w:val="auto"/>
          <w:shd w:val="clear" w:color="auto" w:fill="auto"/>
        </w:rPr>
        <w:t>；</w:t>
      </w:r>
    </w:p>
    <w:p>
      <w:pPr>
        <w:adjustRightInd w:val="0"/>
        <w:snapToGrid w:val="0"/>
        <w:ind w:firstLine="480"/>
        <w:rPr>
          <w:color w:val="auto"/>
          <w:shd w:val="clear" w:color="auto" w:fill="auto"/>
        </w:rPr>
      </w:pPr>
      <w:r>
        <w:rPr>
          <w:color w:val="auto"/>
          <w:shd w:val="clear" w:color="auto" w:fill="auto"/>
        </w:rPr>
        <w:t xml:space="preserve">      δ</w:t>
      </w:r>
      <w:r>
        <w:rPr>
          <w:color w:val="auto"/>
          <w:shd w:val="clear" w:color="auto" w:fill="auto"/>
          <w:vertAlign w:val="subscript"/>
        </w:rPr>
        <w:t>oa</w:t>
      </w:r>
      <w:r>
        <w:rPr>
          <w:color w:val="auto"/>
          <w:shd w:val="clear" w:color="auto" w:fill="auto"/>
        </w:rPr>
        <w:t>—</w:t>
      </w:r>
      <w:r>
        <w:rPr>
          <w:rFonts w:hAnsi="宋体"/>
          <w:color w:val="auto"/>
          <w:shd w:val="clear" w:color="auto" w:fill="auto"/>
        </w:rPr>
        <w:t>油与空气之间的表面张力系数</w:t>
      </w:r>
      <w:r>
        <w:rPr>
          <w:color w:val="auto"/>
          <w:shd w:val="clear" w:color="auto" w:fill="auto"/>
        </w:rPr>
        <w:t>(</w:t>
      </w:r>
      <w:r>
        <w:rPr>
          <w:rFonts w:hint="eastAsia" w:hAnsi="宋体"/>
          <w:color w:val="auto"/>
          <w:shd w:val="clear" w:color="auto" w:fill="auto"/>
        </w:rPr>
        <w:t>kg</w:t>
      </w:r>
      <w:r>
        <w:rPr>
          <w:color w:val="auto"/>
          <w:shd w:val="clear" w:color="auto" w:fill="auto"/>
        </w:rPr>
        <w:t>/</w:t>
      </w:r>
      <w:r>
        <w:rPr>
          <w:rFonts w:hint="eastAsia"/>
          <w:color w:val="auto"/>
          <w:shd w:val="clear" w:color="auto" w:fill="auto"/>
          <w:lang w:eastAsia="zh-CN"/>
        </w:rPr>
        <w:t>m</w:t>
      </w:r>
      <w:r>
        <w:rPr>
          <w:color w:val="auto"/>
          <w:shd w:val="clear" w:color="auto" w:fill="auto"/>
        </w:rPr>
        <w:t>)</w:t>
      </w:r>
      <w:r>
        <w:rPr>
          <w:rFonts w:hAnsi="宋体"/>
          <w:color w:val="auto"/>
          <w:shd w:val="clear" w:color="auto" w:fill="auto"/>
        </w:rPr>
        <w:t>；</w:t>
      </w:r>
    </w:p>
    <w:p>
      <w:pPr>
        <w:adjustRightInd w:val="0"/>
        <w:snapToGrid w:val="0"/>
        <w:ind w:firstLine="480"/>
        <w:rPr>
          <w:color w:val="auto"/>
          <w:shd w:val="clear" w:color="auto" w:fill="auto"/>
        </w:rPr>
      </w:pPr>
      <w:r>
        <w:rPr>
          <w:color w:val="auto"/>
          <w:shd w:val="clear" w:color="auto" w:fill="auto"/>
        </w:rPr>
        <w:t xml:space="preserve">      δ</w:t>
      </w:r>
      <w:r>
        <w:rPr>
          <w:color w:val="auto"/>
          <w:shd w:val="clear" w:color="auto" w:fill="auto"/>
          <w:vertAlign w:val="subscript"/>
        </w:rPr>
        <w:t>ow</w:t>
      </w:r>
      <w:r>
        <w:rPr>
          <w:color w:val="auto"/>
          <w:shd w:val="clear" w:color="auto" w:fill="auto"/>
        </w:rPr>
        <w:t>—</w:t>
      </w:r>
      <w:r>
        <w:rPr>
          <w:rFonts w:hAnsi="宋体"/>
          <w:color w:val="auto"/>
          <w:shd w:val="clear" w:color="auto" w:fill="auto"/>
        </w:rPr>
        <w:t>油与水之间的表面张力系数</w:t>
      </w:r>
      <w:r>
        <w:rPr>
          <w:color w:val="auto"/>
          <w:shd w:val="clear" w:color="auto" w:fill="auto"/>
        </w:rPr>
        <w:t>(</w:t>
      </w:r>
      <w:r>
        <w:rPr>
          <w:rFonts w:hint="eastAsia" w:hAnsi="宋体"/>
          <w:color w:val="auto"/>
          <w:shd w:val="clear" w:color="auto" w:fill="auto"/>
        </w:rPr>
        <w:t>kg</w:t>
      </w:r>
      <w:r>
        <w:rPr>
          <w:color w:val="auto"/>
          <w:shd w:val="clear" w:color="auto" w:fill="auto"/>
        </w:rPr>
        <w:t>/</w:t>
      </w:r>
      <w:r>
        <w:rPr>
          <w:rFonts w:hint="eastAsia"/>
          <w:color w:val="auto"/>
          <w:shd w:val="clear" w:color="auto" w:fill="auto"/>
          <w:lang w:eastAsia="zh-CN"/>
        </w:rPr>
        <w:t>m</w:t>
      </w:r>
      <w:r>
        <w:rPr>
          <w:color w:val="auto"/>
          <w:shd w:val="clear" w:color="auto" w:fill="auto"/>
        </w:rPr>
        <w:t>)</w:t>
      </w:r>
      <w:r>
        <w:rPr>
          <w:rFonts w:hAnsi="宋体"/>
          <w:color w:val="auto"/>
          <w:shd w:val="clear" w:color="auto" w:fill="auto"/>
        </w:rPr>
        <w:t>；</w:t>
      </w:r>
    </w:p>
    <w:p>
      <w:pPr>
        <w:adjustRightInd w:val="0"/>
        <w:snapToGrid w:val="0"/>
        <w:ind w:firstLine="480"/>
        <w:rPr>
          <w:color w:val="auto"/>
          <w:shd w:val="clear" w:color="auto" w:fill="auto"/>
        </w:rPr>
      </w:pPr>
      <w:r>
        <w:rPr>
          <w:color w:val="auto"/>
          <w:shd w:val="clear" w:color="auto" w:fill="auto"/>
        </w:rPr>
        <w:t xml:space="preserve">      K</w:t>
      </w:r>
      <w:r>
        <w:rPr>
          <w:color w:val="auto"/>
          <w:shd w:val="clear" w:color="auto" w:fill="auto"/>
          <w:vertAlign w:val="subscript"/>
        </w:rPr>
        <w:t>1</w:t>
      </w:r>
      <w:r>
        <w:rPr>
          <w:color w:val="auto"/>
          <w:shd w:val="clear" w:color="auto" w:fill="auto"/>
        </w:rPr>
        <w:t>—</w:t>
      </w:r>
      <w:r>
        <w:rPr>
          <w:rFonts w:hAnsi="宋体"/>
          <w:color w:val="auto"/>
          <w:shd w:val="clear" w:color="auto" w:fill="auto"/>
        </w:rPr>
        <w:t>惯性扩展阶段的经验系数，取</w:t>
      </w:r>
      <w:r>
        <w:rPr>
          <w:color w:val="auto"/>
          <w:shd w:val="clear" w:color="auto" w:fill="auto"/>
        </w:rPr>
        <w:t>2.28</w:t>
      </w:r>
      <w:r>
        <w:rPr>
          <w:rFonts w:hAnsi="宋体"/>
          <w:color w:val="auto"/>
          <w:shd w:val="clear" w:color="auto" w:fill="auto"/>
        </w:rPr>
        <w:t>；</w:t>
      </w:r>
    </w:p>
    <w:p>
      <w:pPr>
        <w:adjustRightInd w:val="0"/>
        <w:snapToGrid w:val="0"/>
        <w:ind w:firstLine="480"/>
        <w:rPr>
          <w:color w:val="auto"/>
          <w:shd w:val="clear" w:color="auto" w:fill="auto"/>
        </w:rPr>
      </w:pPr>
      <w:r>
        <w:rPr>
          <w:color w:val="auto"/>
          <w:shd w:val="clear" w:color="auto" w:fill="auto"/>
        </w:rPr>
        <w:t xml:space="preserve">      K</w:t>
      </w:r>
      <w:r>
        <w:rPr>
          <w:color w:val="auto"/>
          <w:shd w:val="clear" w:color="auto" w:fill="auto"/>
          <w:vertAlign w:val="subscript"/>
        </w:rPr>
        <w:t>2</w:t>
      </w:r>
      <w:r>
        <w:rPr>
          <w:color w:val="auto"/>
          <w:shd w:val="clear" w:color="auto" w:fill="auto"/>
        </w:rPr>
        <w:t>—</w:t>
      </w:r>
      <w:r>
        <w:rPr>
          <w:rFonts w:hAnsi="宋体"/>
          <w:color w:val="auto"/>
          <w:shd w:val="clear" w:color="auto" w:fill="auto"/>
        </w:rPr>
        <w:t>粘性扩展阶段的经验系数，取</w:t>
      </w:r>
      <w:r>
        <w:rPr>
          <w:color w:val="auto"/>
          <w:shd w:val="clear" w:color="auto" w:fill="auto"/>
        </w:rPr>
        <w:t>2.90</w:t>
      </w:r>
      <w:r>
        <w:rPr>
          <w:rFonts w:hAnsi="宋体"/>
          <w:color w:val="auto"/>
          <w:shd w:val="clear" w:color="auto" w:fill="auto"/>
        </w:rPr>
        <w:t>；</w:t>
      </w:r>
    </w:p>
    <w:p>
      <w:pPr>
        <w:adjustRightInd w:val="0"/>
        <w:snapToGrid w:val="0"/>
        <w:ind w:firstLine="480"/>
        <w:rPr>
          <w:color w:val="auto"/>
          <w:shd w:val="clear" w:color="auto" w:fill="auto"/>
        </w:rPr>
      </w:pPr>
      <w:r>
        <w:rPr>
          <w:color w:val="auto"/>
          <w:shd w:val="clear" w:color="auto" w:fill="auto"/>
        </w:rPr>
        <w:t xml:space="preserve">      K</w:t>
      </w:r>
      <w:r>
        <w:rPr>
          <w:color w:val="auto"/>
          <w:shd w:val="clear" w:color="auto" w:fill="auto"/>
          <w:vertAlign w:val="subscript"/>
        </w:rPr>
        <w:t>3</w:t>
      </w:r>
      <w:r>
        <w:rPr>
          <w:color w:val="auto"/>
          <w:shd w:val="clear" w:color="auto" w:fill="auto"/>
        </w:rPr>
        <w:t>—</w:t>
      </w:r>
      <w:r>
        <w:rPr>
          <w:rFonts w:hAnsi="宋体"/>
          <w:color w:val="auto"/>
          <w:shd w:val="clear" w:color="auto" w:fill="auto"/>
        </w:rPr>
        <w:t>表面张力扩展阶段的经验系数；取</w:t>
      </w:r>
      <w:r>
        <w:rPr>
          <w:color w:val="auto"/>
          <w:shd w:val="clear" w:color="auto" w:fill="auto"/>
        </w:rPr>
        <w:t>3.2</w:t>
      </w:r>
      <w:r>
        <w:rPr>
          <w:rFonts w:hAnsi="宋体"/>
          <w:color w:val="auto"/>
          <w:shd w:val="clear" w:color="auto" w:fill="auto"/>
        </w:rPr>
        <w:t>；</w:t>
      </w:r>
    </w:p>
    <w:p>
      <w:pPr>
        <w:adjustRightInd w:val="0"/>
        <w:snapToGrid w:val="0"/>
        <w:ind w:firstLine="480"/>
        <w:rPr>
          <w:color w:val="auto"/>
          <w:shd w:val="clear" w:color="auto" w:fill="auto"/>
        </w:rPr>
      </w:pPr>
      <w:r>
        <w:rPr>
          <w:rFonts w:hAnsi="宋体"/>
          <w:color w:val="auto"/>
          <w:shd w:val="clear" w:color="auto" w:fill="auto"/>
        </w:rPr>
        <w:t>在实际中，油膜扩展使油膜面积增大，厚度减小。当油膜厚度大于其临界厚度时</w:t>
      </w:r>
      <w:r>
        <w:rPr>
          <w:color w:val="auto"/>
          <w:shd w:val="clear" w:color="auto" w:fill="auto"/>
        </w:rPr>
        <w:t>(</w:t>
      </w:r>
      <w:r>
        <w:rPr>
          <w:rFonts w:hAnsi="宋体"/>
          <w:color w:val="auto"/>
          <w:shd w:val="clear" w:color="auto" w:fill="auto"/>
        </w:rPr>
        <w:t>即扩展结束之后，油膜直径保持不变时的厚度</w:t>
      </w:r>
      <w:r>
        <w:rPr>
          <w:color w:val="auto"/>
          <w:shd w:val="clear" w:color="auto" w:fill="auto"/>
        </w:rPr>
        <w:t>)</w:t>
      </w:r>
      <w:r>
        <w:rPr>
          <w:rFonts w:hAnsi="宋体"/>
          <w:color w:val="auto"/>
          <w:shd w:val="clear" w:color="auto" w:fill="auto"/>
        </w:rPr>
        <w:t>，油膜保持整体性；油膜厚度等于或小于临界厚度时，油膜开始分裂为碎片，并继续扩散。</w:t>
      </w:r>
    </w:p>
    <w:p>
      <w:pPr>
        <w:pStyle w:val="5"/>
        <w:rPr>
          <w:color w:val="auto"/>
          <w:shd w:val="clear" w:color="auto" w:fill="auto"/>
        </w:rPr>
      </w:pPr>
      <w:bookmarkStart w:id="346" w:name="_Toc316642075"/>
      <w:r>
        <w:rPr>
          <w:rFonts w:hint="eastAsia"/>
          <w:color w:val="auto"/>
          <w:shd w:val="clear" w:color="auto" w:fill="auto"/>
          <w:lang w:val="en-US" w:eastAsia="zh-CN"/>
        </w:rPr>
        <w:t>5</w:t>
      </w:r>
      <w:r>
        <w:rPr>
          <w:color w:val="auto"/>
          <w:shd w:val="clear" w:color="auto" w:fill="auto"/>
        </w:rPr>
        <w:t>.</w:t>
      </w:r>
      <w:r>
        <w:rPr>
          <w:rFonts w:hint="eastAsia"/>
          <w:color w:val="auto"/>
          <w:shd w:val="clear" w:color="auto" w:fill="auto"/>
        </w:rPr>
        <w:t>5.</w:t>
      </w:r>
      <w:r>
        <w:rPr>
          <w:color w:val="auto"/>
          <w:shd w:val="clear" w:color="auto" w:fill="auto"/>
        </w:rPr>
        <w:t>2 油膜漂移分析计算方法</w:t>
      </w:r>
      <w:bookmarkEnd w:id="346"/>
    </w:p>
    <w:p>
      <w:pPr>
        <w:spacing w:line="440" w:lineRule="exact"/>
        <w:ind w:firstLine="480"/>
        <w:rPr>
          <w:color w:val="auto"/>
          <w:shd w:val="clear" w:color="auto" w:fill="auto"/>
        </w:rPr>
      </w:pPr>
      <w:r>
        <w:rPr>
          <w:rFonts w:hAnsi="宋体"/>
          <w:color w:val="auto"/>
          <w:shd w:val="clear" w:color="auto" w:fill="auto"/>
        </w:rPr>
        <w:t>溢油入水后很快扩展油膜，然后在水流、风生流作用下产生漂移，同时溢油本身扩散的等效圆油膜还在不断地扩散增大。因此溢油污染范围就是这个不断地扩散增大。因此溢油污染范围就是这个不断扩大而在漂移的等效圆油膜所经过的水域面积，漂移与扩展不同，它与油量无关，漂移大小通常以油膜等效圆中心位移来判断。如果油膜中以初始位置为</w:t>
      </w:r>
      <w:r>
        <w:rPr>
          <w:color w:val="auto"/>
          <w:shd w:val="clear" w:color="auto" w:fill="auto"/>
        </w:rPr>
        <w:t>S</w:t>
      </w:r>
      <w:r>
        <w:rPr>
          <w:color w:val="auto"/>
          <w:shd w:val="clear" w:color="auto" w:fill="auto"/>
          <w:vertAlign w:val="subscript"/>
        </w:rPr>
        <w:t>0</w:t>
      </w:r>
      <w:r>
        <w:rPr>
          <w:rFonts w:hAnsi="宋体"/>
          <w:color w:val="auto"/>
          <w:shd w:val="clear" w:color="auto" w:fill="auto"/>
        </w:rPr>
        <w:t>，经过</w:t>
      </w:r>
      <w:r>
        <w:rPr>
          <w:color w:val="auto"/>
          <w:shd w:val="clear" w:color="auto" w:fill="auto"/>
        </w:rPr>
        <w:t>∆t</w:t>
      </w:r>
      <w:r>
        <w:rPr>
          <w:rFonts w:hAnsi="宋体"/>
          <w:color w:val="auto"/>
          <w:shd w:val="clear" w:color="auto" w:fill="auto"/>
        </w:rPr>
        <w:t>时间后，其位置</w:t>
      </w:r>
      <w:r>
        <w:rPr>
          <w:color w:val="auto"/>
          <w:shd w:val="clear" w:color="auto" w:fill="auto"/>
        </w:rPr>
        <w:t>S</w:t>
      </w:r>
      <w:r>
        <w:rPr>
          <w:rFonts w:hAnsi="宋体"/>
          <w:color w:val="auto"/>
          <w:shd w:val="clear" w:color="auto" w:fill="auto"/>
        </w:rPr>
        <w:t>由下式计算：</w:t>
      </w:r>
      <w:r>
        <w:rPr>
          <w:color w:val="auto"/>
          <w:shd w:val="clear" w:color="auto" w:fill="auto"/>
        </w:rPr>
        <w:t xml:space="preserve"> </w:t>
      </w:r>
    </w:p>
    <w:p>
      <w:pPr>
        <w:adjustRightInd w:val="0"/>
        <w:snapToGrid w:val="0"/>
        <w:ind w:firstLine="0" w:firstLineChars="0"/>
        <w:jc w:val="center"/>
        <w:rPr>
          <w:color w:val="auto"/>
          <w:shd w:val="clear" w:color="auto" w:fill="auto"/>
        </w:rPr>
      </w:pPr>
      <w:r>
        <w:rPr>
          <w:color w:val="auto"/>
          <w:position w:val="-34"/>
          <w:shd w:val="clear" w:color="auto" w:fill="auto"/>
        </w:rPr>
        <w:object>
          <v:shape id="_x0000_i1032" o:spt="75" type="#_x0000_t75" style="height:39pt;width:82pt;" o:ole="t" filled="f" o:preferrelative="t" stroked="f" coordsize="21600,21600">
            <v:path/>
            <v:fill on="f" focussize="0,0"/>
            <v:stroke on="f" joinstyle="miter"/>
            <v:imagedata r:id="rId72" o:title=""/>
            <o:lock v:ext="edit" aspectratio="t"/>
            <w10:wrap type="none"/>
            <w10:anchorlock/>
          </v:shape>
          <o:OLEObject Type="Embed" ProgID="Equation.3" ShapeID="_x0000_i1032" DrawAspect="Content" ObjectID="_1468075730" r:id="rId71">
            <o:LockedField>false</o:LockedField>
          </o:OLEObject>
        </w:object>
      </w:r>
    </w:p>
    <w:p>
      <w:pPr>
        <w:adjustRightInd w:val="0"/>
        <w:snapToGrid w:val="0"/>
        <w:ind w:firstLine="480"/>
        <w:rPr>
          <w:color w:val="auto"/>
          <w:shd w:val="clear" w:color="auto" w:fill="auto"/>
        </w:rPr>
      </w:pPr>
      <w:r>
        <w:rPr>
          <w:rFonts w:hAnsi="宋体"/>
          <w:color w:val="auto"/>
          <w:shd w:val="clear" w:color="auto" w:fill="auto"/>
        </w:rPr>
        <w:t>式中油膜中心漂移速度</w:t>
      </w:r>
      <w:r>
        <w:rPr>
          <w:color w:val="auto"/>
          <w:shd w:val="clear" w:color="auto" w:fill="auto"/>
        </w:rPr>
        <w:t>V</w:t>
      </w:r>
      <w:r>
        <w:rPr>
          <w:color w:val="auto"/>
          <w:shd w:val="clear" w:color="auto" w:fill="auto"/>
          <w:vertAlign w:val="subscript"/>
        </w:rPr>
        <w:t>0</w:t>
      </w:r>
      <w:r>
        <w:rPr>
          <w:rFonts w:hAnsi="宋体"/>
          <w:color w:val="auto"/>
          <w:shd w:val="clear" w:color="auto" w:fill="auto"/>
        </w:rPr>
        <w:t>由下式求得：</w:t>
      </w:r>
    </w:p>
    <w:p>
      <w:pPr>
        <w:adjustRightInd w:val="0"/>
        <w:snapToGrid w:val="0"/>
        <w:ind w:firstLine="0" w:firstLineChars="0"/>
        <w:jc w:val="center"/>
        <w:rPr>
          <w:color w:val="auto"/>
          <w:shd w:val="clear" w:color="auto" w:fill="auto"/>
        </w:rPr>
      </w:pPr>
      <w:r>
        <w:rPr>
          <w:color w:val="auto"/>
          <w:shd w:val="clear" w:color="auto" w:fill="auto"/>
        </w:rPr>
        <w:t>V</w:t>
      </w:r>
      <w:r>
        <w:rPr>
          <w:color w:val="auto"/>
          <w:shd w:val="clear" w:color="auto" w:fill="auto"/>
          <w:vertAlign w:val="subscript"/>
        </w:rPr>
        <w:t>0</w:t>
      </w:r>
      <w:r>
        <w:rPr>
          <w:rFonts w:hAnsi="宋体"/>
          <w:color w:val="auto"/>
          <w:shd w:val="clear" w:color="auto" w:fill="auto"/>
        </w:rPr>
        <w:t>＝</w:t>
      </w:r>
      <w:r>
        <w:rPr>
          <w:color w:val="auto"/>
          <w:shd w:val="clear" w:color="auto" w:fill="auto"/>
        </w:rPr>
        <w:t>V</w:t>
      </w:r>
      <w:r>
        <w:rPr>
          <w:rFonts w:hAnsi="宋体"/>
          <w:color w:val="auto"/>
          <w:shd w:val="clear" w:color="auto" w:fill="auto"/>
          <w:vertAlign w:val="subscript"/>
        </w:rPr>
        <w:t>风</w:t>
      </w:r>
      <w:r>
        <w:rPr>
          <w:rFonts w:hAnsi="宋体"/>
          <w:color w:val="auto"/>
          <w:shd w:val="clear" w:color="auto" w:fill="auto"/>
        </w:rPr>
        <w:t>＋</w:t>
      </w:r>
      <w:r>
        <w:rPr>
          <w:color w:val="auto"/>
          <w:shd w:val="clear" w:color="auto" w:fill="auto"/>
        </w:rPr>
        <w:t>V</w:t>
      </w:r>
      <w:r>
        <w:rPr>
          <w:rFonts w:hAnsi="宋体"/>
          <w:color w:val="auto"/>
          <w:shd w:val="clear" w:color="auto" w:fill="auto"/>
          <w:vertAlign w:val="subscript"/>
        </w:rPr>
        <w:t>流</w:t>
      </w:r>
    </w:p>
    <w:p>
      <w:pPr>
        <w:adjustRightInd w:val="0"/>
        <w:snapToGrid w:val="0"/>
        <w:ind w:firstLine="0" w:firstLineChars="0"/>
        <w:jc w:val="center"/>
        <w:rPr>
          <w:color w:val="auto"/>
          <w:shd w:val="clear" w:color="auto" w:fill="auto"/>
        </w:rPr>
      </w:pPr>
      <w:r>
        <w:rPr>
          <w:color w:val="auto"/>
          <w:shd w:val="clear" w:color="auto" w:fill="auto"/>
        </w:rPr>
        <w:t>V</w:t>
      </w:r>
      <w:r>
        <w:rPr>
          <w:rFonts w:hAnsi="宋体"/>
          <w:color w:val="auto"/>
          <w:shd w:val="clear" w:color="auto" w:fill="auto"/>
          <w:vertAlign w:val="subscript"/>
        </w:rPr>
        <w:t>风</w:t>
      </w:r>
      <w:r>
        <w:rPr>
          <w:color w:val="auto"/>
          <w:shd w:val="clear" w:color="auto" w:fill="auto"/>
        </w:rPr>
        <w:t>=u</w:t>
      </w:r>
      <w:r>
        <w:rPr>
          <w:color w:val="auto"/>
          <w:shd w:val="clear" w:color="auto" w:fill="auto"/>
          <w:vertAlign w:val="subscript"/>
        </w:rPr>
        <w:t>10</w:t>
      </w:r>
      <w:r>
        <w:rPr>
          <w:color w:val="auto"/>
          <w:shd w:val="clear" w:color="auto" w:fill="auto"/>
        </w:rPr>
        <w:t>×K</w:t>
      </w:r>
    </w:p>
    <w:p>
      <w:pPr>
        <w:adjustRightInd w:val="0"/>
        <w:snapToGrid w:val="0"/>
        <w:ind w:firstLine="480"/>
        <w:rPr>
          <w:color w:val="auto"/>
          <w:shd w:val="clear" w:color="auto" w:fill="auto"/>
        </w:rPr>
      </w:pPr>
      <w:r>
        <w:rPr>
          <w:rFonts w:hAnsi="宋体"/>
          <w:color w:val="auto"/>
          <w:shd w:val="clear" w:color="auto" w:fill="auto"/>
        </w:rPr>
        <w:t>式中</w:t>
      </w:r>
      <w:r>
        <w:rPr>
          <w:rFonts w:hint="eastAsia" w:hAnsi="宋体"/>
          <w:color w:val="auto"/>
          <w:shd w:val="clear" w:color="auto" w:fill="auto"/>
        </w:rPr>
        <w:t>：</w:t>
      </w:r>
      <w:r>
        <w:rPr>
          <w:color w:val="auto"/>
          <w:shd w:val="clear" w:color="auto" w:fill="auto"/>
        </w:rPr>
        <w:t>u</w:t>
      </w:r>
      <w:r>
        <w:rPr>
          <w:color w:val="auto"/>
          <w:shd w:val="clear" w:color="auto" w:fill="auto"/>
          <w:vertAlign w:val="subscript"/>
        </w:rPr>
        <w:t>10</w:t>
      </w:r>
      <w:r>
        <w:rPr>
          <w:color w:val="auto"/>
          <w:shd w:val="clear" w:color="auto" w:fill="auto"/>
        </w:rPr>
        <w:t>—10</w:t>
      </w:r>
      <w:r>
        <w:rPr>
          <w:rFonts w:hint="eastAsia"/>
          <w:color w:val="auto"/>
          <w:shd w:val="clear" w:color="auto" w:fill="auto"/>
          <w:lang w:eastAsia="zh-CN"/>
        </w:rPr>
        <w:t>m</w:t>
      </w:r>
      <w:r>
        <w:rPr>
          <w:rFonts w:hAnsi="宋体"/>
          <w:color w:val="auto"/>
          <w:shd w:val="clear" w:color="auto" w:fill="auto"/>
        </w:rPr>
        <w:t>高处风速，</w:t>
      </w:r>
      <w:r>
        <w:rPr>
          <w:color w:val="auto"/>
          <w:shd w:val="clear" w:color="auto" w:fill="auto"/>
        </w:rPr>
        <w:t>3.6</w:t>
      </w:r>
      <w:r>
        <w:rPr>
          <w:rFonts w:hint="eastAsia"/>
          <w:color w:val="auto"/>
          <w:shd w:val="clear" w:color="auto" w:fill="auto"/>
          <w:lang w:eastAsia="zh-CN"/>
        </w:rPr>
        <w:t>m</w:t>
      </w:r>
      <w:r>
        <w:rPr>
          <w:color w:val="auto"/>
          <w:shd w:val="clear" w:color="auto" w:fill="auto"/>
        </w:rPr>
        <w:t>/s</w:t>
      </w:r>
      <w:r>
        <w:rPr>
          <w:rFonts w:hAnsi="宋体"/>
          <w:color w:val="auto"/>
          <w:shd w:val="clear" w:color="auto" w:fill="auto"/>
        </w:rPr>
        <w:t>；</w:t>
      </w:r>
      <w:r>
        <w:rPr>
          <w:color w:val="auto"/>
          <w:shd w:val="clear" w:color="auto" w:fill="auto"/>
        </w:rPr>
        <w:t xml:space="preserve">   </w:t>
      </w:r>
    </w:p>
    <w:p>
      <w:pPr>
        <w:adjustRightInd w:val="0"/>
        <w:snapToGrid w:val="0"/>
        <w:ind w:firstLine="480"/>
        <w:rPr>
          <w:color w:val="auto"/>
          <w:shd w:val="clear" w:color="auto" w:fill="auto"/>
        </w:rPr>
      </w:pPr>
      <w:r>
        <w:rPr>
          <w:color w:val="auto"/>
          <w:shd w:val="clear" w:color="auto" w:fill="auto"/>
        </w:rPr>
        <w:t xml:space="preserve">     K—</w:t>
      </w:r>
      <w:r>
        <w:rPr>
          <w:rFonts w:hAnsi="宋体"/>
          <w:color w:val="auto"/>
          <w:shd w:val="clear" w:color="auto" w:fill="auto"/>
        </w:rPr>
        <w:t>风因子系数，</w:t>
      </w:r>
      <w:r>
        <w:rPr>
          <w:color w:val="auto"/>
          <w:shd w:val="clear" w:color="auto" w:fill="auto"/>
        </w:rPr>
        <w:t>K=3.5%</w:t>
      </w:r>
      <w:r>
        <w:rPr>
          <w:rFonts w:hAnsi="宋体"/>
          <w:color w:val="auto"/>
          <w:shd w:val="clear" w:color="auto" w:fill="auto"/>
        </w:rPr>
        <w:t>；</w:t>
      </w:r>
    </w:p>
    <w:p>
      <w:pPr>
        <w:adjustRightInd w:val="0"/>
        <w:snapToGrid w:val="0"/>
        <w:ind w:firstLine="1080" w:firstLineChars="450"/>
        <w:rPr>
          <w:rFonts w:hAnsi="宋体"/>
          <w:color w:val="auto"/>
          <w:shd w:val="clear" w:color="auto" w:fill="auto"/>
        </w:rPr>
      </w:pPr>
      <w:r>
        <w:rPr>
          <w:color w:val="auto"/>
          <w:shd w:val="clear" w:color="auto" w:fill="auto"/>
        </w:rPr>
        <w:t>V</w:t>
      </w:r>
      <w:r>
        <w:rPr>
          <w:rFonts w:hAnsi="宋体"/>
          <w:color w:val="auto"/>
          <w:shd w:val="clear" w:color="auto" w:fill="auto"/>
          <w:vertAlign w:val="subscript"/>
        </w:rPr>
        <w:t>流</w:t>
      </w:r>
      <w:r>
        <w:rPr>
          <w:color w:val="auto"/>
          <w:shd w:val="clear" w:color="auto" w:fill="auto"/>
        </w:rPr>
        <w:t>—</w:t>
      </w:r>
      <w:r>
        <w:rPr>
          <w:rFonts w:hAnsi="宋体"/>
          <w:color w:val="auto"/>
          <w:shd w:val="clear" w:color="auto" w:fill="auto"/>
        </w:rPr>
        <w:t>为水流速度。</w:t>
      </w:r>
    </w:p>
    <w:p>
      <w:pPr>
        <w:pStyle w:val="2"/>
        <w:rPr>
          <w:color w:val="auto"/>
          <w:shd w:val="clear" w:color="auto" w:fill="auto"/>
        </w:rPr>
      </w:pPr>
      <w:r>
        <w:rPr>
          <w:rFonts w:hint="eastAsia"/>
          <w:color w:val="auto"/>
          <w:shd w:val="clear" w:color="auto" w:fill="auto"/>
        </w:rPr>
        <w:t>本次考虑最不利影响，即顺流风向，确定本项目模型输入参数如表</w:t>
      </w:r>
      <w:r>
        <w:rPr>
          <w:rFonts w:hint="eastAsia"/>
          <w:color w:val="auto"/>
          <w:shd w:val="clear" w:color="auto" w:fill="auto"/>
          <w:lang w:val="en-US" w:eastAsia="zh-CN"/>
        </w:rPr>
        <w:t>5.5-1</w:t>
      </w:r>
      <w:r>
        <w:rPr>
          <w:rFonts w:hint="eastAsia"/>
          <w:color w:val="auto"/>
          <w:shd w:val="clear" w:color="auto" w:fill="auto"/>
        </w:rPr>
        <w:t>所示。</w:t>
      </w:r>
    </w:p>
    <w:p>
      <w:pPr>
        <w:pStyle w:val="43"/>
        <w:rPr>
          <w:rFonts w:hint="eastAsia" w:ascii="Times New Roman" w:hAnsi="Times New Roman" w:eastAsia="黑体" w:cs="Times New Roman"/>
          <w:color w:val="auto"/>
          <w:kern w:val="2"/>
          <w:sz w:val="21"/>
          <w:szCs w:val="21"/>
          <w:shd w:val="clear" w:color="auto" w:fill="auto"/>
          <w:lang w:val="en-US" w:eastAsia="zh-CN" w:bidi="ar-SA"/>
        </w:rPr>
      </w:pPr>
      <w:r>
        <w:rPr>
          <w:rFonts w:hint="eastAsia" w:ascii="Times New Roman" w:hAnsi="Times New Roman" w:eastAsia="黑体" w:cs="Times New Roman"/>
          <w:color w:val="auto"/>
          <w:kern w:val="2"/>
          <w:sz w:val="21"/>
          <w:szCs w:val="21"/>
          <w:shd w:val="clear" w:color="auto" w:fill="auto"/>
          <w:lang w:val="en-US" w:eastAsia="zh-CN" w:bidi="ar-SA"/>
        </w:rPr>
        <w:t>表5.5-1  溢油模型参数</w:t>
      </w:r>
    </w:p>
    <w:tbl>
      <w:tblPr>
        <w:tblStyle w:val="2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97"/>
        <w:gridCol w:w="1863"/>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97" w:type="dxa"/>
            <w:vAlign w:val="center"/>
          </w:tcPr>
          <w:p>
            <w:pPr>
              <w:pStyle w:val="44"/>
              <w:jc w:val="center"/>
              <w:rPr>
                <w:color w:val="auto"/>
                <w:shd w:val="clear" w:color="auto" w:fill="auto"/>
              </w:rPr>
            </w:pPr>
            <w:r>
              <w:rPr>
                <w:rFonts w:hint="eastAsia"/>
                <w:color w:val="auto"/>
                <w:shd w:val="clear" w:color="auto" w:fill="auto"/>
              </w:rPr>
              <w:t>溢油量</w:t>
            </w:r>
          </w:p>
        </w:tc>
        <w:tc>
          <w:tcPr>
            <w:tcW w:w="1863" w:type="dxa"/>
            <w:vAlign w:val="center"/>
          </w:tcPr>
          <w:p>
            <w:pPr>
              <w:pStyle w:val="44"/>
              <w:jc w:val="center"/>
              <w:rPr>
                <w:color w:val="auto"/>
                <w:shd w:val="clear" w:color="auto" w:fill="auto"/>
              </w:rPr>
            </w:pPr>
            <w:r>
              <w:rPr>
                <w:rFonts w:hint="eastAsia"/>
                <w:color w:val="auto"/>
                <w:shd w:val="clear" w:color="auto" w:fill="auto"/>
              </w:rPr>
              <w:t>10t</w:t>
            </w:r>
          </w:p>
        </w:tc>
        <w:tc>
          <w:tcPr>
            <w:tcW w:w="2131" w:type="dxa"/>
            <w:vAlign w:val="center"/>
          </w:tcPr>
          <w:p>
            <w:pPr>
              <w:pStyle w:val="44"/>
              <w:jc w:val="center"/>
              <w:rPr>
                <w:color w:val="auto"/>
                <w:shd w:val="clear" w:color="auto" w:fill="auto"/>
              </w:rPr>
            </w:pPr>
            <w:r>
              <w:rPr>
                <w:rFonts w:hint="eastAsia"/>
                <w:color w:val="auto"/>
                <w:shd w:val="clear" w:color="auto" w:fill="auto"/>
              </w:rPr>
              <w:t>密度</w:t>
            </w:r>
          </w:p>
        </w:tc>
        <w:tc>
          <w:tcPr>
            <w:tcW w:w="2131" w:type="dxa"/>
            <w:vAlign w:val="center"/>
          </w:tcPr>
          <w:p>
            <w:pPr>
              <w:pStyle w:val="44"/>
              <w:jc w:val="center"/>
              <w:rPr>
                <w:color w:val="auto"/>
                <w:shd w:val="clear" w:color="auto" w:fill="auto"/>
              </w:rPr>
            </w:pPr>
            <w:r>
              <w:rPr>
                <w:rFonts w:hint="eastAsia"/>
                <w:color w:val="auto"/>
                <w:shd w:val="clear" w:color="auto" w:fill="auto"/>
              </w:rPr>
              <w:t>880kg/</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97" w:type="dxa"/>
            <w:vAlign w:val="center"/>
          </w:tcPr>
          <w:p>
            <w:pPr>
              <w:pStyle w:val="44"/>
              <w:jc w:val="center"/>
              <w:rPr>
                <w:color w:val="auto"/>
                <w:shd w:val="clear" w:color="auto" w:fill="auto"/>
              </w:rPr>
            </w:pPr>
            <w:r>
              <w:rPr>
                <w:color w:val="auto"/>
                <w:shd w:val="clear" w:color="auto" w:fill="auto"/>
              </w:rPr>
              <w:t>水的运动粘滞系数</w:t>
            </w:r>
          </w:p>
        </w:tc>
        <w:tc>
          <w:tcPr>
            <w:tcW w:w="1863" w:type="dxa"/>
            <w:vAlign w:val="center"/>
          </w:tcPr>
          <w:p>
            <w:pPr>
              <w:pStyle w:val="44"/>
              <w:jc w:val="center"/>
              <w:rPr>
                <w:color w:val="auto"/>
                <w:shd w:val="clear" w:color="auto" w:fill="auto"/>
              </w:rPr>
            </w:pPr>
            <w:r>
              <w:rPr>
                <w:color w:val="auto"/>
                <w:shd w:val="clear" w:color="auto" w:fill="auto"/>
              </w:rPr>
              <w:t>1.007</w:t>
            </w:r>
            <w:r>
              <w:rPr>
                <w:color w:val="auto"/>
                <w:position w:val="-4"/>
                <w:shd w:val="clear" w:color="auto" w:fill="auto"/>
              </w:rPr>
              <w:object>
                <v:shape id="_x0000_i1033" o:spt="75" type="#_x0000_t75" style="height:9.75pt;width:9pt;" o:ole="t" filled="f" o:preferrelative="t" stroked="f" coordsize="21600,21600">
                  <v:path/>
                  <v:fill on="f" focussize="0,0"/>
                  <v:stroke on="f" joinstyle="miter"/>
                  <v:imagedata r:id="rId74" o:title=""/>
                  <o:lock v:ext="edit" aspectratio="t"/>
                  <w10:wrap type="none"/>
                  <w10:anchorlock/>
                </v:shape>
                <o:OLEObject Type="Embed" ProgID="Equation.3" ShapeID="_x0000_i1033" DrawAspect="Content" ObjectID="_1468075731" r:id="rId73">
                  <o:LockedField>false</o:LockedField>
                </o:OLEObject>
              </w:object>
            </w:r>
            <w:r>
              <w:rPr>
                <w:color w:val="auto"/>
                <w:shd w:val="clear" w:color="auto" w:fill="auto"/>
              </w:rPr>
              <w:t>10</w:t>
            </w:r>
            <w:r>
              <w:rPr>
                <w:color w:val="auto"/>
                <w:shd w:val="clear" w:color="auto" w:fill="auto"/>
                <w:vertAlign w:val="superscript"/>
              </w:rPr>
              <w:t>-6</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2</w:t>
            </w:r>
            <w:r>
              <w:rPr>
                <w:color w:val="auto"/>
                <w:shd w:val="clear" w:color="auto" w:fill="auto"/>
              </w:rPr>
              <w:t>/s</w:t>
            </w:r>
          </w:p>
        </w:tc>
        <w:tc>
          <w:tcPr>
            <w:tcW w:w="2131" w:type="dxa"/>
            <w:vAlign w:val="center"/>
          </w:tcPr>
          <w:p>
            <w:pPr>
              <w:pStyle w:val="44"/>
              <w:jc w:val="center"/>
              <w:rPr>
                <w:color w:val="auto"/>
                <w:shd w:val="clear" w:color="auto" w:fill="auto"/>
              </w:rPr>
            </w:pPr>
            <w:r>
              <w:rPr>
                <w:rFonts w:hint="eastAsia"/>
                <w:color w:val="auto"/>
                <w:shd w:val="clear" w:color="auto" w:fill="auto"/>
              </w:rPr>
              <w:t>风向</w:t>
            </w:r>
          </w:p>
        </w:tc>
        <w:tc>
          <w:tcPr>
            <w:tcW w:w="2131" w:type="dxa"/>
            <w:vAlign w:val="center"/>
          </w:tcPr>
          <w:p>
            <w:pPr>
              <w:pStyle w:val="44"/>
              <w:jc w:val="center"/>
              <w:rPr>
                <w:color w:val="auto"/>
                <w:shd w:val="clear" w:color="auto" w:fill="auto"/>
              </w:rPr>
            </w:pPr>
            <w:r>
              <w:rPr>
                <w:rFonts w:hint="eastAsia"/>
                <w:color w:val="auto"/>
                <w:shd w:val="clear" w:color="auto" w:fill="auto"/>
              </w:rPr>
              <w:t>顺流风向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97" w:type="dxa"/>
            <w:vAlign w:val="center"/>
          </w:tcPr>
          <w:p>
            <w:pPr>
              <w:pStyle w:val="44"/>
              <w:jc w:val="center"/>
              <w:rPr>
                <w:color w:val="auto"/>
                <w:shd w:val="clear" w:color="auto" w:fill="auto"/>
              </w:rPr>
            </w:pPr>
            <w:r>
              <w:rPr>
                <w:rFonts w:hint="eastAsia"/>
                <w:color w:val="auto"/>
                <w:shd w:val="clear" w:color="auto" w:fill="auto"/>
              </w:rPr>
              <w:t>丰水期流速</w:t>
            </w:r>
          </w:p>
        </w:tc>
        <w:tc>
          <w:tcPr>
            <w:tcW w:w="1863" w:type="dxa"/>
            <w:vAlign w:val="center"/>
          </w:tcPr>
          <w:p>
            <w:pPr>
              <w:pStyle w:val="44"/>
              <w:jc w:val="center"/>
              <w:rPr>
                <w:color w:val="auto"/>
                <w:shd w:val="clear" w:color="auto" w:fill="auto"/>
              </w:rPr>
            </w:pPr>
            <w:r>
              <w:rPr>
                <w:rFonts w:hint="eastAsia"/>
                <w:color w:val="auto"/>
                <w:shd w:val="clear" w:color="auto" w:fill="auto"/>
              </w:rPr>
              <w:t>3.0</w:t>
            </w:r>
            <w:r>
              <w:rPr>
                <w:rFonts w:hint="eastAsia"/>
                <w:color w:val="auto"/>
                <w:shd w:val="clear" w:color="auto" w:fill="auto"/>
                <w:lang w:eastAsia="zh-CN"/>
              </w:rPr>
              <w:t>m</w:t>
            </w:r>
            <w:r>
              <w:rPr>
                <w:rFonts w:hint="eastAsia"/>
                <w:color w:val="auto"/>
                <w:shd w:val="clear" w:color="auto" w:fill="auto"/>
              </w:rPr>
              <w:t>/s</w:t>
            </w:r>
          </w:p>
        </w:tc>
        <w:tc>
          <w:tcPr>
            <w:tcW w:w="2131" w:type="dxa"/>
            <w:vAlign w:val="center"/>
          </w:tcPr>
          <w:p>
            <w:pPr>
              <w:pStyle w:val="44"/>
              <w:jc w:val="center"/>
              <w:rPr>
                <w:color w:val="auto"/>
                <w:shd w:val="clear" w:color="auto" w:fill="auto"/>
              </w:rPr>
            </w:pPr>
            <w:r>
              <w:rPr>
                <w:rFonts w:hint="eastAsia"/>
                <w:color w:val="auto"/>
                <w:shd w:val="clear" w:color="auto" w:fill="auto"/>
              </w:rPr>
              <w:t>枯水期流速</w:t>
            </w:r>
          </w:p>
        </w:tc>
        <w:tc>
          <w:tcPr>
            <w:tcW w:w="2131" w:type="dxa"/>
            <w:vAlign w:val="center"/>
          </w:tcPr>
          <w:p>
            <w:pPr>
              <w:pStyle w:val="44"/>
              <w:jc w:val="center"/>
              <w:rPr>
                <w:color w:val="auto"/>
                <w:shd w:val="clear" w:color="auto" w:fill="auto"/>
              </w:rPr>
            </w:pPr>
            <w:r>
              <w:rPr>
                <w:rFonts w:hint="eastAsia"/>
                <w:color w:val="auto"/>
                <w:shd w:val="clear" w:color="auto" w:fill="auto"/>
              </w:rPr>
              <w:t>0.7</w:t>
            </w:r>
            <w:r>
              <w:rPr>
                <w:rFonts w:hint="eastAsia"/>
                <w:color w:val="auto"/>
                <w:shd w:val="clear" w:color="auto" w:fill="auto"/>
                <w:lang w:eastAsia="zh-CN"/>
              </w:rPr>
              <w:t>m</w:t>
            </w:r>
            <w:r>
              <w:rPr>
                <w:rFonts w:hint="eastAsia"/>
                <w:color w:val="auto"/>
                <w:shd w:val="clear" w:color="auto" w:fill="auto"/>
              </w:rPr>
              <w:t>/s</w:t>
            </w:r>
          </w:p>
        </w:tc>
      </w:tr>
    </w:tbl>
    <w:p>
      <w:pPr>
        <w:pStyle w:val="5"/>
        <w:rPr>
          <w:color w:val="auto"/>
          <w:shd w:val="clear" w:color="auto" w:fill="auto"/>
        </w:rPr>
      </w:pPr>
      <w:bookmarkStart w:id="347" w:name="_Toc316642076"/>
      <w:r>
        <w:rPr>
          <w:rFonts w:hint="eastAsia"/>
          <w:color w:val="auto"/>
          <w:shd w:val="clear" w:color="auto" w:fill="auto"/>
          <w:lang w:val="en-US" w:eastAsia="zh-CN"/>
        </w:rPr>
        <w:t>5</w:t>
      </w:r>
      <w:r>
        <w:rPr>
          <w:rFonts w:hint="eastAsia"/>
          <w:color w:val="auto"/>
          <w:shd w:val="clear" w:color="auto" w:fill="auto"/>
        </w:rPr>
        <w:t>.5</w:t>
      </w:r>
      <w:r>
        <w:rPr>
          <w:color w:val="auto"/>
          <w:shd w:val="clear" w:color="auto" w:fill="auto"/>
        </w:rPr>
        <w:t>.3 预测结果分析</w:t>
      </w:r>
      <w:bookmarkEnd w:id="347"/>
    </w:p>
    <w:p>
      <w:pPr>
        <w:numPr>
          <w:ilvl w:val="0"/>
          <w:numId w:val="11"/>
        </w:numPr>
        <w:ind w:firstLine="480"/>
        <w:rPr>
          <w:color w:val="auto"/>
          <w:shd w:val="clear" w:color="auto" w:fill="auto"/>
        </w:rPr>
      </w:pPr>
      <w:r>
        <w:rPr>
          <w:color w:val="auto"/>
          <w:shd w:val="clear" w:color="auto" w:fill="auto"/>
        </w:rPr>
        <w:t>对</w:t>
      </w:r>
      <w:r>
        <w:rPr>
          <w:rFonts w:hint="eastAsia"/>
          <w:color w:val="auto"/>
          <w:shd w:val="clear" w:color="auto" w:fill="auto"/>
          <w:lang w:val="en-US" w:eastAsia="zh-CN"/>
        </w:rPr>
        <w:t>沙颍河</w:t>
      </w:r>
      <w:r>
        <w:rPr>
          <w:color w:val="auto"/>
          <w:shd w:val="clear" w:color="auto" w:fill="auto"/>
        </w:rPr>
        <w:t>水体的影响分析</w:t>
      </w:r>
    </w:p>
    <w:p>
      <w:pPr>
        <w:ind w:firstLine="480"/>
        <w:rPr>
          <w:color w:val="auto"/>
          <w:shd w:val="clear" w:color="auto" w:fill="auto"/>
        </w:rPr>
      </w:pPr>
      <w:r>
        <w:rPr>
          <w:color w:val="auto"/>
          <w:shd w:val="clear" w:color="auto" w:fill="auto"/>
        </w:rPr>
        <w:t>假设船舶碰撞造成船上装载的燃料油进入水体，入水量</w:t>
      </w:r>
      <w:r>
        <w:rPr>
          <w:rFonts w:hint="eastAsia"/>
          <w:color w:val="auto"/>
          <w:shd w:val="clear" w:color="auto" w:fill="auto"/>
        </w:rPr>
        <w:t>10</w:t>
      </w:r>
      <w:r>
        <w:rPr>
          <w:color w:val="auto"/>
          <w:shd w:val="clear" w:color="auto" w:fill="auto"/>
        </w:rPr>
        <w:t>t/次，油密度以8</w:t>
      </w:r>
      <w:r>
        <w:rPr>
          <w:rFonts w:hint="eastAsia"/>
          <w:color w:val="auto"/>
          <w:shd w:val="clear" w:color="auto" w:fill="auto"/>
        </w:rPr>
        <w:t>8</w:t>
      </w:r>
      <w:r>
        <w:rPr>
          <w:color w:val="auto"/>
          <w:shd w:val="clear" w:color="auto" w:fill="auto"/>
        </w:rPr>
        <w:t>0kg/</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计，则船舶溢油量为</w:t>
      </w:r>
      <w:r>
        <w:rPr>
          <w:rFonts w:hint="eastAsia"/>
          <w:color w:val="auto"/>
          <w:shd w:val="clear" w:color="auto" w:fill="auto"/>
        </w:rPr>
        <w:t>11.36</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/次。根据水文情况预测船舶溢油事故的环境影响。</w:t>
      </w:r>
    </w:p>
    <w:p>
      <w:pPr>
        <w:ind w:firstLine="480"/>
        <w:rPr>
          <w:color w:val="auto"/>
          <w:shd w:val="clear" w:color="auto" w:fill="auto"/>
        </w:rPr>
      </w:pPr>
      <w:r>
        <w:rPr>
          <w:color w:val="auto"/>
          <w:shd w:val="clear" w:color="auto" w:fill="auto"/>
        </w:rPr>
        <w:t>本项目选取码头前沿水域发生碰撞事故，导致船舶燃料油瞬时泄漏入</w:t>
      </w:r>
      <w:r>
        <w:rPr>
          <w:rFonts w:hint="eastAsia"/>
          <w:color w:val="auto"/>
          <w:shd w:val="clear" w:color="auto" w:fill="auto"/>
          <w:lang w:eastAsia="zh-CN"/>
        </w:rPr>
        <w:t>河</w:t>
      </w:r>
      <w:r>
        <w:rPr>
          <w:color w:val="auto"/>
          <w:shd w:val="clear" w:color="auto" w:fill="auto"/>
        </w:rPr>
        <w:t>，计算气象条件选择不利天气条件下，即顺流风向，预测时期选择丰水期和枯水期，发生溢油事故油膜扩延预测结果见表</w:t>
      </w:r>
      <w:r>
        <w:rPr>
          <w:rFonts w:hint="eastAsia"/>
          <w:color w:val="auto"/>
          <w:shd w:val="clear" w:color="auto" w:fill="auto"/>
          <w:lang w:val="en-US" w:eastAsia="zh-CN"/>
        </w:rPr>
        <w:t>5.5-2</w:t>
      </w:r>
      <w:r>
        <w:rPr>
          <w:color w:val="auto"/>
          <w:shd w:val="clear" w:color="auto" w:fill="auto"/>
        </w:rPr>
        <w:t>和表</w:t>
      </w:r>
      <w:r>
        <w:rPr>
          <w:rFonts w:hint="eastAsia"/>
          <w:color w:val="auto"/>
          <w:shd w:val="clear" w:color="auto" w:fill="auto"/>
          <w:lang w:val="en-US" w:eastAsia="zh-CN"/>
        </w:rPr>
        <w:t>5.5-3</w:t>
      </w:r>
      <w:r>
        <w:rPr>
          <w:color w:val="auto"/>
          <w:shd w:val="clear" w:color="auto" w:fill="auto"/>
        </w:rPr>
        <w:t>。</w:t>
      </w:r>
    </w:p>
    <w:p>
      <w:pPr>
        <w:pStyle w:val="43"/>
        <w:rPr>
          <w:rFonts w:hint="eastAsia" w:ascii="Times New Roman" w:hAnsi="Times New Roman" w:eastAsia="黑体" w:cs="Times New Roman"/>
          <w:color w:val="auto"/>
          <w:kern w:val="2"/>
          <w:sz w:val="21"/>
          <w:szCs w:val="21"/>
          <w:shd w:val="clear" w:color="auto" w:fill="auto"/>
          <w:lang w:val="en-US" w:eastAsia="zh-CN" w:bidi="ar-SA"/>
        </w:rPr>
      </w:pPr>
      <w:r>
        <w:rPr>
          <w:rFonts w:hint="eastAsia" w:ascii="Times New Roman" w:hAnsi="Times New Roman" w:eastAsia="黑体" w:cs="Times New Roman"/>
          <w:color w:val="auto"/>
          <w:kern w:val="2"/>
          <w:sz w:val="21"/>
          <w:szCs w:val="21"/>
          <w:shd w:val="clear" w:color="auto" w:fill="auto"/>
          <w:lang w:val="en-US" w:eastAsia="zh-CN" w:bidi="ar-SA"/>
        </w:rPr>
        <w:t>表5.5-2  事故发生后油膜扩延预测结果（丰水期）</w:t>
      </w:r>
    </w:p>
    <w:tbl>
      <w:tblPr>
        <w:tblStyle w:val="26"/>
        <w:tblW w:w="83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0" w:type="dxa"/>
          <w:bottom w:w="0" w:type="dxa"/>
          <w:right w:w="50" w:type="dxa"/>
        </w:tblCellMar>
      </w:tblPr>
      <w:tblGrid>
        <w:gridCol w:w="1395"/>
        <w:gridCol w:w="1395"/>
        <w:gridCol w:w="1396"/>
        <w:gridCol w:w="1395"/>
        <w:gridCol w:w="1395"/>
        <w:gridCol w:w="13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tblHeader/>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color w:val="auto"/>
                <w:shd w:val="clear" w:color="auto" w:fill="auto"/>
              </w:rPr>
              <w:t>时间</w:t>
            </w:r>
          </w:p>
          <w:p>
            <w:pPr>
              <w:pStyle w:val="44"/>
              <w:jc w:val="center"/>
              <w:rPr>
                <w:color w:val="auto"/>
                <w:shd w:val="clear" w:color="auto" w:fill="auto"/>
              </w:rPr>
            </w:pPr>
            <w:r>
              <w:rPr>
                <w:color w:val="auto"/>
                <w:shd w:val="clear" w:color="auto" w:fill="auto"/>
              </w:rPr>
              <w:t>（</w:t>
            </w:r>
            <w:r>
              <w:rPr>
                <w:rFonts w:hint="eastAsia"/>
                <w:color w:val="auto"/>
                <w:shd w:val="clear" w:color="auto" w:fill="auto"/>
                <w:lang w:eastAsia="zh-CN"/>
              </w:rPr>
              <w:t>m</w:t>
            </w:r>
            <w:r>
              <w:rPr>
                <w:color w:val="auto"/>
                <w:shd w:val="clear" w:color="auto" w:fill="auto"/>
              </w:rPr>
              <w:t>in）</w:t>
            </w:r>
          </w:p>
        </w:tc>
        <w:tc>
          <w:tcPr>
            <w:tcW w:w="1395" w:type="dxa"/>
            <w:vAlign w:val="center"/>
          </w:tcPr>
          <w:p>
            <w:pPr>
              <w:pStyle w:val="44"/>
              <w:jc w:val="center"/>
              <w:rPr>
                <w:color w:val="auto"/>
                <w:shd w:val="clear" w:color="auto" w:fill="auto"/>
              </w:rPr>
            </w:pPr>
            <w:r>
              <w:rPr>
                <w:color w:val="auto"/>
                <w:shd w:val="clear" w:color="auto" w:fill="auto"/>
              </w:rPr>
              <w:t>等效圆直径</w:t>
            </w:r>
          </w:p>
          <w:p>
            <w:pPr>
              <w:pStyle w:val="44"/>
              <w:jc w:val="center"/>
              <w:rPr>
                <w:color w:val="auto"/>
                <w:shd w:val="clear" w:color="auto" w:fill="auto"/>
              </w:rPr>
            </w:pPr>
            <w:r>
              <w:rPr>
                <w:color w:val="auto"/>
                <w:shd w:val="clear" w:color="auto" w:fill="auto"/>
              </w:rPr>
              <w:t>（</w:t>
            </w:r>
            <w:r>
              <w:rPr>
                <w:rFonts w:hint="eastAsia"/>
                <w:color w:val="auto"/>
                <w:shd w:val="clear" w:color="auto" w:fill="auto"/>
                <w:lang w:eastAsia="zh-CN"/>
              </w:rPr>
              <w:t>m</w:t>
            </w:r>
            <w:r>
              <w:rPr>
                <w:color w:val="auto"/>
                <w:shd w:val="clear" w:color="auto" w:fill="auto"/>
              </w:rPr>
              <w:t>）</w:t>
            </w:r>
          </w:p>
        </w:tc>
        <w:tc>
          <w:tcPr>
            <w:tcW w:w="1396" w:type="dxa"/>
            <w:tcMar>
              <w:top w:w="15" w:type="dxa"/>
              <w:left w:w="15" w:type="dxa"/>
              <w:bottom w:w="0" w:type="dxa"/>
              <w:right w:w="15" w:type="dxa"/>
            </w:tcMar>
            <w:vAlign w:val="center"/>
          </w:tcPr>
          <w:p>
            <w:pPr>
              <w:pStyle w:val="44"/>
              <w:jc w:val="center"/>
              <w:rPr>
                <w:color w:val="auto"/>
                <w:shd w:val="clear" w:color="auto" w:fill="auto"/>
              </w:rPr>
            </w:pPr>
            <w:r>
              <w:rPr>
                <w:color w:val="auto"/>
                <w:shd w:val="clear" w:color="auto" w:fill="auto"/>
              </w:rPr>
              <w:t>面积</w:t>
            </w:r>
          </w:p>
          <w:p>
            <w:pPr>
              <w:pStyle w:val="44"/>
              <w:jc w:val="center"/>
              <w:rPr>
                <w:color w:val="auto"/>
                <w:shd w:val="clear" w:color="auto" w:fill="auto"/>
              </w:rPr>
            </w:pPr>
            <w:r>
              <w:rPr>
                <w:color w:val="auto"/>
                <w:shd w:val="clear" w:color="auto" w:fill="auto"/>
              </w:rPr>
              <w:t>（</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2</w:t>
            </w:r>
            <w:r>
              <w:rPr>
                <w:color w:val="auto"/>
                <w:shd w:val="clear" w:color="auto" w:fill="auto"/>
              </w:rPr>
              <w:t>）</w:t>
            </w:r>
          </w:p>
        </w:tc>
        <w:tc>
          <w:tcPr>
            <w:tcW w:w="1395" w:type="dxa"/>
            <w:vAlign w:val="center"/>
          </w:tcPr>
          <w:p>
            <w:pPr>
              <w:pStyle w:val="44"/>
              <w:jc w:val="center"/>
              <w:rPr>
                <w:color w:val="auto"/>
                <w:shd w:val="clear" w:color="auto" w:fill="auto"/>
              </w:rPr>
            </w:pPr>
            <w:r>
              <w:rPr>
                <w:color w:val="auto"/>
                <w:shd w:val="clear" w:color="auto" w:fill="auto"/>
              </w:rPr>
              <w:t>厚度</w:t>
            </w:r>
          </w:p>
          <w:p>
            <w:pPr>
              <w:pStyle w:val="44"/>
              <w:jc w:val="center"/>
              <w:rPr>
                <w:color w:val="auto"/>
                <w:shd w:val="clear" w:color="auto" w:fill="auto"/>
              </w:rPr>
            </w:pPr>
            <w:r>
              <w:rPr>
                <w:color w:val="auto"/>
                <w:shd w:val="clear" w:color="auto" w:fill="auto"/>
              </w:rPr>
              <w:t>（</w:t>
            </w:r>
            <w:r>
              <w:rPr>
                <w:rFonts w:hint="eastAsia"/>
                <w:color w:val="auto"/>
                <w:shd w:val="clear" w:color="auto" w:fill="auto"/>
                <w:lang w:eastAsia="zh-CN"/>
              </w:rPr>
              <w:t>mm</w:t>
            </w:r>
            <w:r>
              <w:rPr>
                <w:color w:val="auto"/>
                <w:shd w:val="clear" w:color="auto" w:fill="auto"/>
              </w:rPr>
              <w:t>）</w:t>
            </w:r>
          </w:p>
        </w:tc>
        <w:tc>
          <w:tcPr>
            <w:tcW w:w="1395" w:type="dxa"/>
            <w:vAlign w:val="center"/>
          </w:tcPr>
          <w:p>
            <w:pPr>
              <w:pStyle w:val="44"/>
              <w:jc w:val="center"/>
              <w:rPr>
                <w:color w:val="auto"/>
                <w:shd w:val="clear" w:color="auto" w:fill="auto"/>
              </w:rPr>
            </w:pPr>
            <w:r>
              <w:rPr>
                <w:color w:val="auto"/>
                <w:shd w:val="clear" w:color="auto" w:fill="auto"/>
              </w:rPr>
              <w:t>油膜中心漂移距离（</w:t>
            </w:r>
            <w:r>
              <w:rPr>
                <w:rFonts w:hint="eastAsia"/>
                <w:color w:val="auto"/>
                <w:shd w:val="clear" w:color="auto" w:fill="auto"/>
                <w:lang w:eastAsia="zh-CN"/>
              </w:rPr>
              <w:t>m</w:t>
            </w:r>
            <w:r>
              <w:rPr>
                <w:color w:val="auto"/>
                <w:shd w:val="clear" w:color="auto" w:fill="auto"/>
              </w:rPr>
              <w:t>）</w:t>
            </w:r>
          </w:p>
        </w:tc>
        <w:tc>
          <w:tcPr>
            <w:tcW w:w="1395" w:type="dxa"/>
            <w:vAlign w:val="center"/>
          </w:tcPr>
          <w:p>
            <w:pPr>
              <w:pStyle w:val="44"/>
              <w:jc w:val="center"/>
              <w:rPr>
                <w:color w:val="auto"/>
                <w:shd w:val="clear" w:color="auto" w:fill="auto"/>
              </w:rPr>
            </w:pPr>
            <w:r>
              <w:rPr>
                <w:color w:val="auto"/>
                <w:shd w:val="clear" w:color="auto" w:fill="auto"/>
              </w:rPr>
              <w:t>油膜前端漂移距离（</w:t>
            </w:r>
            <w:r>
              <w:rPr>
                <w:rFonts w:hint="eastAsia"/>
                <w:color w:val="auto"/>
                <w:shd w:val="clear" w:color="auto" w:fill="auto"/>
                <w:lang w:eastAsia="zh-CN"/>
              </w:rPr>
              <w:t>m</w:t>
            </w:r>
            <w:r>
              <w:rPr>
                <w:color w:val="auto"/>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color w:val="auto"/>
                <w:shd w:val="clear" w:color="auto" w:fill="auto"/>
              </w:rPr>
              <w:t>1</w:t>
            </w:r>
          </w:p>
        </w:tc>
        <w:tc>
          <w:tcPr>
            <w:tcW w:w="1395" w:type="dxa"/>
            <w:vAlign w:val="center"/>
          </w:tcPr>
          <w:p>
            <w:pPr>
              <w:pStyle w:val="44"/>
              <w:jc w:val="center"/>
              <w:rPr>
                <w:color w:val="auto"/>
                <w:shd w:val="clear" w:color="auto" w:fill="auto"/>
              </w:rPr>
            </w:pPr>
            <w:r>
              <w:rPr>
                <w:rFonts w:hint="eastAsia"/>
                <w:color w:val="auto"/>
                <w:shd w:val="clear" w:color="auto" w:fill="auto"/>
              </w:rPr>
              <w:t>33.69</w:t>
            </w:r>
          </w:p>
        </w:tc>
        <w:tc>
          <w:tcPr>
            <w:tcW w:w="1396"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891.70</w:t>
            </w:r>
          </w:p>
        </w:tc>
        <w:tc>
          <w:tcPr>
            <w:tcW w:w="1395" w:type="dxa"/>
            <w:vAlign w:val="center"/>
          </w:tcPr>
          <w:p>
            <w:pPr>
              <w:pStyle w:val="44"/>
              <w:jc w:val="center"/>
              <w:rPr>
                <w:color w:val="auto"/>
                <w:shd w:val="clear" w:color="auto" w:fill="auto"/>
              </w:rPr>
            </w:pPr>
            <w:r>
              <w:rPr>
                <w:rFonts w:hint="eastAsia"/>
                <w:color w:val="auto"/>
                <w:shd w:val="clear" w:color="auto" w:fill="auto"/>
              </w:rPr>
              <w:t>1.274</w:t>
            </w:r>
          </w:p>
        </w:tc>
        <w:tc>
          <w:tcPr>
            <w:tcW w:w="1395" w:type="dxa"/>
            <w:vAlign w:val="center"/>
          </w:tcPr>
          <w:p>
            <w:pPr>
              <w:pStyle w:val="44"/>
              <w:jc w:val="center"/>
              <w:rPr>
                <w:color w:val="auto"/>
                <w:shd w:val="clear" w:color="auto" w:fill="auto"/>
              </w:rPr>
            </w:pPr>
            <w:r>
              <w:rPr>
                <w:rFonts w:hint="eastAsia"/>
                <w:color w:val="auto"/>
                <w:shd w:val="clear" w:color="auto" w:fill="auto"/>
              </w:rPr>
              <w:t>188.4</w:t>
            </w:r>
          </w:p>
        </w:tc>
        <w:tc>
          <w:tcPr>
            <w:tcW w:w="1395" w:type="dxa"/>
            <w:vAlign w:val="center"/>
          </w:tcPr>
          <w:p>
            <w:pPr>
              <w:pStyle w:val="44"/>
              <w:jc w:val="center"/>
              <w:rPr>
                <w:color w:val="auto"/>
                <w:shd w:val="clear" w:color="auto" w:fill="auto"/>
              </w:rPr>
            </w:pPr>
            <w:r>
              <w:rPr>
                <w:rFonts w:hint="eastAsia"/>
                <w:color w:val="auto"/>
                <w:shd w:val="clear" w:color="auto" w:fill="auto"/>
              </w:rPr>
              <w:t>205.25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color w:val="auto"/>
                <w:shd w:val="clear" w:color="auto" w:fill="auto"/>
              </w:rPr>
              <w:t>2</w:t>
            </w:r>
          </w:p>
        </w:tc>
        <w:tc>
          <w:tcPr>
            <w:tcW w:w="1395" w:type="dxa"/>
            <w:vAlign w:val="center"/>
          </w:tcPr>
          <w:p>
            <w:pPr>
              <w:pStyle w:val="44"/>
              <w:jc w:val="center"/>
              <w:rPr>
                <w:color w:val="auto"/>
                <w:shd w:val="clear" w:color="auto" w:fill="auto"/>
              </w:rPr>
            </w:pPr>
            <w:r>
              <w:rPr>
                <w:rFonts w:hint="eastAsia"/>
                <w:color w:val="auto"/>
                <w:shd w:val="clear" w:color="auto" w:fill="auto"/>
              </w:rPr>
              <w:t>47.65</w:t>
            </w:r>
          </w:p>
        </w:tc>
        <w:tc>
          <w:tcPr>
            <w:tcW w:w="1396"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1783.40</w:t>
            </w:r>
          </w:p>
        </w:tc>
        <w:tc>
          <w:tcPr>
            <w:tcW w:w="1395" w:type="dxa"/>
            <w:vAlign w:val="center"/>
          </w:tcPr>
          <w:p>
            <w:pPr>
              <w:pStyle w:val="44"/>
              <w:jc w:val="center"/>
              <w:rPr>
                <w:color w:val="auto"/>
                <w:shd w:val="clear" w:color="auto" w:fill="auto"/>
              </w:rPr>
            </w:pPr>
            <w:r>
              <w:rPr>
                <w:rFonts w:hint="eastAsia"/>
                <w:color w:val="auto"/>
                <w:shd w:val="clear" w:color="auto" w:fill="auto"/>
              </w:rPr>
              <w:t>0.637</w:t>
            </w:r>
          </w:p>
        </w:tc>
        <w:tc>
          <w:tcPr>
            <w:tcW w:w="1395" w:type="dxa"/>
            <w:vAlign w:val="center"/>
          </w:tcPr>
          <w:p>
            <w:pPr>
              <w:pStyle w:val="44"/>
              <w:jc w:val="center"/>
              <w:rPr>
                <w:color w:val="auto"/>
                <w:shd w:val="clear" w:color="auto" w:fill="auto"/>
              </w:rPr>
            </w:pPr>
            <w:r>
              <w:rPr>
                <w:rFonts w:hint="eastAsia"/>
                <w:color w:val="auto"/>
                <w:shd w:val="clear" w:color="auto" w:fill="auto"/>
              </w:rPr>
              <w:t>376.8</w:t>
            </w:r>
          </w:p>
        </w:tc>
        <w:tc>
          <w:tcPr>
            <w:tcW w:w="1395" w:type="dxa"/>
            <w:vAlign w:val="center"/>
          </w:tcPr>
          <w:p>
            <w:pPr>
              <w:pStyle w:val="44"/>
              <w:jc w:val="center"/>
              <w:rPr>
                <w:color w:val="auto"/>
                <w:shd w:val="clear" w:color="auto" w:fill="auto"/>
              </w:rPr>
            </w:pPr>
            <w:r>
              <w:rPr>
                <w:rFonts w:hint="eastAsia"/>
                <w:color w:val="auto"/>
                <w:shd w:val="clear" w:color="auto" w:fill="auto"/>
              </w:rPr>
              <w:t>400.63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color w:val="auto"/>
                <w:shd w:val="clear" w:color="auto" w:fill="auto"/>
              </w:rPr>
              <w:t>4</w:t>
            </w:r>
          </w:p>
        </w:tc>
        <w:tc>
          <w:tcPr>
            <w:tcW w:w="1395" w:type="dxa"/>
            <w:vAlign w:val="center"/>
          </w:tcPr>
          <w:p>
            <w:pPr>
              <w:pStyle w:val="44"/>
              <w:jc w:val="center"/>
              <w:rPr>
                <w:color w:val="auto"/>
                <w:shd w:val="clear" w:color="auto" w:fill="auto"/>
              </w:rPr>
            </w:pPr>
            <w:r>
              <w:rPr>
                <w:rFonts w:hint="eastAsia"/>
                <w:color w:val="auto"/>
                <w:shd w:val="clear" w:color="auto" w:fill="auto"/>
              </w:rPr>
              <w:t>67.39</w:t>
            </w:r>
          </w:p>
        </w:tc>
        <w:tc>
          <w:tcPr>
            <w:tcW w:w="1396"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3566.81</w:t>
            </w:r>
          </w:p>
        </w:tc>
        <w:tc>
          <w:tcPr>
            <w:tcW w:w="1395" w:type="dxa"/>
            <w:vAlign w:val="center"/>
          </w:tcPr>
          <w:p>
            <w:pPr>
              <w:pStyle w:val="44"/>
              <w:jc w:val="center"/>
              <w:rPr>
                <w:color w:val="auto"/>
                <w:shd w:val="clear" w:color="auto" w:fill="auto"/>
              </w:rPr>
            </w:pPr>
            <w:r>
              <w:rPr>
                <w:rFonts w:hint="eastAsia"/>
                <w:color w:val="auto"/>
                <w:shd w:val="clear" w:color="auto" w:fill="auto"/>
              </w:rPr>
              <w:t>0.318</w:t>
            </w:r>
          </w:p>
        </w:tc>
        <w:tc>
          <w:tcPr>
            <w:tcW w:w="1395" w:type="dxa"/>
            <w:vAlign w:val="center"/>
          </w:tcPr>
          <w:p>
            <w:pPr>
              <w:pStyle w:val="44"/>
              <w:jc w:val="center"/>
              <w:rPr>
                <w:color w:val="auto"/>
                <w:shd w:val="clear" w:color="auto" w:fill="auto"/>
              </w:rPr>
            </w:pPr>
            <w:r>
              <w:rPr>
                <w:rFonts w:hint="eastAsia"/>
                <w:color w:val="auto"/>
                <w:shd w:val="clear" w:color="auto" w:fill="auto"/>
              </w:rPr>
              <w:t>753.6</w:t>
            </w:r>
          </w:p>
        </w:tc>
        <w:tc>
          <w:tcPr>
            <w:tcW w:w="1395" w:type="dxa"/>
            <w:vAlign w:val="center"/>
          </w:tcPr>
          <w:p>
            <w:pPr>
              <w:pStyle w:val="44"/>
              <w:jc w:val="center"/>
              <w:rPr>
                <w:color w:val="auto"/>
                <w:shd w:val="clear" w:color="auto" w:fill="auto"/>
              </w:rPr>
            </w:pPr>
            <w:r>
              <w:rPr>
                <w:rFonts w:hint="eastAsia"/>
                <w:color w:val="auto"/>
                <w:shd w:val="clear" w:color="auto" w:fill="auto"/>
              </w:rPr>
              <w:t>787.29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color w:val="auto"/>
                <w:shd w:val="clear" w:color="auto" w:fill="auto"/>
              </w:rPr>
              <w:t>6</w:t>
            </w:r>
          </w:p>
        </w:tc>
        <w:tc>
          <w:tcPr>
            <w:tcW w:w="1395" w:type="dxa"/>
            <w:vAlign w:val="center"/>
          </w:tcPr>
          <w:p>
            <w:pPr>
              <w:pStyle w:val="44"/>
              <w:jc w:val="center"/>
              <w:rPr>
                <w:color w:val="auto"/>
                <w:shd w:val="clear" w:color="auto" w:fill="auto"/>
              </w:rPr>
            </w:pPr>
            <w:r>
              <w:rPr>
                <w:rFonts w:hint="eastAsia"/>
                <w:color w:val="auto"/>
                <w:shd w:val="clear" w:color="auto" w:fill="auto"/>
              </w:rPr>
              <w:t>82.54</w:t>
            </w:r>
          </w:p>
        </w:tc>
        <w:tc>
          <w:tcPr>
            <w:tcW w:w="1396"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5350.21</w:t>
            </w:r>
          </w:p>
        </w:tc>
        <w:tc>
          <w:tcPr>
            <w:tcW w:w="1395" w:type="dxa"/>
            <w:vAlign w:val="center"/>
          </w:tcPr>
          <w:p>
            <w:pPr>
              <w:pStyle w:val="44"/>
              <w:jc w:val="center"/>
              <w:rPr>
                <w:color w:val="auto"/>
                <w:shd w:val="clear" w:color="auto" w:fill="auto"/>
              </w:rPr>
            </w:pPr>
            <w:r>
              <w:rPr>
                <w:rFonts w:hint="eastAsia"/>
                <w:color w:val="auto"/>
                <w:shd w:val="clear" w:color="auto" w:fill="auto"/>
              </w:rPr>
              <w:t>0.212</w:t>
            </w:r>
          </w:p>
        </w:tc>
        <w:tc>
          <w:tcPr>
            <w:tcW w:w="1395" w:type="dxa"/>
            <w:vAlign w:val="center"/>
          </w:tcPr>
          <w:p>
            <w:pPr>
              <w:pStyle w:val="44"/>
              <w:jc w:val="center"/>
              <w:rPr>
                <w:color w:val="auto"/>
                <w:shd w:val="clear" w:color="auto" w:fill="auto"/>
              </w:rPr>
            </w:pPr>
            <w:r>
              <w:rPr>
                <w:rFonts w:hint="eastAsia"/>
                <w:color w:val="auto"/>
                <w:shd w:val="clear" w:color="auto" w:fill="auto"/>
              </w:rPr>
              <w:t>1130.4</w:t>
            </w:r>
          </w:p>
        </w:tc>
        <w:tc>
          <w:tcPr>
            <w:tcW w:w="1395" w:type="dxa"/>
            <w:vAlign w:val="center"/>
          </w:tcPr>
          <w:p>
            <w:pPr>
              <w:pStyle w:val="44"/>
              <w:jc w:val="center"/>
              <w:rPr>
                <w:color w:val="auto"/>
                <w:shd w:val="clear" w:color="auto" w:fill="auto"/>
              </w:rPr>
            </w:pPr>
            <w:r>
              <w:rPr>
                <w:rFonts w:hint="eastAsia"/>
                <w:color w:val="auto"/>
                <w:shd w:val="clear" w:color="auto" w:fill="auto"/>
              </w:rPr>
              <w:t>1171.67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color w:val="auto"/>
                <w:shd w:val="clear" w:color="auto" w:fill="auto"/>
              </w:rPr>
              <w:t>8</w:t>
            </w:r>
          </w:p>
        </w:tc>
        <w:tc>
          <w:tcPr>
            <w:tcW w:w="1395" w:type="dxa"/>
            <w:vAlign w:val="center"/>
          </w:tcPr>
          <w:p>
            <w:pPr>
              <w:pStyle w:val="44"/>
              <w:jc w:val="center"/>
              <w:rPr>
                <w:color w:val="auto"/>
                <w:shd w:val="clear" w:color="auto" w:fill="auto"/>
              </w:rPr>
            </w:pPr>
            <w:r>
              <w:rPr>
                <w:rFonts w:hint="eastAsia"/>
                <w:color w:val="auto"/>
                <w:shd w:val="clear" w:color="auto" w:fill="auto"/>
              </w:rPr>
              <w:t>95.30</w:t>
            </w:r>
          </w:p>
        </w:tc>
        <w:tc>
          <w:tcPr>
            <w:tcW w:w="1396"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7133.61</w:t>
            </w:r>
          </w:p>
        </w:tc>
        <w:tc>
          <w:tcPr>
            <w:tcW w:w="1395" w:type="dxa"/>
            <w:vAlign w:val="center"/>
          </w:tcPr>
          <w:p>
            <w:pPr>
              <w:pStyle w:val="44"/>
              <w:jc w:val="center"/>
              <w:rPr>
                <w:color w:val="auto"/>
                <w:shd w:val="clear" w:color="auto" w:fill="auto"/>
              </w:rPr>
            </w:pPr>
            <w:r>
              <w:rPr>
                <w:rFonts w:hint="eastAsia"/>
                <w:color w:val="auto"/>
                <w:shd w:val="clear" w:color="auto" w:fill="auto"/>
              </w:rPr>
              <w:t>0.159</w:t>
            </w:r>
          </w:p>
        </w:tc>
        <w:tc>
          <w:tcPr>
            <w:tcW w:w="1395" w:type="dxa"/>
            <w:vAlign w:val="center"/>
          </w:tcPr>
          <w:p>
            <w:pPr>
              <w:pStyle w:val="44"/>
              <w:jc w:val="center"/>
              <w:rPr>
                <w:color w:val="auto"/>
                <w:shd w:val="clear" w:color="auto" w:fill="auto"/>
              </w:rPr>
            </w:pPr>
            <w:r>
              <w:rPr>
                <w:rFonts w:hint="eastAsia"/>
                <w:color w:val="auto"/>
                <w:shd w:val="clear" w:color="auto" w:fill="auto"/>
              </w:rPr>
              <w:t>1507.2</w:t>
            </w:r>
          </w:p>
        </w:tc>
        <w:tc>
          <w:tcPr>
            <w:tcW w:w="1395" w:type="dxa"/>
            <w:vAlign w:val="center"/>
          </w:tcPr>
          <w:p>
            <w:pPr>
              <w:pStyle w:val="44"/>
              <w:jc w:val="center"/>
              <w:rPr>
                <w:color w:val="auto"/>
                <w:shd w:val="clear" w:color="auto" w:fill="auto"/>
              </w:rPr>
            </w:pPr>
            <w:r>
              <w:rPr>
                <w:rFonts w:hint="eastAsia"/>
                <w:color w:val="auto"/>
                <w:shd w:val="clear" w:color="auto" w:fill="auto"/>
              </w:rPr>
              <w:t>1554.85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9.34</w:t>
            </w:r>
            <w:r>
              <w:rPr>
                <w:rFonts w:hint="eastAsia"/>
                <w:color w:val="auto"/>
                <w:shd w:val="clear" w:color="auto" w:fill="auto"/>
                <w:lang w:eastAsia="zh-CN"/>
              </w:rPr>
              <w:t>（惯性扩展与粘性扩展分界时间）</w:t>
            </w:r>
          </w:p>
        </w:tc>
        <w:tc>
          <w:tcPr>
            <w:tcW w:w="1395" w:type="dxa"/>
            <w:vAlign w:val="center"/>
          </w:tcPr>
          <w:p>
            <w:pPr>
              <w:pStyle w:val="44"/>
              <w:jc w:val="center"/>
              <w:rPr>
                <w:color w:val="auto"/>
                <w:shd w:val="clear" w:color="auto" w:fill="auto"/>
              </w:rPr>
            </w:pPr>
            <w:r>
              <w:rPr>
                <w:rFonts w:hint="eastAsia"/>
                <w:color w:val="auto"/>
                <w:shd w:val="clear" w:color="auto" w:fill="auto"/>
              </w:rPr>
              <w:t>103.00</w:t>
            </w:r>
          </w:p>
        </w:tc>
        <w:tc>
          <w:tcPr>
            <w:tcW w:w="1396"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8332.80</w:t>
            </w:r>
          </w:p>
        </w:tc>
        <w:tc>
          <w:tcPr>
            <w:tcW w:w="1395" w:type="dxa"/>
            <w:vAlign w:val="center"/>
          </w:tcPr>
          <w:p>
            <w:pPr>
              <w:pStyle w:val="44"/>
              <w:jc w:val="center"/>
              <w:rPr>
                <w:color w:val="auto"/>
                <w:shd w:val="clear" w:color="auto" w:fill="auto"/>
              </w:rPr>
            </w:pPr>
            <w:r>
              <w:rPr>
                <w:rFonts w:hint="eastAsia"/>
                <w:color w:val="auto"/>
                <w:shd w:val="clear" w:color="auto" w:fill="auto"/>
              </w:rPr>
              <w:t>0.136</w:t>
            </w:r>
          </w:p>
        </w:tc>
        <w:tc>
          <w:tcPr>
            <w:tcW w:w="1395" w:type="dxa"/>
            <w:vAlign w:val="center"/>
          </w:tcPr>
          <w:p>
            <w:pPr>
              <w:pStyle w:val="44"/>
              <w:jc w:val="center"/>
              <w:rPr>
                <w:color w:val="auto"/>
                <w:shd w:val="clear" w:color="auto" w:fill="auto"/>
              </w:rPr>
            </w:pPr>
            <w:r>
              <w:rPr>
                <w:rFonts w:hint="eastAsia"/>
                <w:color w:val="auto"/>
                <w:shd w:val="clear" w:color="auto" w:fill="auto"/>
              </w:rPr>
              <w:t>1760.6</w:t>
            </w:r>
          </w:p>
        </w:tc>
        <w:tc>
          <w:tcPr>
            <w:tcW w:w="1395" w:type="dxa"/>
            <w:vAlign w:val="center"/>
          </w:tcPr>
          <w:p>
            <w:pPr>
              <w:pStyle w:val="44"/>
              <w:jc w:val="center"/>
              <w:rPr>
                <w:color w:val="auto"/>
                <w:shd w:val="clear" w:color="auto" w:fill="auto"/>
              </w:rPr>
            </w:pPr>
            <w:r>
              <w:rPr>
                <w:rFonts w:hint="eastAsia"/>
                <w:color w:val="auto"/>
                <w:shd w:val="clear" w:color="auto" w:fill="auto"/>
              </w:rPr>
              <w:t>1812.07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12</w:t>
            </w:r>
          </w:p>
        </w:tc>
        <w:tc>
          <w:tcPr>
            <w:tcW w:w="1395" w:type="dxa"/>
            <w:vAlign w:val="center"/>
          </w:tcPr>
          <w:p>
            <w:pPr>
              <w:pStyle w:val="44"/>
              <w:jc w:val="center"/>
              <w:rPr>
                <w:color w:val="auto"/>
                <w:shd w:val="clear" w:color="auto" w:fill="auto"/>
              </w:rPr>
            </w:pPr>
            <w:r>
              <w:rPr>
                <w:rFonts w:hint="eastAsia"/>
                <w:color w:val="auto"/>
                <w:shd w:val="clear" w:color="auto" w:fill="auto"/>
              </w:rPr>
              <w:t>109.65</w:t>
            </w:r>
          </w:p>
        </w:tc>
        <w:tc>
          <w:tcPr>
            <w:tcW w:w="1396"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9442.77</w:t>
            </w:r>
          </w:p>
        </w:tc>
        <w:tc>
          <w:tcPr>
            <w:tcW w:w="1395" w:type="dxa"/>
            <w:vAlign w:val="center"/>
          </w:tcPr>
          <w:p>
            <w:pPr>
              <w:pStyle w:val="44"/>
              <w:jc w:val="center"/>
              <w:rPr>
                <w:color w:val="auto"/>
                <w:shd w:val="clear" w:color="auto" w:fill="auto"/>
              </w:rPr>
            </w:pPr>
            <w:r>
              <w:rPr>
                <w:rFonts w:hint="eastAsia"/>
                <w:color w:val="auto"/>
                <w:shd w:val="clear" w:color="auto" w:fill="auto"/>
              </w:rPr>
              <w:t>0.120</w:t>
            </w:r>
          </w:p>
        </w:tc>
        <w:tc>
          <w:tcPr>
            <w:tcW w:w="1395" w:type="dxa"/>
            <w:vAlign w:val="center"/>
          </w:tcPr>
          <w:p>
            <w:pPr>
              <w:pStyle w:val="44"/>
              <w:jc w:val="center"/>
              <w:rPr>
                <w:color w:val="auto"/>
                <w:shd w:val="clear" w:color="auto" w:fill="auto"/>
              </w:rPr>
            </w:pPr>
            <w:r>
              <w:rPr>
                <w:rFonts w:hint="eastAsia"/>
                <w:color w:val="auto"/>
                <w:shd w:val="clear" w:color="auto" w:fill="auto"/>
              </w:rPr>
              <w:t>2260.80</w:t>
            </w:r>
          </w:p>
        </w:tc>
        <w:tc>
          <w:tcPr>
            <w:tcW w:w="1395" w:type="dxa"/>
            <w:vAlign w:val="center"/>
          </w:tcPr>
          <w:p>
            <w:pPr>
              <w:pStyle w:val="44"/>
              <w:jc w:val="center"/>
              <w:rPr>
                <w:color w:val="auto"/>
                <w:shd w:val="clear" w:color="auto" w:fill="auto"/>
              </w:rPr>
            </w:pPr>
            <w:r>
              <w:rPr>
                <w:rFonts w:hint="eastAsia"/>
                <w:color w:val="auto"/>
                <w:shd w:val="clear" w:color="auto" w:fill="auto"/>
              </w:rPr>
              <w:t>2315.62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24.39</w:t>
            </w:r>
            <w:r>
              <w:rPr>
                <w:rFonts w:hint="eastAsia"/>
                <w:color w:val="auto"/>
                <w:shd w:val="clear" w:color="auto" w:fill="auto"/>
                <w:lang w:eastAsia="zh-CN"/>
              </w:rPr>
              <w:t>（粘性扩展与表面张力扩展分界时间）</w:t>
            </w:r>
          </w:p>
        </w:tc>
        <w:tc>
          <w:tcPr>
            <w:tcW w:w="1395" w:type="dxa"/>
            <w:vAlign w:val="center"/>
          </w:tcPr>
          <w:p>
            <w:pPr>
              <w:pStyle w:val="44"/>
              <w:jc w:val="center"/>
              <w:rPr>
                <w:color w:val="auto"/>
                <w:shd w:val="clear" w:color="auto" w:fill="auto"/>
              </w:rPr>
            </w:pPr>
            <w:r>
              <w:rPr>
                <w:rFonts w:hint="eastAsia"/>
                <w:color w:val="auto"/>
                <w:shd w:val="clear" w:color="auto" w:fill="auto"/>
              </w:rPr>
              <w:t>130.93</w:t>
            </w:r>
          </w:p>
        </w:tc>
        <w:tc>
          <w:tcPr>
            <w:tcW w:w="1396"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13463.30</w:t>
            </w:r>
          </w:p>
        </w:tc>
        <w:tc>
          <w:tcPr>
            <w:tcW w:w="1395" w:type="dxa"/>
            <w:vAlign w:val="center"/>
          </w:tcPr>
          <w:p>
            <w:pPr>
              <w:pStyle w:val="44"/>
              <w:jc w:val="center"/>
              <w:rPr>
                <w:color w:val="auto"/>
                <w:shd w:val="clear" w:color="auto" w:fill="auto"/>
              </w:rPr>
            </w:pPr>
            <w:r>
              <w:rPr>
                <w:rFonts w:hint="eastAsia"/>
                <w:color w:val="auto"/>
                <w:shd w:val="clear" w:color="auto" w:fill="auto"/>
              </w:rPr>
              <w:t>0.084</w:t>
            </w:r>
          </w:p>
        </w:tc>
        <w:tc>
          <w:tcPr>
            <w:tcW w:w="1395" w:type="dxa"/>
            <w:vAlign w:val="center"/>
          </w:tcPr>
          <w:p>
            <w:pPr>
              <w:pStyle w:val="44"/>
              <w:jc w:val="center"/>
              <w:rPr>
                <w:color w:val="auto"/>
                <w:shd w:val="clear" w:color="auto" w:fill="auto"/>
              </w:rPr>
            </w:pPr>
            <w:r>
              <w:rPr>
                <w:rFonts w:hint="eastAsia"/>
                <w:color w:val="auto"/>
                <w:shd w:val="clear" w:color="auto" w:fill="auto"/>
              </w:rPr>
              <w:t>4595.9</w:t>
            </w:r>
          </w:p>
        </w:tc>
        <w:tc>
          <w:tcPr>
            <w:tcW w:w="1395" w:type="dxa"/>
            <w:vAlign w:val="center"/>
          </w:tcPr>
          <w:p>
            <w:pPr>
              <w:pStyle w:val="44"/>
              <w:jc w:val="center"/>
              <w:rPr>
                <w:color w:val="auto"/>
                <w:shd w:val="clear" w:color="auto" w:fill="auto"/>
              </w:rPr>
            </w:pPr>
            <w:r>
              <w:rPr>
                <w:rFonts w:hint="eastAsia"/>
                <w:color w:val="auto"/>
                <w:shd w:val="clear" w:color="auto" w:fill="auto"/>
              </w:rPr>
              <w:t>4661.32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50</w:t>
            </w:r>
          </w:p>
        </w:tc>
        <w:tc>
          <w:tcPr>
            <w:tcW w:w="1395" w:type="dxa"/>
            <w:vAlign w:val="center"/>
          </w:tcPr>
          <w:p>
            <w:pPr>
              <w:pStyle w:val="44"/>
              <w:jc w:val="center"/>
              <w:rPr>
                <w:color w:val="auto"/>
                <w:shd w:val="clear" w:color="auto" w:fill="auto"/>
              </w:rPr>
            </w:pPr>
            <w:r>
              <w:rPr>
                <w:rFonts w:hint="eastAsia"/>
                <w:color w:val="auto"/>
                <w:shd w:val="clear" w:color="auto" w:fill="auto"/>
              </w:rPr>
              <w:t>224.28</w:t>
            </w:r>
          </w:p>
        </w:tc>
        <w:tc>
          <w:tcPr>
            <w:tcW w:w="1396"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39507.31</w:t>
            </w:r>
          </w:p>
        </w:tc>
        <w:tc>
          <w:tcPr>
            <w:tcW w:w="1395" w:type="dxa"/>
            <w:vAlign w:val="center"/>
          </w:tcPr>
          <w:p>
            <w:pPr>
              <w:pStyle w:val="44"/>
              <w:jc w:val="center"/>
              <w:rPr>
                <w:color w:val="auto"/>
                <w:shd w:val="clear" w:color="auto" w:fill="auto"/>
              </w:rPr>
            </w:pPr>
            <w:r>
              <w:rPr>
                <w:rFonts w:hint="eastAsia"/>
                <w:color w:val="auto"/>
                <w:shd w:val="clear" w:color="auto" w:fill="auto"/>
              </w:rPr>
              <w:t>0.029</w:t>
            </w:r>
          </w:p>
        </w:tc>
        <w:tc>
          <w:tcPr>
            <w:tcW w:w="1395" w:type="dxa"/>
            <w:vAlign w:val="center"/>
          </w:tcPr>
          <w:p>
            <w:pPr>
              <w:pStyle w:val="44"/>
              <w:jc w:val="center"/>
              <w:rPr>
                <w:color w:val="auto"/>
                <w:shd w:val="clear" w:color="auto" w:fill="auto"/>
              </w:rPr>
            </w:pPr>
            <w:r>
              <w:rPr>
                <w:rFonts w:hint="eastAsia"/>
                <w:color w:val="auto"/>
                <w:shd w:val="clear" w:color="auto" w:fill="auto"/>
              </w:rPr>
              <w:t>9420.00</w:t>
            </w:r>
          </w:p>
        </w:tc>
        <w:tc>
          <w:tcPr>
            <w:tcW w:w="1395" w:type="dxa"/>
            <w:vAlign w:val="center"/>
          </w:tcPr>
          <w:p>
            <w:pPr>
              <w:pStyle w:val="44"/>
              <w:jc w:val="center"/>
              <w:rPr>
                <w:color w:val="auto"/>
                <w:shd w:val="clear" w:color="auto" w:fill="auto"/>
              </w:rPr>
            </w:pPr>
            <w:r>
              <w:rPr>
                <w:rFonts w:hint="eastAsia"/>
                <w:color w:val="auto"/>
                <w:shd w:val="clear" w:color="auto" w:fill="auto"/>
              </w:rPr>
              <w:t>9532.14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120</w:t>
            </w:r>
          </w:p>
        </w:tc>
        <w:tc>
          <w:tcPr>
            <w:tcW w:w="1395" w:type="dxa"/>
            <w:vAlign w:val="center"/>
          </w:tcPr>
          <w:p>
            <w:pPr>
              <w:pStyle w:val="44"/>
              <w:jc w:val="center"/>
              <w:rPr>
                <w:color w:val="auto"/>
                <w:shd w:val="clear" w:color="auto" w:fill="auto"/>
              </w:rPr>
            </w:pPr>
            <w:r>
              <w:rPr>
                <w:rFonts w:hint="eastAsia"/>
                <w:color w:val="auto"/>
                <w:shd w:val="clear" w:color="auto" w:fill="auto"/>
              </w:rPr>
              <w:t>432.47</w:t>
            </w:r>
          </w:p>
        </w:tc>
        <w:tc>
          <w:tcPr>
            <w:tcW w:w="1396"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146890.69</w:t>
            </w:r>
          </w:p>
        </w:tc>
        <w:tc>
          <w:tcPr>
            <w:tcW w:w="1395" w:type="dxa"/>
            <w:vAlign w:val="center"/>
          </w:tcPr>
          <w:p>
            <w:pPr>
              <w:pStyle w:val="44"/>
              <w:jc w:val="center"/>
              <w:rPr>
                <w:color w:val="auto"/>
                <w:shd w:val="clear" w:color="auto" w:fill="auto"/>
              </w:rPr>
            </w:pPr>
            <w:r>
              <w:rPr>
                <w:rFonts w:hint="eastAsia"/>
                <w:color w:val="auto"/>
                <w:shd w:val="clear" w:color="auto" w:fill="auto"/>
              </w:rPr>
              <w:t>0.008</w:t>
            </w:r>
          </w:p>
        </w:tc>
        <w:tc>
          <w:tcPr>
            <w:tcW w:w="1395" w:type="dxa"/>
            <w:vAlign w:val="center"/>
          </w:tcPr>
          <w:p>
            <w:pPr>
              <w:pStyle w:val="44"/>
              <w:jc w:val="center"/>
              <w:rPr>
                <w:color w:val="auto"/>
                <w:shd w:val="clear" w:color="auto" w:fill="auto"/>
              </w:rPr>
            </w:pPr>
            <w:r>
              <w:rPr>
                <w:rFonts w:hint="eastAsia"/>
                <w:color w:val="auto"/>
                <w:shd w:val="clear" w:color="auto" w:fill="auto"/>
              </w:rPr>
              <w:t>22608.00</w:t>
            </w:r>
          </w:p>
        </w:tc>
        <w:tc>
          <w:tcPr>
            <w:tcW w:w="1395" w:type="dxa"/>
            <w:vAlign w:val="center"/>
          </w:tcPr>
          <w:p>
            <w:pPr>
              <w:pStyle w:val="44"/>
              <w:jc w:val="center"/>
              <w:rPr>
                <w:color w:val="auto"/>
                <w:shd w:val="clear" w:color="auto" w:fill="auto"/>
              </w:rPr>
            </w:pPr>
            <w:r>
              <w:rPr>
                <w:rFonts w:hint="eastAsia"/>
                <w:color w:val="auto"/>
                <w:shd w:val="clear" w:color="auto" w:fill="auto"/>
              </w:rPr>
              <w:t>22824.23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312.97</w:t>
            </w:r>
            <w:r>
              <w:rPr>
                <w:rFonts w:hint="eastAsia"/>
                <w:color w:val="auto"/>
                <w:shd w:val="clear" w:color="auto" w:fill="auto"/>
                <w:lang w:eastAsia="zh-CN"/>
              </w:rPr>
              <w:t>（扩展结束时间）</w:t>
            </w:r>
          </w:p>
        </w:tc>
        <w:tc>
          <w:tcPr>
            <w:tcW w:w="1395" w:type="dxa"/>
            <w:vAlign w:val="center"/>
          </w:tcPr>
          <w:p>
            <w:pPr>
              <w:pStyle w:val="44"/>
              <w:jc w:val="center"/>
              <w:rPr>
                <w:color w:val="auto"/>
                <w:shd w:val="clear" w:color="auto" w:fill="auto"/>
              </w:rPr>
            </w:pPr>
            <w:r>
              <w:rPr>
                <w:rFonts w:hint="eastAsia"/>
                <w:color w:val="auto"/>
                <w:shd w:val="clear" w:color="auto" w:fill="auto"/>
              </w:rPr>
              <w:t>887.55</w:t>
            </w:r>
          </w:p>
        </w:tc>
        <w:tc>
          <w:tcPr>
            <w:tcW w:w="1396"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618690.30</w:t>
            </w:r>
          </w:p>
        </w:tc>
        <w:tc>
          <w:tcPr>
            <w:tcW w:w="1395" w:type="dxa"/>
            <w:vAlign w:val="center"/>
          </w:tcPr>
          <w:p>
            <w:pPr>
              <w:pStyle w:val="44"/>
              <w:jc w:val="center"/>
              <w:rPr>
                <w:color w:val="auto"/>
                <w:shd w:val="clear" w:color="auto" w:fill="auto"/>
              </w:rPr>
            </w:pPr>
            <w:r>
              <w:rPr>
                <w:rFonts w:hint="eastAsia"/>
                <w:color w:val="auto"/>
                <w:shd w:val="clear" w:color="auto" w:fill="auto"/>
              </w:rPr>
              <w:t>0.002</w:t>
            </w:r>
          </w:p>
        </w:tc>
        <w:tc>
          <w:tcPr>
            <w:tcW w:w="1395" w:type="dxa"/>
            <w:vAlign w:val="center"/>
          </w:tcPr>
          <w:p>
            <w:pPr>
              <w:pStyle w:val="44"/>
              <w:jc w:val="center"/>
              <w:rPr>
                <w:color w:val="auto"/>
                <w:shd w:val="clear" w:color="auto" w:fill="auto"/>
              </w:rPr>
            </w:pPr>
            <w:r>
              <w:rPr>
                <w:rFonts w:hint="eastAsia"/>
                <w:color w:val="auto"/>
                <w:shd w:val="clear" w:color="auto" w:fill="auto"/>
              </w:rPr>
              <w:t>58963.3</w:t>
            </w:r>
          </w:p>
        </w:tc>
        <w:tc>
          <w:tcPr>
            <w:tcW w:w="1395" w:type="dxa"/>
            <w:vAlign w:val="center"/>
          </w:tcPr>
          <w:p>
            <w:pPr>
              <w:pStyle w:val="44"/>
              <w:jc w:val="center"/>
              <w:rPr>
                <w:color w:val="auto"/>
                <w:shd w:val="clear" w:color="auto" w:fill="auto"/>
              </w:rPr>
            </w:pPr>
            <w:r>
              <w:rPr>
                <w:rFonts w:hint="eastAsia"/>
                <w:color w:val="auto"/>
                <w:shd w:val="clear" w:color="auto" w:fill="auto"/>
              </w:rPr>
              <w:t>59407.04</w:t>
            </w:r>
          </w:p>
        </w:tc>
      </w:tr>
    </w:tbl>
    <w:p>
      <w:pPr>
        <w:pStyle w:val="43"/>
        <w:rPr>
          <w:color w:val="auto"/>
          <w:shd w:val="clear" w:color="auto" w:fill="auto"/>
        </w:rPr>
      </w:pPr>
    </w:p>
    <w:p>
      <w:pPr>
        <w:pStyle w:val="43"/>
        <w:rPr>
          <w:rFonts w:hint="eastAsia" w:ascii="Times New Roman" w:hAnsi="Times New Roman" w:eastAsia="黑体" w:cs="Times New Roman"/>
          <w:color w:val="auto"/>
          <w:kern w:val="2"/>
          <w:sz w:val="21"/>
          <w:szCs w:val="21"/>
          <w:shd w:val="clear" w:color="auto" w:fill="auto"/>
          <w:lang w:val="en-US" w:eastAsia="zh-CN" w:bidi="ar-SA"/>
        </w:rPr>
      </w:pPr>
      <w:r>
        <w:rPr>
          <w:rFonts w:hint="eastAsia" w:ascii="Times New Roman" w:hAnsi="Times New Roman" w:eastAsia="黑体" w:cs="Times New Roman"/>
          <w:color w:val="auto"/>
          <w:kern w:val="2"/>
          <w:sz w:val="21"/>
          <w:szCs w:val="21"/>
          <w:shd w:val="clear" w:color="auto" w:fill="auto"/>
          <w:lang w:val="en-US" w:eastAsia="zh-CN" w:bidi="ar-SA"/>
        </w:rPr>
        <w:t>表5.5-3  事故发生后油膜扩延预测结果（枯水期）</w:t>
      </w:r>
    </w:p>
    <w:tbl>
      <w:tblPr>
        <w:tblStyle w:val="26"/>
        <w:tblW w:w="83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0" w:type="dxa"/>
          <w:bottom w:w="0" w:type="dxa"/>
          <w:right w:w="50" w:type="dxa"/>
        </w:tblCellMar>
      </w:tblPr>
      <w:tblGrid>
        <w:gridCol w:w="1395"/>
        <w:gridCol w:w="1396"/>
        <w:gridCol w:w="1395"/>
        <w:gridCol w:w="1396"/>
        <w:gridCol w:w="1394"/>
        <w:gridCol w:w="13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tblHeader/>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color w:val="auto"/>
                <w:shd w:val="clear" w:color="auto" w:fill="auto"/>
              </w:rPr>
              <w:t>时间</w:t>
            </w:r>
          </w:p>
          <w:p>
            <w:pPr>
              <w:pStyle w:val="44"/>
              <w:jc w:val="center"/>
              <w:rPr>
                <w:color w:val="auto"/>
                <w:shd w:val="clear" w:color="auto" w:fill="auto"/>
              </w:rPr>
            </w:pPr>
            <w:r>
              <w:rPr>
                <w:color w:val="auto"/>
                <w:shd w:val="clear" w:color="auto" w:fill="auto"/>
              </w:rPr>
              <w:t>（</w:t>
            </w:r>
            <w:r>
              <w:rPr>
                <w:rFonts w:hint="eastAsia"/>
                <w:color w:val="auto"/>
                <w:shd w:val="clear" w:color="auto" w:fill="auto"/>
                <w:lang w:eastAsia="zh-CN"/>
              </w:rPr>
              <w:t>m</w:t>
            </w:r>
            <w:r>
              <w:rPr>
                <w:color w:val="auto"/>
                <w:shd w:val="clear" w:color="auto" w:fill="auto"/>
              </w:rPr>
              <w:t>in）</w:t>
            </w:r>
          </w:p>
        </w:tc>
        <w:tc>
          <w:tcPr>
            <w:tcW w:w="1396" w:type="dxa"/>
            <w:vAlign w:val="center"/>
          </w:tcPr>
          <w:p>
            <w:pPr>
              <w:pStyle w:val="44"/>
              <w:jc w:val="center"/>
              <w:rPr>
                <w:color w:val="auto"/>
                <w:shd w:val="clear" w:color="auto" w:fill="auto"/>
              </w:rPr>
            </w:pPr>
            <w:r>
              <w:rPr>
                <w:color w:val="auto"/>
                <w:shd w:val="clear" w:color="auto" w:fill="auto"/>
              </w:rPr>
              <w:t>等效圆直径</w:t>
            </w:r>
          </w:p>
          <w:p>
            <w:pPr>
              <w:pStyle w:val="44"/>
              <w:jc w:val="center"/>
              <w:rPr>
                <w:color w:val="auto"/>
                <w:shd w:val="clear" w:color="auto" w:fill="auto"/>
              </w:rPr>
            </w:pPr>
            <w:r>
              <w:rPr>
                <w:color w:val="auto"/>
                <w:shd w:val="clear" w:color="auto" w:fill="auto"/>
              </w:rPr>
              <w:t>（</w:t>
            </w:r>
            <w:r>
              <w:rPr>
                <w:rFonts w:hint="eastAsia"/>
                <w:color w:val="auto"/>
                <w:shd w:val="clear" w:color="auto" w:fill="auto"/>
                <w:lang w:eastAsia="zh-CN"/>
              </w:rPr>
              <w:t>m</w:t>
            </w:r>
            <w:r>
              <w:rPr>
                <w:color w:val="auto"/>
                <w:shd w:val="clear" w:color="auto" w:fill="auto"/>
              </w:rPr>
              <w:t>）</w:t>
            </w:r>
          </w:p>
        </w:tc>
        <w:tc>
          <w:tcPr>
            <w:tcW w:w="1395" w:type="dxa"/>
            <w:tcMar>
              <w:top w:w="15" w:type="dxa"/>
              <w:left w:w="15" w:type="dxa"/>
              <w:bottom w:w="0" w:type="dxa"/>
              <w:right w:w="15" w:type="dxa"/>
            </w:tcMar>
            <w:vAlign w:val="center"/>
          </w:tcPr>
          <w:p>
            <w:pPr>
              <w:pStyle w:val="44"/>
              <w:jc w:val="center"/>
              <w:rPr>
                <w:color w:val="auto"/>
                <w:shd w:val="clear" w:color="auto" w:fill="auto"/>
              </w:rPr>
            </w:pPr>
            <w:r>
              <w:rPr>
                <w:color w:val="auto"/>
                <w:shd w:val="clear" w:color="auto" w:fill="auto"/>
              </w:rPr>
              <w:t>面积</w:t>
            </w:r>
          </w:p>
          <w:p>
            <w:pPr>
              <w:pStyle w:val="44"/>
              <w:jc w:val="center"/>
              <w:rPr>
                <w:color w:val="auto"/>
                <w:shd w:val="clear" w:color="auto" w:fill="auto"/>
              </w:rPr>
            </w:pPr>
            <w:r>
              <w:rPr>
                <w:color w:val="auto"/>
                <w:shd w:val="clear" w:color="auto" w:fill="auto"/>
              </w:rPr>
              <w:t>（</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2</w:t>
            </w:r>
            <w:r>
              <w:rPr>
                <w:color w:val="auto"/>
                <w:shd w:val="clear" w:color="auto" w:fill="auto"/>
              </w:rPr>
              <w:t>）</w:t>
            </w:r>
          </w:p>
        </w:tc>
        <w:tc>
          <w:tcPr>
            <w:tcW w:w="1396" w:type="dxa"/>
            <w:vAlign w:val="center"/>
          </w:tcPr>
          <w:p>
            <w:pPr>
              <w:pStyle w:val="44"/>
              <w:jc w:val="center"/>
              <w:rPr>
                <w:color w:val="auto"/>
                <w:shd w:val="clear" w:color="auto" w:fill="auto"/>
              </w:rPr>
            </w:pPr>
            <w:r>
              <w:rPr>
                <w:color w:val="auto"/>
                <w:shd w:val="clear" w:color="auto" w:fill="auto"/>
              </w:rPr>
              <w:t>厚度</w:t>
            </w:r>
          </w:p>
          <w:p>
            <w:pPr>
              <w:pStyle w:val="44"/>
              <w:jc w:val="center"/>
              <w:rPr>
                <w:color w:val="auto"/>
                <w:shd w:val="clear" w:color="auto" w:fill="auto"/>
              </w:rPr>
            </w:pPr>
            <w:r>
              <w:rPr>
                <w:color w:val="auto"/>
                <w:shd w:val="clear" w:color="auto" w:fill="auto"/>
              </w:rPr>
              <w:t>（</w:t>
            </w:r>
            <w:r>
              <w:rPr>
                <w:rFonts w:hint="eastAsia"/>
                <w:color w:val="auto"/>
                <w:shd w:val="clear" w:color="auto" w:fill="auto"/>
                <w:lang w:eastAsia="zh-CN"/>
              </w:rPr>
              <w:t>mm</w:t>
            </w:r>
            <w:r>
              <w:rPr>
                <w:color w:val="auto"/>
                <w:shd w:val="clear" w:color="auto" w:fill="auto"/>
              </w:rPr>
              <w:t>）</w:t>
            </w:r>
          </w:p>
        </w:tc>
        <w:tc>
          <w:tcPr>
            <w:tcW w:w="1394" w:type="dxa"/>
            <w:vAlign w:val="center"/>
          </w:tcPr>
          <w:p>
            <w:pPr>
              <w:pStyle w:val="44"/>
              <w:jc w:val="center"/>
              <w:rPr>
                <w:color w:val="auto"/>
                <w:shd w:val="clear" w:color="auto" w:fill="auto"/>
              </w:rPr>
            </w:pPr>
            <w:r>
              <w:rPr>
                <w:color w:val="auto"/>
                <w:shd w:val="clear" w:color="auto" w:fill="auto"/>
              </w:rPr>
              <w:t>油膜中心漂移距离（</w:t>
            </w:r>
            <w:r>
              <w:rPr>
                <w:rFonts w:hint="eastAsia"/>
                <w:color w:val="auto"/>
                <w:shd w:val="clear" w:color="auto" w:fill="auto"/>
                <w:lang w:eastAsia="zh-CN"/>
              </w:rPr>
              <w:t>m</w:t>
            </w:r>
            <w:r>
              <w:rPr>
                <w:color w:val="auto"/>
                <w:shd w:val="clear" w:color="auto" w:fill="auto"/>
              </w:rPr>
              <w:t>）</w:t>
            </w:r>
          </w:p>
        </w:tc>
        <w:tc>
          <w:tcPr>
            <w:tcW w:w="1395" w:type="dxa"/>
            <w:vAlign w:val="center"/>
          </w:tcPr>
          <w:p>
            <w:pPr>
              <w:pStyle w:val="44"/>
              <w:jc w:val="center"/>
              <w:rPr>
                <w:color w:val="auto"/>
                <w:shd w:val="clear" w:color="auto" w:fill="auto"/>
              </w:rPr>
            </w:pPr>
            <w:r>
              <w:rPr>
                <w:color w:val="auto"/>
                <w:shd w:val="clear" w:color="auto" w:fill="auto"/>
              </w:rPr>
              <w:t>油膜前端漂移距离（</w:t>
            </w:r>
            <w:r>
              <w:rPr>
                <w:rFonts w:hint="eastAsia"/>
                <w:color w:val="auto"/>
                <w:shd w:val="clear" w:color="auto" w:fill="auto"/>
                <w:lang w:eastAsia="zh-CN"/>
              </w:rPr>
              <w:t>m</w:t>
            </w:r>
            <w:r>
              <w:rPr>
                <w:color w:val="auto"/>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color w:val="auto"/>
                <w:shd w:val="clear" w:color="auto" w:fill="auto"/>
              </w:rPr>
              <w:t>1</w:t>
            </w:r>
          </w:p>
        </w:tc>
        <w:tc>
          <w:tcPr>
            <w:tcW w:w="1396" w:type="dxa"/>
            <w:vAlign w:val="center"/>
          </w:tcPr>
          <w:p>
            <w:pPr>
              <w:pStyle w:val="44"/>
              <w:jc w:val="center"/>
              <w:rPr>
                <w:color w:val="auto"/>
                <w:shd w:val="clear" w:color="auto" w:fill="auto"/>
              </w:rPr>
            </w:pPr>
            <w:r>
              <w:rPr>
                <w:rFonts w:hint="eastAsia"/>
                <w:color w:val="auto"/>
                <w:shd w:val="clear" w:color="auto" w:fill="auto"/>
              </w:rPr>
              <w:t>33.69</w:t>
            </w:r>
          </w:p>
        </w:tc>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891.70</w:t>
            </w:r>
          </w:p>
        </w:tc>
        <w:tc>
          <w:tcPr>
            <w:tcW w:w="1396" w:type="dxa"/>
            <w:vAlign w:val="center"/>
          </w:tcPr>
          <w:p>
            <w:pPr>
              <w:pStyle w:val="44"/>
              <w:jc w:val="center"/>
              <w:rPr>
                <w:color w:val="auto"/>
                <w:shd w:val="clear" w:color="auto" w:fill="auto"/>
              </w:rPr>
            </w:pPr>
            <w:r>
              <w:rPr>
                <w:rFonts w:hint="eastAsia"/>
                <w:color w:val="auto"/>
                <w:shd w:val="clear" w:color="auto" w:fill="auto"/>
              </w:rPr>
              <w:t>1.274</w:t>
            </w:r>
          </w:p>
        </w:tc>
        <w:tc>
          <w:tcPr>
            <w:tcW w:w="1394" w:type="dxa"/>
            <w:vAlign w:val="center"/>
          </w:tcPr>
          <w:p>
            <w:pPr>
              <w:pStyle w:val="44"/>
              <w:jc w:val="center"/>
              <w:rPr>
                <w:color w:val="auto"/>
                <w:shd w:val="clear" w:color="auto" w:fill="auto"/>
              </w:rPr>
            </w:pPr>
            <w:r>
              <w:rPr>
                <w:rFonts w:hint="eastAsia"/>
                <w:color w:val="auto"/>
                <w:shd w:val="clear" w:color="auto" w:fill="auto"/>
              </w:rPr>
              <w:t>50.4</w:t>
            </w:r>
          </w:p>
        </w:tc>
        <w:tc>
          <w:tcPr>
            <w:tcW w:w="1395" w:type="dxa"/>
            <w:vAlign w:val="center"/>
          </w:tcPr>
          <w:p>
            <w:pPr>
              <w:pStyle w:val="44"/>
              <w:jc w:val="center"/>
              <w:rPr>
                <w:color w:val="auto"/>
                <w:shd w:val="clear" w:color="auto" w:fill="auto"/>
              </w:rPr>
            </w:pPr>
            <w:r>
              <w:rPr>
                <w:rFonts w:hint="eastAsia"/>
                <w:color w:val="auto"/>
                <w:shd w:val="clear" w:color="auto" w:fill="auto"/>
              </w:rPr>
              <w:t>67.25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color w:val="auto"/>
                <w:shd w:val="clear" w:color="auto" w:fill="auto"/>
              </w:rPr>
              <w:t>2</w:t>
            </w:r>
          </w:p>
        </w:tc>
        <w:tc>
          <w:tcPr>
            <w:tcW w:w="1396" w:type="dxa"/>
            <w:vAlign w:val="center"/>
          </w:tcPr>
          <w:p>
            <w:pPr>
              <w:pStyle w:val="44"/>
              <w:jc w:val="center"/>
              <w:rPr>
                <w:color w:val="auto"/>
                <w:shd w:val="clear" w:color="auto" w:fill="auto"/>
              </w:rPr>
            </w:pPr>
            <w:r>
              <w:rPr>
                <w:rFonts w:hint="eastAsia"/>
                <w:color w:val="auto"/>
                <w:shd w:val="clear" w:color="auto" w:fill="auto"/>
              </w:rPr>
              <w:t>47.65</w:t>
            </w:r>
          </w:p>
        </w:tc>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1783.40</w:t>
            </w:r>
          </w:p>
        </w:tc>
        <w:tc>
          <w:tcPr>
            <w:tcW w:w="1396" w:type="dxa"/>
            <w:vAlign w:val="center"/>
          </w:tcPr>
          <w:p>
            <w:pPr>
              <w:pStyle w:val="44"/>
              <w:jc w:val="center"/>
              <w:rPr>
                <w:color w:val="auto"/>
                <w:shd w:val="clear" w:color="auto" w:fill="auto"/>
              </w:rPr>
            </w:pPr>
            <w:r>
              <w:rPr>
                <w:rFonts w:hint="eastAsia"/>
                <w:color w:val="auto"/>
                <w:shd w:val="clear" w:color="auto" w:fill="auto"/>
              </w:rPr>
              <w:t>0.637</w:t>
            </w:r>
          </w:p>
        </w:tc>
        <w:tc>
          <w:tcPr>
            <w:tcW w:w="1394" w:type="dxa"/>
            <w:vAlign w:val="center"/>
          </w:tcPr>
          <w:p>
            <w:pPr>
              <w:pStyle w:val="44"/>
              <w:jc w:val="center"/>
              <w:rPr>
                <w:color w:val="auto"/>
                <w:shd w:val="clear" w:color="auto" w:fill="auto"/>
              </w:rPr>
            </w:pPr>
            <w:r>
              <w:rPr>
                <w:rFonts w:hint="eastAsia"/>
                <w:color w:val="auto"/>
                <w:shd w:val="clear" w:color="auto" w:fill="auto"/>
              </w:rPr>
              <w:t>100.8</w:t>
            </w:r>
          </w:p>
        </w:tc>
        <w:tc>
          <w:tcPr>
            <w:tcW w:w="1395" w:type="dxa"/>
            <w:vAlign w:val="center"/>
          </w:tcPr>
          <w:p>
            <w:pPr>
              <w:pStyle w:val="44"/>
              <w:jc w:val="center"/>
              <w:rPr>
                <w:color w:val="auto"/>
                <w:shd w:val="clear" w:color="auto" w:fill="auto"/>
              </w:rPr>
            </w:pPr>
            <w:r>
              <w:rPr>
                <w:rFonts w:hint="eastAsia"/>
                <w:color w:val="auto"/>
                <w:shd w:val="clear" w:color="auto" w:fill="auto"/>
              </w:rPr>
              <w:t>124.63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color w:val="auto"/>
                <w:shd w:val="clear" w:color="auto" w:fill="auto"/>
              </w:rPr>
              <w:t>4</w:t>
            </w:r>
          </w:p>
        </w:tc>
        <w:tc>
          <w:tcPr>
            <w:tcW w:w="1396" w:type="dxa"/>
            <w:vAlign w:val="center"/>
          </w:tcPr>
          <w:p>
            <w:pPr>
              <w:pStyle w:val="44"/>
              <w:jc w:val="center"/>
              <w:rPr>
                <w:color w:val="auto"/>
                <w:shd w:val="clear" w:color="auto" w:fill="auto"/>
              </w:rPr>
            </w:pPr>
            <w:r>
              <w:rPr>
                <w:rFonts w:hint="eastAsia"/>
                <w:color w:val="auto"/>
                <w:shd w:val="clear" w:color="auto" w:fill="auto"/>
              </w:rPr>
              <w:t>67.39</w:t>
            </w:r>
          </w:p>
        </w:tc>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3566.81</w:t>
            </w:r>
          </w:p>
        </w:tc>
        <w:tc>
          <w:tcPr>
            <w:tcW w:w="1396" w:type="dxa"/>
            <w:vAlign w:val="center"/>
          </w:tcPr>
          <w:p>
            <w:pPr>
              <w:pStyle w:val="44"/>
              <w:jc w:val="center"/>
              <w:rPr>
                <w:color w:val="auto"/>
                <w:shd w:val="clear" w:color="auto" w:fill="auto"/>
              </w:rPr>
            </w:pPr>
            <w:r>
              <w:rPr>
                <w:rFonts w:hint="eastAsia"/>
                <w:color w:val="auto"/>
                <w:shd w:val="clear" w:color="auto" w:fill="auto"/>
              </w:rPr>
              <w:t>0.318</w:t>
            </w:r>
          </w:p>
        </w:tc>
        <w:tc>
          <w:tcPr>
            <w:tcW w:w="1394" w:type="dxa"/>
            <w:vAlign w:val="center"/>
          </w:tcPr>
          <w:p>
            <w:pPr>
              <w:pStyle w:val="44"/>
              <w:jc w:val="center"/>
              <w:rPr>
                <w:color w:val="auto"/>
                <w:shd w:val="clear" w:color="auto" w:fill="auto"/>
              </w:rPr>
            </w:pPr>
            <w:r>
              <w:rPr>
                <w:rFonts w:hint="eastAsia"/>
                <w:color w:val="auto"/>
                <w:shd w:val="clear" w:color="auto" w:fill="auto"/>
              </w:rPr>
              <w:t>201.6</w:t>
            </w:r>
          </w:p>
        </w:tc>
        <w:tc>
          <w:tcPr>
            <w:tcW w:w="1395" w:type="dxa"/>
            <w:vAlign w:val="center"/>
          </w:tcPr>
          <w:p>
            <w:pPr>
              <w:pStyle w:val="44"/>
              <w:jc w:val="center"/>
              <w:rPr>
                <w:color w:val="auto"/>
                <w:shd w:val="clear" w:color="auto" w:fill="auto"/>
              </w:rPr>
            </w:pPr>
            <w:r>
              <w:rPr>
                <w:rFonts w:hint="eastAsia"/>
                <w:color w:val="auto"/>
                <w:shd w:val="clear" w:color="auto" w:fill="auto"/>
              </w:rPr>
              <w:t>235.29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color w:val="auto"/>
                <w:shd w:val="clear" w:color="auto" w:fill="auto"/>
              </w:rPr>
              <w:t>6</w:t>
            </w:r>
          </w:p>
        </w:tc>
        <w:tc>
          <w:tcPr>
            <w:tcW w:w="1396" w:type="dxa"/>
            <w:vAlign w:val="center"/>
          </w:tcPr>
          <w:p>
            <w:pPr>
              <w:pStyle w:val="44"/>
              <w:jc w:val="center"/>
              <w:rPr>
                <w:color w:val="auto"/>
                <w:shd w:val="clear" w:color="auto" w:fill="auto"/>
              </w:rPr>
            </w:pPr>
            <w:r>
              <w:rPr>
                <w:rFonts w:hint="eastAsia"/>
                <w:color w:val="auto"/>
                <w:shd w:val="clear" w:color="auto" w:fill="auto"/>
              </w:rPr>
              <w:t>82.54</w:t>
            </w:r>
          </w:p>
        </w:tc>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5350.21</w:t>
            </w:r>
          </w:p>
        </w:tc>
        <w:tc>
          <w:tcPr>
            <w:tcW w:w="1396" w:type="dxa"/>
            <w:vAlign w:val="center"/>
          </w:tcPr>
          <w:p>
            <w:pPr>
              <w:pStyle w:val="44"/>
              <w:jc w:val="center"/>
              <w:rPr>
                <w:color w:val="auto"/>
                <w:shd w:val="clear" w:color="auto" w:fill="auto"/>
              </w:rPr>
            </w:pPr>
            <w:r>
              <w:rPr>
                <w:rFonts w:hint="eastAsia"/>
                <w:color w:val="auto"/>
                <w:shd w:val="clear" w:color="auto" w:fill="auto"/>
              </w:rPr>
              <w:t>0.212</w:t>
            </w:r>
          </w:p>
        </w:tc>
        <w:tc>
          <w:tcPr>
            <w:tcW w:w="1394" w:type="dxa"/>
            <w:vAlign w:val="center"/>
          </w:tcPr>
          <w:p>
            <w:pPr>
              <w:pStyle w:val="44"/>
              <w:jc w:val="center"/>
              <w:rPr>
                <w:color w:val="auto"/>
                <w:shd w:val="clear" w:color="auto" w:fill="auto"/>
              </w:rPr>
            </w:pPr>
            <w:r>
              <w:rPr>
                <w:rFonts w:hint="eastAsia"/>
                <w:color w:val="auto"/>
                <w:shd w:val="clear" w:color="auto" w:fill="auto"/>
              </w:rPr>
              <w:t>302.4</w:t>
            </w:r>
          </w:p>
        </w:tc>
        <w:tc>
          <w:tcPr>
            <w:tcW w:w="1395" w:type="dxa"/>
            <w:vAlign w:val="center"/>
          </w:tcPr>
          <w:p>
            <w:pPr>
              <w:pStyle w:val="44"/>
              <w:jc w:val="center"/>
              <w:rPr>
                <w:color w:val="auto"/>
                <w:shd w:val="clear" w:color="auto" w:fill="auto"/>
              </w:rPr>
            </w:pPr>
            <w:r>
              <w:rPr>
                <w:rFonts w:hint="eastAsia"/>
                <w:color w:val="auto"/>
                <w:shd w:val="clear" w:color="auto" w:fill="auto"/>
              </w:rPr>
              <w:t>343.67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color w:val="auto"/>
                <w:shd w:val="clear" w:color="auto" w:fill="auto"/>
              </w:rPr>
              <w:t>8</w:t>
            </w:r>
          </w:p>
        </w:tc>
        <w:tc>
          <w:tcPr>
            <w:tcW w:w="1396" w:type="dxa"/>
            <w:vAlign w:val="center"/>
          </w:tcPr>
          <w:p>
            <w:pPr>
              <w:pStyle w:val="44"/>
              <w:jc w:val="center"/>
              <w:rPr>
                <w:color w:val="auto"/>
                <w:shd w:val="clear" w:color="auto" w:fill="auto"/>
              </w:rPr>
            </w:pPr>
            <w:r>
              <w:rPr>
                <w:rFonts w:hint="eastAsia"/>
                <w:color w:val="auto"/>
                <w:shd w:val="clear" w:color="auto" w:fill="auto"/>
              </w:rPr>
              <w:t>95.30</w:t>
            </w:r>
          </w:p>
        </w:tc>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7133.61</w:t>
            </w:r>
          </w:p>
        </w:tc>
        <w:tc>
          <w:tcPr>
            <w:tcW w:w="1396" w:type="dxa"/>
            <w:vAlign w:val="center"/>
          </w:tcPr>
          <w:p>
            <w:pPr>
              <w:pStyle w:val="44"/>
              <w:jc w:val="center"/>
              <w:rPr>
                <w:color w:val="auto"/>
                <w:shd w:val="clear" w:color="auto" w:fill="auto"/>
              </w:rPr>
            </w:pPr>
            <w:r>
              <w:rPr>
                <w:rFonts w:hint="eastAsia"/>
                <w:color w:val="auto"/>
                <w:shd w:val="clear" w:color="auto" w:fill="auto"/>
              </w:rPr>
              <w:t>0.159</w:t>
            </w:r>
          </w:p>
        </w:tc>
        <w:tc>
          <w:tcPr>
            <w:tcW w:w="1394" w:type="dxa"/>
            <w:vAlign w:val="center"/>
          </w:tcPr>
          <w:p>
            <w:pPr>
              <w:pStyle w:val="44"/>
              <w:jc w:val="center"/>
              <w:rPr>
                <w:color w:val="auto"/>
                <w:shd w:val="clear" w:color="auto" w:fill="auto"/>
              </w:rPr>
            </w:pPr>
            <w:r>
              <w:rPr>
                <w:rFonts w:hint="eastAsia"/>
                <w:color w:val="auto"/>
                <w:shd w:val="clear" w:color="auto" w:fill="auto"/>
              </w:rPr>
              <w:t>403.2</w:t>
            </w:r>
          </w:p>
        </w:tc>
        <w:tc>
          <w:tcPr>
            <w:tcW w:w="1395" w:type="dxa"/>
            <w:vAlign w:val="center"/>
          </w:tcPr>
          <w:p>
            <w:pPr>
              <w:pStyle w:val="44"/>
              <w:jc w:val="center"/>
              <w:rPr>
                <w:color w:val="auto"/>
                <w:shd w:val="clear" w:color="auto" w:fill="auto"/>
              </w:rPr>
            </w:pPr>
            <w:r>
              <w:rPr>
                <w:rFonts w:hint="eastAsia"/>
                <w:color w:val="auto"/>
                <w:shd w:val="clear" w:color="auto" w:fill="auto"/>
              </w:rPr>
              <w:t>450.85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9.34</w:t>
            </w:r>
            <w:r>
              <w:rPr>
                <w:rFonts w:hint="eastAsia"/>
                <w:color w:val="auto"/>
                <w:shd w:val="clear" w:color="auto" w:fill="auto"/>
                <w:lang w:eastAsia="zh-CN"/>
              </w:rPr>
              <w:t>（惯性扩展与粘性扩展分界时间）</w:t>
            </w:r>
          </w:p>
        </w:tc>
        <w:tc>
          <w:tcPr>
            <w:tcW w:w="1396" w:type="dxa"/>
            <w:vAlign w:val="center"/>
          </w:tcPr>
          <w:p>
            <w:pPr>
              <w:pStyle w:val="44"/>
              <w:jc w:val="center"/>
              <w:rPr>
                <w:color w:val="auto"/>
                <w:shd w:val="clear" w:color="auto" w:fill="auto"/>
              </w:rPr>
            </w:pPr>
            <w:r>
              <w:rPr>
                <w:rFonts w:hint="eastAsia"/>
                <w:color w:val="auto"/>
                <w:shd w:val="clear" w:color="auto" w:fill="auto"/>
              </w:rPr>
              <w:t>103.00</w:t>
            </w:r>
          </w:p>
        </w:tc>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8332.80</w:t>
            </w:r>
          </w:p>
        </w:tc>
        <w:tc>
          <w:tcPr>
            <w:tcW w:w="1396" w:type="dxa"/>
            <w:vAlign w:val="center"/>
          </w:tcPr>
          <w:p>
            <w:pPr>
              <w:pStyle w:val="44"/>
              <w:jc w:val="center"/>
              <w:rPr>
                <w:color w:val="auto"/>
                <w:shd w:val="clear" w:color="auto" w:fill="auto"/>
              </w:rPr>
            </w:pPr>
            <w:r>
              <w:rPr>
                <w:rFonts w:hint="eastAsia"/>
                <w:color w:val="auto"/>
                <w:shd w:val="clear" w:color="auto" w:fill="auto"/>
              </w:rPr>
              <w:t>0.136</w:t>
            </w:r>
          </w:p>
        </w:tc>
        <w:tc>
          <w:tcPr>
            <w:tcW w:w="1394" w:type="dxa"/>
            <w:vAlign w:val="center"/>
          </w:tcPr>
          <w:p>
            <w:pPr>
              <w:pStyle w:val="44"/>
              <w:jc w:val="center"/>
              <w:rPr>
                <w:color w:val="auto"/>
                <w:shd w:val="clear" w:color="auto" w:fill="auto"/>
              </w:rPr>
            </w:pPr>
            <w:r>
              <w:rPr>
                <w:rFonts w:hint="eastAsia"/>
                <w:color w:val="auto"/>
                <w:shd w:val="clear" w:color="auto" w:fill="auto"/>
              </w:rPr>
              <w:t>470.98</w:t>
            </w:r>
          </w:p>
        </w:tc>
        <w:tc>
          <w:tcPr>
            <w:tcW w:w="1395" w:type="dxa"/>
            <w:vAlign w:val="center"/>
          </w:tcPr>
          <w:p>
            <w:pPr>
              <w:pStyle w:val="44"/>
              <w:jc w:val="center"/>
              <w:rPr>
                <w:color w:val="auto"/>
                <w:shd w:val="clear" w:color="auto" w:fill="auto"/>
              </w:rPr>
            </w:pPr>
            <w:r>
              <w:rPr>
                <w:rFonts w:hint="eastAsia"/>
                <w:color w:val="auto"/>
                <w:shd w:val="clear" w:color="auto" w:fill="auto"/>
              </w:rPr>
              <w:t>522.48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12</w:t>
            </w:r>
          </w:p>
        </w:tc>
        <w:tc>
          <w:tcPr>
            <w:tcW w:w="1396" w:type="dxa"/>
            <w:vAlign w:val="center"/>
          </w:tcPr>
          <w:p>
            <w:pPr>
              <w:pStyle w:val="44"/>
              <w:jc w:val="center"/>
              <w:rPr>
                <w:color w:val="auto"/>
                <w:shd w:val="clear" w:color="auto" w:fill="auto"/>
              </w:rPr>
            </w:pPr>
            <w:r>
              <w:rPr>
                <w:rFonts w:hint="eastAsia"/>
                <w:color w:val="auto"/>
                <w:shd w:val="clear" w:color="auto" w:fill="auto"/>
              </w:rPr>
              <w:t>109.65</w:t>
            </w:r>
          </w:p>
        </w:tc>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9442.77</w:t>
            </w:r>
          </w:p>
        </w:tc>
        <w:tc>
          <w:tcPr>
            <w:tcW w:w="1396" w:type="dxa"/>
            <w:vAlign w:val="center"/>
          </w:tcPr>
          <w:p>
            <w:pPr>
              <w:pStyle w:val="44"/>
              <w:jc w:val="center"/>
              <w:rPr>
                <w:color w:val="auto"/>
                <w:shd w:val="clear" w:color="auto" w:fill="auto"/>
              </w:rPr>
            </w:pPr>
            <w:r>
              <w:rPr>
                <w:rFonts w:hint="eastAsia"/>
                <w:color w:val="auto"/>
                <w:shd w:val="clear" w:color="auto" w:fill="auto"/>
              </w:rPr>
              <w:t>0.120</w:t>
            </w:r>
          </w:p>
        </w:tc>
        <w:tc>
          <w:tcPr>
            <w:tcW w:w="1394" w:type="dxa"/>
            <w:vAlign w:val="center"/>
          </w:tcPr>
          <w:p>
            <w:pPr>
              <w:pStyle w:val="44"/>
              <w:jc w:val="center"/>
              <w:rPr>
                <w:color w:val="auto"/>
                <w:shd w:val="clear" w:color="auto" w:fill="auto"/>
              </w:rPr>
            </w:pPr>
            <w:r>
              <w:rPr>
                <w:rFonts w:hint="eastAsia"/>
                <w:color w:val="auto"/>
                <w:shd w:val="clear" w:color="auto" w:fill="auto"/>
              </w:rPr>
              <w:t>604.80</w:t>
            </w:r>
          </w:p>
        </w:tc>
        <w:tc>
          <w:tcPr>
            <w:tcW w:w="1395" w:type="dxa"/>
            <w:vAlign w:val="center"/>
          </w:tcPr>
          <w:p>
            <w:pPr>
              <w:pStyle w:val="44"/>
              <w:jc w:val="center"/>
              <w:rPr>
                <w:color w:val="auto"/>
                <w:shd w:val="clear" w:color="auto" w:fill="auto"/>
              </w:rPr>
            </w:pPr>
            <w:r>
              <w:rPr>
                <w:rFonts w:hint="eastAsia"/>
                <w:color w:val="auto"/>
                <w:shd w:val="clear" w:color="auto" w:fill="auto"/>
              </w:rPr>
              <w:t>659.62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24.39</w:t>
            </w:r>
            <w:r>
              <w:rPr>
                <w:rFonts w:hint="eastAsia"/>
                <w:color w:val="auto"/>
                <w:shd w:val="clear" w:color="auto" w:fill="auto"/>
                <w:lang w:eastAsia="zh-CN"/>
              </w:rPr>
              <w:t>（粘性扩展与表面张力扩展分界时间）</w:t>
            </w:r>
          </w:p>
        </w:tc>
        <w:tc>
          <w:tcPr>
            <w:tcW w:w="1396" w:type="dxa"/>
            <w:vAlign w:val="center"/>
          </w:tcPr>
          <w:p>
            <w:pPr>
              <w:pStyle w:val="44"/>
              <w:jc w:val="center"/>
              <w:rPr>
                <w:color w:val="auto"/>
                <w:shd w:val="clear" w:color="auto" w:fill="auto"/>
              </w:rPr>
            </w:pPr>
            <w:r>
              <w:rPr>
                <w:rFonts w:hint="eastAsia"/>
                <w:color w:val="auto"/>
                <w:shd w:val="clear" w:color="auto" w:fill="auto"/>
              </w:rPr>
              <w:t>130.93</w:t>
            </w:r>
          </w:p>
        </w:tc>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13463.30</w:t>
            </w:r>
          </w:p>
        </w:tc>
        <w:tc>
          <w:tcPr>
            <w:tcW w:w="1396" w:type="dxa"/>
            <w:vAlign w:val="center"/>
          </w:tcPr>
          <w:p>
            <w:pPr>
              <w:pStyle w:val="44"/>
              <w:jc w:val="center"/>
              <w:rPr>
                <w:color w:val="auto"/>
                <w:shd w:val="clear" w:color="auto" w:fill="auto"/>
              </w:rPr>
            </w:pPr>
            <w:r>
              <w:rPr>
                <w:rFonts w:hint="eastAsia"/>
                <w:color w:val="auto"/>
                <w:shd w:val="clear" w:color="auto" w:fill="auto"/>
              </w:rPr>
              <w:t>0.084</w:t>
            </w:r>
          </w:p>
        </w:tc>
        <w:tc>
          <w:tcPr>
            <w:tcW w:w="1394" w:type="dxa"/>
            <w:vAlign w:val="center"/>
          </w:tcPr>
          <w:p>
            <w:pPr>
              <w:pStyle w:val="44"/>
              <w:jc w:val="center"/>
              <w:rPr>
                <w:color w:val="auto"/>
                <w:shd w:val="clear" w:color="auto" w:fill="auto"/>
              </w:rPr>
            </w:pPr>
            <w:r>
              <w:rPr>
                <w:rFonts w:hint="eastAsia"/>
                <w:color w:val="auto"/>
                <w:shd w:val="clear" w:color="auto" w:fill="auto"/>
              </w:rPr>
              <w:t>1229.47</w:t>
            </w:r>
          </w:p>
        </w:tc>
        <w:tc>
          <w:tcPr>
            <w:tcW w:w="1395" w:type="dxa"/>
            <w:vAlign w:val="center"/>
          </w:tcPr>
          <w:p>
            <w:pPr>
              <w:pStyle w:val="44"/>
              <w:jc w:val="center"/>
              <w:rPr>
                <w:color w:val="auto"/>
                <w:shd w:val="clear" w:color="auto" w:fill="auto"/>
              </w:rPr>
            </w:pPr>
            <w:r>
              <w:rPr>
                <w:rFonts w:hint="eastAsia"/>
                <w:color w:val="auto"/>
                <w:shd w:val="clear" w:color="auto" w:fill="auto"/>
              </w:rPr>
              <w:t>1294.93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50</w:t>
            </w:r>
          </w:p>
        </w:tc>
        <w:tc>
          <w:tcPr>
            <w:tcW w:w="1396" w:type="dxa"/>
            <w:vAlign w:val="center"/>
          </w:tcPr>
          <w:p>
            <w:pPr>
              <w:pStyle w:val="44"/>
              <w:jc w:val="center"/>
              <w:rPr>
                <w:color w:val="auto"/>
                <w:shd w:val="clear" w:color="auto" w:fill="auto"/>
              </w:rPr>
            </w:pPr>
            <w:r>
              <w:rPr>
                <w:rFonts w:hint="eastAsia"/>
                <w:color w:val="auto"/>
                <w:shd w:val="clear" w:color="auto" w:fill="auto"/>
              </w:rPr>
              <w:t>224.28</w:t>
            </w:r>
          </w:p>
        </w:tc>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39507.31</w:t>
            </w:r>
          </w:p>
        </w:tc>
        <w:tc>
          <w:tcPr>
            <w:tcW w:w="1396" w:type="dxa"/>
            <w:vAlign w:val="center"/>
          </w:tcPr>
          <w:p>
            <w:pPr>
              <w:pStyle w:val="44"/>
              <w:jc w:val="center"/>
              <w:rPr>
                <w:color w:val="auto"/>
                <w:shd w:val="clear" w:color="auto" w:fill="auto"/>
              </w:rPr>
            </w:pPr>
            <w:r>
              <w:rPr>
                <w:rFonts w:hint="eastAsia"/>
                <w:color w:val="auto"/>
                <w:shd w:val="clear" w:color="auto" w:fill="auto"/>
              </w:rPr>
              <w:t>0.029</w:t>
            </w:r>
          </w:p>
        </w:tc>
        <w:tc>
          <w:tcPr>
            <w:tcW w:w="1394" w:type="dxa"/>
            <w:vAlign w:val="center"/>
          </w:tcPr>
          <w:p>
            <w:pPr>
              <w:pStyle w:val="44"/>
              <w:jc w:val="center"/>
              <w:rPr>
                <w:color w:val="auto"/>
                <w:shd w:val="clear" w:color="auto" w:fill="auto"/>
              </w:rPr>
            </w:pPr>
            <w:r>
              <w:rPr>
                <w:rFonts w:hint="eastAsia"/>
                <w:color w:val="auto"/>
                <w:shd w:val="clear" w:color="auto" w:fill="auto"/>
              </w:rPr>
              <w:t>2520.00</w:t>
            </w:r>
          </w:p>
        </w:tc>
        <w:tc>
          <w:tcPr>
            <w:tcW w:w="1395" w:type="dxa"/>
            <w:vAlign w:val="center"/>
          </w:tcPr>
          <w:p>
            <w:pPr>
              <w:pStyle w:val="44"/>
              <w:jc w:val="center"/>
              <w:rPr>
                <w:color w:val="auto"/>
                <w:shd w:val="clear" w:color="auto" w:fill="auto"/>
              </w:rPr>
            </w:pPr>
            <w:r>
              <w:rPr>
                <w:rFonts w:hint="eastAsia"/>
                <w:color w:val="auto"/>
                <w:shd w:val="clear" w:color="auto" w:fill="auto"/>
              </w:rPr>
              <w:t>2632.14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120</w:t>
            </w:r>
          </w:p>
        </w:tc>
        <w:tc>
          <w:tcPr>
            <w:tcW w:w="1396" w:type="dxa"/>
            <w:vAlign w:val="center"/>
          </w:tcPr>
          <w:p>
            <w:pPr>
              <w:pStyle w:val="44"/>
              <w:jc w:val="center"/>
              <w:rPr>
                <w:color w:val="auto"/>
                <w:shd w:val="clear" w:color="auto" w:fill="auto"/>
              </w:rPr>
            </w:pPr>
            <w:r>
              <w:rPr>
                <w:rFonts w:hint="eastAsia"/>
                <w:color w:val="auto"/>
                <w:shd w:val="clear" w:color="auto" w:fill="auto"/>
              </w:rPr>
              <w:t>432.47</w:t>
            </w:r>
          </w:p>
        </w:tc>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146890.69</w:t>
            </w:r>
          </w:p>
        </w:tc>
        <w:tc>
          <w:tcPr>
            <w:tcW w:w="1396" w:type="dxa"/>
            <w:vAlign w:val="center"/>
          </w:tcPr>
          <w:p>
            <w:pPr>
              <w:pStyle w:val="44"/>
              <w:jc w:val="center"/>
              <w:rPr>
                <w:color w:val="auto"/>
                <w:shd w:val="clear" w:color="auto" w:fill="auto"/>
              </w:rPr>
            </w:pPr>
            <w:r>
              <w:rPr>
                <w:rFonts w:hint="eastAsia"/>
                <w:color w:val="auto"/>
                <w:shd w:val="clear" w:color="auto" w:fill="auto"/>
              </w:rPr>
              <w:t>0.008</w:t>
            </w:r>
          </w:p>
        </w:tc>
        <w:tc>
          <w:tcPr>
            <w:tcW w:w="1394" w:type="dxa"/>
            <w:vAlign w:val="center"/>
          </w:tcPr>
          <w:p>
            <w:pPr>
              <w:pStyle w:val="44"/>
              <w:jc w:val="center"/>
              <w:rPr>
                <w:color w:val="auto"/>
                <w:shd w:val="clear" w:color="auto" w:fill="auto"/>
              </w:rPr>
            </w:pPr>
            <w:r>
              <w:rPr>
                <w:rFonts w:hint="eastAsia"/>
                <w:color w:val="auto"/>
                <w:shd w:val="clear" w:color="auto" w:fill="auto"/>
              </w:rPr>
              <w:t>6048.00</w:t>
            </w:r>
          </w:p>
        </w:tc>
        <w:tc>
          <w:tcPr>
            <w:tcW w:w="1395" w:type="dxa"/>
            <w:vAlign w:val="center"/>
          </w:tcPr>
          <w:p>
            <w:pPr>
              <w:pStyle w:val="44"/>
              <w:jc w:val="center"/>
              <w:rPr>
                <w:color w:val="auto"/>
                <w:shd w:val="clear" w:color="auto" w:fill="auto"/>
              </w:rPr>
            </w:pPr>
            <w:r>
              <w:rPr>
                <w:rFonts w:hint="eastAsia"/>
                <w:color w:val="auto"/>
                <w:shd w:val="clear" w:color="auto" w:fill="auto"/>
              </w:rPr>
              <w:t>6264.23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0" w:type="dxa"/>
            <w:bottom w:w="0" w:type="dxa"/>
            <w:right w:w="50" w:type="dxa"/>
          </w:tblCellMar>
        </w:tblPrEx>
        <w:trPr>
          <w:trHeight w:val="340" w:hRule="atLeast"/>
          <w:jc w:val="center"/>
        </w:trPr>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312.97</w:t>
            </w:r>
            <w:r>
              <w:rPr>
                <w:rFonts w:hint="eastAsia"/>
                <w:color w:val="auto"/>
                <w:shd w:val="clear" w:color="auto" w:fill="auto"/>
                <w:lang w:eastAsia="zh-CN"/>
              </w:rPr>
              <w:t>（扩展结束时间）</w:t>
            </w:r>
          </w:p>
        </w:tc>
        <w:tc>
          <w:tcPr>
            <w:tcW w:w="1396" w:type="dxa"/>
            <w:vAlign w:val="center"/>
          </w:tcPr>
          <w:p>
            <w:pPr>
              <w:pStyle w:val="44"/>
              <w:jc w:val="center"/>
              <w:rPr>
                <w:color w:val="auto"/>
                <w:shd w:val="clear" w:color="auto" w:fill="auto"/>
              </w:rPr>
            </w:pPr>
            <w:r>
              <w:rPr>
                <w:rFonts w:hint="eastAsia"/>
                <w:color w:val="auto"/>
                <w:shd w:val="clear" w:color="auto" w:fill="auto"/>
              </w:rPr>
              <w:t>887.55</w:t>
            </w:r>
          </w:p>
        </w:tc>
        <w:tc>
          <w:tcPr>
            <w:tcW w:w="1395" w:type="dxa"/>
            <w:tcMar>
              <w:top w:w="15" w:type="dxa"/>
              <w:left w:w="15" w:type="dxa"/>
              <w:bottom w:w="0" w:type="dxa"/>
              <w:right w:w="15" w:type="dxa"/>
            </w:tcMar>
            <w:vAlign w:val="center"/>
          </w:tcPr>
          <w:p>
            <w:pPr>
              <w:pStyle w:val="44"/>
              <w:jc w:val="center"/>
              <w:rPr>
                <w:color w:val="auto"/>
                <w:shd w:val="clear" w:color="auto" w:fill="auto"/>
              </w:rPr>
            </w:pPr>
            <w:r>
              <w:rPr>
                <w:rFonts w:hint="eastAsia"/>
                <w:color w:val="auto"/>
                <w:shd w:val="clear" w:color="auto" w:fill="auto"/>
              </w:rPr>
              <w:t>618690.30</w:t>
            </w:r>
          </w:p>
        </w:tc>
        <w:tc>
          <w:tcPr>
            <w:tcW w:w="1396" w:type="dxa"/>
            <w:vAlign w:val="center"/>
          </w:tcPr>
          <w:p>
            <w:pPr>
              <w:pStyle w:val="44"/>
              <w:jc w:val="center"/>
              <w:rPr>
                <w:color w:val="auto"/>
                <w:shd w:val="clear" w:color="auto" w:fill="auto"/>
              </w:rPr>
            </w:pPr>
            <w:r>
              <w:rPr>
                <w:rFonts w:hint="eastAsia"/>
                <w:color w:val="auto"/>
                <w:shd w:val="clear" w:color="auto" w:fill="auto"/>
              </w:rPr>
              <w:t>0.002</w:t>
            </w:r>
          </w:p>
        </w:tc>
        <w:tc>
          <w:tcPr>
            <w:tcW w:w="1394" w:type="dxa"/>
            <w:vAlign w:val="center"/>
          </w:tcPr>
          <w:p>
            <w:pPr>
              <w:pStyle w:val="44"/>
              <w:jc w:val="center"/>
              <w:rPr>
                <w:color w:val="auto"/>
                <w:shd w:val="clear" w:color="auto" w:fill="auto"/>
              </w:rPr>
            </w:pPr>
            <w:r>
              <w:rPr>
                <w:rFonts w:hint="eastAsia"/>
                <w:color w:val="auto"/>
                <w:shd w:val="clear" w:color="auto" w:fill="auto"/>
              </w:rPr>
              <w:t>15773.61</w:t>
            </w:r>
          </w:p>
        </w:tc>
        <w:tc>
          <w:tcPr>
            <w:tcW w:w="1395" w:type="dxa"/>
            <w:vAlign w:val="center"/>
          </w:tcPr>
          <w:p>
            <w:pPr>
              <w:pStyle w:val="44"/>
              <w:jc w:val="center"/>
              <w:rPr>
                <w:color w:val="auto"/>
                <w:shd w:val="clear" w:color="auto" w:fill="auto"/>
              </w:rPr>
            </w:pPr>
            <w:r>
              <w:rPr>
                <w:rFonts w:hint="eastAsia"/>
                <w:color w:val="auto"/>
                <w:shd w:val="clear" w:color="auto" w:fill="auto"/>
              </w:rPr>
              <w:t>16217.39</w:t>
            </w:r>
          </w:p>
        </w:tc>
      </w:tr>
    </w:tbl>
    <w:p>
      <w:pPr>
        <w:rPr>
          <w:color w:val="auto"/>
          <w:shd w:val="clear" w:color="auto" w:fill="auto"/>
        </w:rPr>
      </w:pPr>
      <w:r>
        <w:rPr>
          <w:color w:val="auto"/>
          <w:shd w:val="clear" w:color="auto" w:fill="auto"/>
        </w:rPr>
        <w:t>根据公式，从溢油发生到</w:t>
      </w:r>
      <w:r>
        <w:rPr>
          <w:rFonts w:hint="eastAsia"/>
          <w:color w:val="auto"/>
          <w:shd w:val="clear" w:color="auto" w:fill="auto"/>
        </w:rPr>
        <w:t>9.34</w:t>
      </w:r>
      <w:r>
        <w:rPr>
          <w:rFonts w:hint="eastAsia"/>
          <w:color w:val="auto"/>
          <w:shd w:val="clear" w:color="auto" w:fill="auto"/>
          <w:lang w:eastAsia="zh-CN"/>
        </w:rPr>
        <w:t>m</w:t>
      </w:r>
      <w:r>
        <w:rPr>
          <w:color w:val="auto"/>
          <w:shd w:val="clear" w:color="auto" w:fill="auto"/>
        </w:rPr>
        <w:t>in以前为油膜的惯性扩展阶段，</w:t>
      </w:r>
      <w:r>
        <w:rPr>
          <w:rFonts w:hint="eastAsia"/>
          <w:color w:val="auto"/>
          <w:shd w:val="clear" w:color="auto" w:fill="auto"/>
        </w:rPr>
        <w:t>9.34</w:t>
      </w:r>
      <w:r>
        <w:rPr>
          <w:rFonts w:hint="eastAsia"/>
          <w:color w:val="auto"/>
          <w:shd w:val="clear" w:color="auto" w:fill="auto"/>
          <w:lang w:eastAsia="zh-CN"/>
        </w:rPr>
        <w:t>m</w:t>
      </w:r>
      <w:r>
        <w:rPr>
          <w:color w:val="auto"/>
          <w:shd w:val="clear" w:color="auto" w:fill="auto"/>
        </w:rPr>
        <w:t>in～</w:t>
      </w:r>
      <w:r>
        <w:rPr>
          <w:rFonts w:hint="eastAsia"/>
          <w:color w:val="auto"/>
          <w:shd w:val="clear" w:color="auto" w:fill="auto"/>
        </w:rPr>
        <w:t>24.39</w:t>
      </w:r>
      <w:r>
        <w:rPr>
          <w:rFonts w:hint="eastAsia"/>
          <w:color w:val="auto"/>
          <w:shd w:val="clear" w:color="auto" w:fill="auto"/>
          <w:lang w:eastAsia="zh-CN"/>
        </w:rPr>
        <w:t>m</w:t>
      </w:r>
      <w:r>
        <w:rPr>
          <w:color w:val="auto"/>
          <w:shd w:val="clear" w:color="auto" w:fill="auto"/>
        </w:rPr>
        <w:t>in为粘性扩展阶段，</w:t>
      </w:r>
      <w:r>
        <w:rPr>
          <w:rFonts w:hint="eastAsia"/>
          <w:color w:val="auto"/>
          <w:shd w:val="clear" w:color="auto" w:fill="auto"/>
        </w:rPr>
        <w:t>24.39</w:t>
      </w:r>
      <w:r>
        <w:rPr>
          <w:rFonts w:hint="eastAsia"/>
          <w:color w:val="auto"/>
          <w:shd w:val="clear" w:color="auto" w:fill="auto"/>
          <w:lang w:eastAsia="zh-CN"/>
        </w:rPr>
        <w:t>m</w:t>
      </w:r>
      <w:r>
        <w:rPr>
          <w:color w:val="auto"/>
          <w:shd w:val="clear" w:color="auto" w:fill="auto"/>
        </w:rPr>
        <w:t>in～</w:t>
      </w:r>
      <w:r>
        <w:rPr>
          <w:rFonts w:hint="eastAsia"/>
          <w:color w:val="auto"/>
          <w:shd w:val="clear" w:color="auto" w:fill="auto"/>
        </w:rPr>
        <w:t>312.97</w:t>
      </w:r>
      <w:r>
        <w:rPr>
          <w:rFonts w:hint="eastAsia"/>
          <w:color w:val="auto"/>
          <w:shd w:val="clear" w:color="auto" w:fill="auto"/>
          <w:lang w:eastAsia="zh-CN"/>
        </w:rPr>
        <w:t>m</w:t>
      </w:r>
      <w:r>
        <w:rPr>
          <w:color w:val="auto"/>
          <w:shd w:val="clear" w:color="auto" w:fill="auto"/>
        </w:rPr>
        <w:t>in为表面张力扩展阶段。</w:t>
      </w:r>
    </w:p>
    <w:p>
      <w:pPr>
        <w:rPr>
          <w:rFonts w:hint="eastAsia"/>
          <w:color w:val="auto"/>
          <w:shd w:val="clear" w:color="auto" w:fill="auto"/>
        </w:rPr>
      </w:pPr>
      <w:r>
        <w:rPr>
          <w:color w:val="auto"/>
          <w:shd w:val="clear" w:color="auto" w:fill="auto"/>
        </w:rPr>
        <w:t>丰水期时，</w:t>
      </w:r>
      <w:r>
        <w:rPr>
          <w:rFonts w:hint="eastAsia"/>
          <w:color w:val="auto"/>
          <w:shd w:val="clear" w:color="auto" w:fill="auto"/>
          <w:lang w:val="en-US" w:eastAsia="zh-CN"/>
        </w:rPr>
        <w:t>沙颍河</w:t>
      </w:r>
      <w:r>
        <w:rPr>
          <w:color w:val="auto"/>
          <w:shd w:val="clear" w:color="auto" w:fill="auto"/>
        </w:rPr>
        <w:t>径流量大，河水流速较快，根据预测结果，油膜的最大扩散距离为溢油事故发生点下游</w:t>
      </w:r>
      <w:r>
        <w:rPr>
          <w:rFonts w:hint="eastAsia"/>
          <w:color w:val="auto"/>
          <w:shd w:val="clear" w:color="auto" w:fill="auto"/>
        </w:rPr>
        <w:t>59407.04</w:t>
      </w:r>
      <w:r>
        <w:rPr>
          <w:rFonts w:hint="eastAsia"/>
          <w:color w:val="auto"/>
          <w:shd w:val="clear" w:color="auto" w:fill="auto"/>
          <w:lang w:eastAsia="zh-CN"/>
        </w:rPr>
        <w:t>m</w:t>
      </w:r>
      <w:r>
        <w:rPr>
          <w:color w:val="auto"/>
          <w:shd w:val="clear" w:color="auto" w:fill="auto"/>
        </w:rPr>
        <w:t>范围内；枯水期时，</w:t>
      </w:r>
      <w:r>
        <w:rPr>
          <w:rFonts w:hint="eastAsia"/>
          <w:color w:val="auto"/>
          <w:shd w:val="clear" w:color="auto" w:fill="auto"/>
          <w:lang w:val="en-US" w:eastAsia="zh-CN"/>
        </w:rPr>
        <w:t>沙颍河</w:t>
      </w:r>
      <w:r>
        <w:rPr>
          <w:color w:val="auto"/>
          <w:shd w:val="clear" w:color="auto" w:fill="auto"/>
        </w:rPr>
        <w:t>径流量较丰水期小，河水流速也较小，根据计算，油膜的最大扩散距离为溢油事故发生点下游</w:t>
      </w:r>
      <w:r>
        <w:rPr>
          <w:rFonts w:hint="eastAsia"/>
          <w:color w:val="auto"/>
          <w:shd w:val="clear" w:color="auto" w:fill="auto"/>
        </w:rPr>
        <w:t>16217.39</w:t>
      </w:r>
      <w:r>
        <w:rPr>
          <w:rFonts w:hint="eastAsia"/>
          <w:color w:val="auto"/>
          <w:shd w:val="clear" w:color="auto" w:fill="auto"/>
          <w:lang w:eastAsia="zh-CN"/>
        </w:rPr>
        <w:t>m</w:t>
      </w:r>
      <w:r>
        <w:rPr>
          <w:color w:val="auto"/>
          <w:shd w:val="clear" w:color="auto" w:fill="auto"/>
        </w:rPr>
        <w:t>范围内。事故发生后</w:t>
      </w:r>
      <w:r>
        <w:rPr>
          <w:rFonts w:hint="eastAsia"/>
          <w:color w:val="auto"/>
          <w:shd w:val="clear" w:color="auto" w:fill="auto"/>
        </w:rPr>
        <w:t>312.97</w:t>
      </w:r>
      <w:r>
        <w:rPr>
          <w:rFonts w:hint="eastAsia"/>
          <w:color w:val="auto"/>
          <w:shd w:val="clear" w:color="auto" w:fill="auto"/>
          <w:lang w:eastAsia="zh-CN"/>
        </w:rPr>
        <w:t>m</w:t>
      </w:r>
      <w:r>
        <w:rPr>
          <w:color w:val="auto"/>
          <w:shd w:val="clear" w:color="auto" w:fill="auto"/>
        </w:rPr>
        <w:t>in，当油膜达到临界厚度0.00</w:t>
      </w:r>
      <w:r>
        <w:rPr>
          <w:rFonts w:hint="eastAsia"/>
          <w:color w:val="auto"/>
          <w:shd w:val="clear" w:color="auto" w:fill="auto"/>
        </w:rPr>
        <w:t>2</w:t>
      </w:r>
      <w:r>
        <w:rPr>
          <w:rFonts w:hint="eastAsia"/>
          <w:color w:val="auto"/>
          <w:shd w:val="clear" w:color="auto" w:fill="auto"/>
          <w:lang w:eastAsia="zh-CN"/>
        </w:rPr>
        <w:t>mm</w:t>
      </w:r>
      <w:r>
        <w:rPr>
          <w:color w:val="auto"/>
          <w:shd w:val="clear" w:color="auto" w:fill="auto"/>
        </w:rPr>
        <w:t>，继而油膜将会被破坏呈分散状，油膜破坏后，将在水力和风力作用下继续发生分散、乳化、氧化、生物降解等，即受环境因素影响所发生的物理化学变化，在一定的时间内逐步消散，将对项目区下游水质产生一定影响</w:t>
      </w:r>
      <w:r>
        <w:rPr>
          <w:rFonts w:hint="eastAsia"/>
          <w:color w:val="auto"/>
          <w:shd w:val="clear" w:color="auto" w:fill="auto"/>
        </w:rPr>
        <w:t>。</w:t>
      </w:r>
    </w:p>
    <w:p>
      <w:pPr>
        <w:pStyle w:val="5"/>
        <w:bidi w:val="0"/>
        <w:rPr>
          <w:rFonts w:hint="default"/>
          <w:lang w:val="en-US" w:eastAsia="zh-CN"/>
        </w:rPr>
      </w:pPr>
      <w:r>
        <w:rPr>
          <w:rFonts w:hint="eastAsia"/>
          <w:lang w:val="en-US" w:eastAsia="zh-CN"/>
        </w:rPr>
        <w:t>5.5.4 环境风险影响分析</w:t>
      </w:r>
    </w:p>
    <w:bookmarkEnd w:id="335"/>
    <w:bookmarkEnd w:id="336"/>
    <w:bookmarkEnd w:id="337"/>
    <w:bookmarkEnd w:id="338"/>
    <w:bookmarkEnd w:id="339"/>
    <w:bookmarkEnd w:id="340"/>
    <w:bookmarkEnd w:id="341"/>
    <w:bookmarkEnd w:id="342"/>
    <w:bookmarkEnd w:id="343"/>
    <w:p>
      <w:pPr>
        <w:autoSpaceDE w:val="0"/>
        <w:autoSpaceDN w:val="0"/>
        <w:adjustRightInd w:val="0"/>
        <w:spacing w:line="360" w:lineRule="auto"/>
        <w:ind w:firstLine="480" w:firstLineChars="200"/>
        <w:jc w:val="left"/>
        <w:rPr>
          <w:color w:val="auto"/>
          <w:sz w:val="24"/>
        </w:rPr>
      </w:pPr>
      <w:bookmarkStart w:id="348" w:name="_Toc31980_WPSOffice_Level2"/>
      <w:bookmarkStart w:id="349" w:name="_Toc316642078"/>
      <w:bookmarkStart w:id="350" w:name="_Toc17656_WPSOffice_Level2"/>
      <w:r>
        <w:rPr>
          <w:color w:val="auto"/>
          <w:sz w:val="24"/>
        </w:rPr>
        <w:t>（1）对水生生物的影响</w:t>
      </w:r>
    </w:p>
    <w:p>
      <w:pPr>
        <w:autoSpaceDE w:val="0"/>
        <w:autoSpaceDN w:val="0"/>
        <w:adjustRightInd w:val="0"/>
        <w:spacing w:line="360" w:lineRule="auto"/>
        <w:ind w:firstLine="480" w:firstLineChars="200"/>
        <w:jc w:val="left"/>
        <w:rPr>
          <w:color w:val="auto"/>
          <w:sz w:val="24"/>
        </w:rPr>
      </w:pPr>
      <w:r>
        <w:rPr>
          <w:color w:val="auto"/>
          <w:sz w:val="24"/>
        </w:rPr>
        <w:t>国内外许多的研究表明高浓度的石油会使鱼卵、仔幼鱼短时间内中毒死亡，低浓度的长期亚急性毒性可干扰鱼类摄食和繁殖，其毒性随石油组分的不同而有差异。</w:t>
      </w:r>
    </w:p>
    <w:p>
      <w:pPr>
        <w:bidi w:val="0"/>
        <w:rPr>
          <w:color w:val="auto"/>
        </w:rPr>
      </w:pPr>
      <w:r>
        <w:rPr>
          <w:rFonts w:hint="eastAsia"/>
          <w:color w:val="auto"/>
        </w:rPr>
        <w:t>①急性中毒效应</w:t>
      </w:r>
    </w:p>
    <w:p>
      <w:pPr>
        <w:bidi w:val="0"/>
        <w:rPr>
          <w:color w:val="auto"/>
        </w:rPr>
      </w:pPr>
      <w:r>
        <w:rPr>
          <w:rFonts w:hint="eastAsia"/>
          <w:color w:val="auto"/>
        </w:rPr>
        <w:t>一旦发生溢油污染事故，将对一定范围内水域形成污染，还可能污染沿线生活用水取水口，对航道内的生物、鱼类影响较大。以石油污染为例，其危害是由石油的化学组成、特性及其在航道内的存在形式决定。在石油不同组分中，低沸点的芳香烃对一切生物均有毒性，而高沸点的芳香烃则是长效毒性，会对水生生物生命构成威胁和危害直至死亡。</w:t>
      </w:r>
    </w:p>
    <w:p>
      <w:pPr>
        <w:bidi w:val="0"/>
        <w:rPr>
          <w:color w:val="auto"/>
        </w:rPr>
      </w:pPr>
      <w:r>
        <w:rPr>
          <w:rFonts w:hint="eastAsia"/>
          <w:color w:val="auto"/>
        </w:rPr>
        <w:t>②对鱼类的影响</w:t>
      </w:r>
    </w:p>
    <w:p>
      <w:pPr>
        <w:bidi w:val="0"/>
        <w:rPr>
          <w:color w:val="auto"/>
        </w:rPr>
      </w:pPr>
      <w:r>
        <w:rPr>
          <w:rFonts w:hint="eastAsia"/>
          <w:color w:val="auto"/>
        </w:rPr>
        <w:t>a.对鱼类的急性毒性测试</w:t>
      </w:r>
    </w:p>
    <w:p>
      <w:pPr>
        <w:bidi w:val="0"/>
        <w:rPr>
          <w:color w:val="auto"/>
        </w:rPr>
      </w:pPr>
      <w:r>
        <w:rPr>
          <w:rFonts w:hint="eastAsia"/>
          <w:color w:val="auto"/>
        </w:rPr>
        <w:t>根据</w:t>
      </w:r>
      <w:r>
        <w:rPr>
          <w:rFonts w:hint="eastAsia"/>
          <w:color w:val="auto"/>
          <w:lang w:eastAsia="zh-CN"/>
        </w:rPr>
        <w:t>类比调查，</w:t>
      </w:r>
      <w:r>
        <w:rPr>
          <w:rFonts w:hint="eastAsia"/>
          <w:color w:val="auto"/>
        </w:rPr>
        <w:t>近年来对几种不同的鱼类仔鱼的毒性试验结果表明，石油类对鲤鱼仔鱼</w:t>
      </w:r>
      <w:r>
        <w:rPr>
          <w:color w:val="auto"/>
        </w:rPr>
        <w:t>96h LC</w:t>
      </w:r>
      <w:r>
        <w:rPr>
          <w:color w:val="auto"/>
          <w:vertAlign w:val="subscript"/>
        </w:rPr>
        <w:t>50</w:t>
      </w:r>
      <w:r>
        <w:rPr>
          <w:rFonts w:hint="eastAsia"/>
          <w:color w:val="auto"/>
        </w:rPr>
        <w:t>值为</w:t>
      </w:r>
      <w:r>
        <w:rPr>
          <w:color w:val="auto"/>
        </w:rPr>
        <w:t>0.5</w:t>
      </w:r>
      <w:r>
        <w:rPr>
          <w:rFonts w:hint="eastAsia"/>
          <w:color w:val="auto"/>
        </w:rPr>
        <w:t>～</w:t>
      </w:r>
      <w:r>
        <w:rPr>
          <w:color w:val="auto"/>
        </w:rPr>
        <w:t>3.0</w:t>
      </w:r>
      <w:r>
        <w:rPr>
          <w:rFonts w:hint="eastAsia"/>
          <w:color w:val="auto"/>
          <w:lang w:eastAsia="zh-CN"/>
        </w:rPr>
        <w:t>m</w:t>
      </w:r>
      <w:r>
        <w:rPr>
          <w:color w:val="auto"/>
        </w:rPr>
        <w:t>g/L</w:t>
      </w:r>
      <w:r>
        <w:rPr>
          <w:rFonts w:hint="eastAsia"/>
          <w:color w:val="auto"/>
        </w:rPr>
        <w:t>，因此污染带瞬时高浓度排放</w:t>
      </w:r>
      <w:r>
        <w:rPr>
          <w:color w:val="auto"/>
        </w:rPr>
        <w:t>(</w:t>
      </w:r>
      <w:r>
        <w:rPr>
          <w:rFonts w:hint="eastAsia"/>
          <w:color w:val="auto"/>
        </w:rPr>
        <w:t>即事故性排放</w:t>
      </w:r>
      <w:r>
        <w:rPr>
          <w:color w:val="auto"/>
        </w:rPr>
        <w:t>)</w:t>
      </w:r>
      <w:r>
        <w:rPr>
          <w:rFonts w:hint="eastAsia"/>
          <w:color w:val="auto"/>
        </w:rPr>
        <w:t>可导致急性中毒死鱼事故。</w:t>
      </w:r>
    </w:p>
    <w:p>
      <w:pPr>
        <w:bidi w:val="0"/>
        <w:rPr>
          <w:color w:val="auto"/>
        </w:rPr>
      </w:pPr>
      <w:r>
        <w:rPr>
          <w:rFonts w:hint="eastAsia"/>
          <w:color w:val="auto"/>
        </w:rPr>
        <w:t>b.石油类在鱼体内的蓄积残留分析</w:t>
      </w:r>
    </w:p>
    <w:p>
      <w:pPr>
        <w:bidi w:val="0"/>
        <w:rPr>
          <w:color w:val="auto"/>
        </w:rPr>
      </w:pPr>
      <w:r>
        <w:rPr>
          <w:rFonts w:hint="eastAsia"/>
          <w:color w:val="auto"/>
        </w:rPr>
        <w:t>石油类在鱼体中积累和残留可引起鱼类慢性中毒而带来长效应的污染影响，这种影响不仅可引起鱼类资源的变动，甚至会引起鱼类种质变异。鱼类一旦与油分子接触就会在短时间内发生油臭，从而影响其食用价值。以</w:t>
      </w:r>
      <w:r>
        <w:rPr>
          <w:color w:val="auto"/>
        </w:rPr>
        <w:t>20</w:t>
      </w:r>
      <w:r>
        <w:rPr>
          <w:rFonts w:hint="eastAsia"/>
          <w:color w:val="auto"/>
        </w:rPr>
        <w:t>号燃料油为例，石油类浓度为</w:t>
      </w:r>
      <w:r>
        <w:rPr>
          <w:color w:val="auto"/>
        </w:rPr>
        <w:t>0.01</w:t>
      </w:r>
      <w:r>
        <w:rPr>
          <w:rFonts w:hint="eastAsia"/>
          <w:color w:val="auto"/>
          <w:lang w:eastAsia="zh-CN"/>
        </w:rPr>
        <w:t>m</w:t>
      </w:r>
      <w:r>
        <w:rPr>
          <w:color w:val="auto"/>
        </w:rPr>
        <w:t>g/L</w:t>
      </w:r>
      <w:r>
        <w:rPr>
          <w:rFonts w:hint="eastAsia"/>
          <w:color w:val="auto"/>
        </w:rPr>
        <w:t>时，</w:t>
      </w:r>
      <w:r>
        <w:rPr>
          <w:color w:val="auto"/>
        </w:rPr>
        <w:t>7</w:t>
      </w:r>
      <w:r>
        <w:rPr>
          <w:rFonts w:hint="eastAsia"/>
          <w:color w:val="auto"/>
        </w:rPr>
        <w:t>天之内就能对大部分的鱼、虾产生油味，</w:t>
      </w:r>
      <w:r>
        <w:rPr>
          <w:color w:val="auto"/>
        </w:rPr>
        <w:t>30</w:t>
      </w:r>
      <w:r>
        <w:rPr>
          <w:rFonts w:hint="eastAsia"/>
          <w:color w:val="auto"/>
        </w:rPr>
        <w:t>天内会使绝大多数鱼类产生异味。</w:t>
      </w:r>
    </w:p>
    <w:p>
      <w:pPr>
        <w:bidi w:val="0"/>
        <w:rPr>
          <w:color w:val="auto"/>
        </w:rPr>
      </w:pPr>
      <w:r>
        <w:rPr>
          <w:rFonts w:hint="eastAsia"/>
          <w:color w:val="auto"/>
        </w:rPr>
        <w:t>③对浮游植物的影响</w:t>
      </w:r>
    </w:p>
    <w:p>
      <w:pPr>
        <w:bidi w:val="0"/>
        <w:rPr>
          <w:color w:val="auto"/>
        </w:rPr>
      </w:pPr>
      <w:r>
        <w:rPr>
          <w:rFonts w:hint="eastAsia"/>
          <w:color w:val="auto"/>
        </w:rPr>
        <w:t>实验证明石油会破坏浮游植物细胞，损坏叶绿素及干扰气体交换，从而妨碍它们的光合作用。这种破坏作用程度取决于石油的类型、浓度及浮游植物的种类。根据国内外许多毒性实验结果表明，作为鱼、虾类饵料基础的浮游植物，对各类油类的耐受能力都很低。一般浮游植物石油急性中毒致死浓度为</w:t>
      </w:r>
      <w:r>
        <w:rPr>
          <w:color w:val="auto"/>
        </w:rPr>
        <w:t>0.1</w:t>
      </w:r>
      <w:r>
        <w:rPr>
          <w:rFonts w:hint="eastAsia"/>
          <w:color w:val="auto"/>
        </w:rPr>
        <w:t>～</w:t>
      </w:r>
      <w:r>
        <w:rPr>
          <w:color w:val="auto"/>
        </w:rPr>
        <w:t>10.0</w:t>
      </w:r>
      <w:r>
        <w:rPr>
          <w:rFonts w:hint="eastAsia"/>
          <w:color w:val="auto"/>
          <w:lang w:eastAsia="zh-CN"/>
        </w:rPr>
        <w:t>m</w:t>
      </w:r>
      <w:r>
        <w:rPr>
          <w:color w:val="auto"/>
        </w:rPr>
        <w:t>g/L</w:t>
      </w:r>
      <w:r>
        <w:rPr>
          <w:rFonts w:hint="eastAsia"/>
          <w:color w:val="auto"/>
        </w:rPr>
        <w:t>，一般为</w:t>
      </w:r>
      <w:r>
        <w:rPr>
          <w:color w:val="auto"/>
        </w:rPr>
        <w:t>1.0</w:t>
      </w:r>
      <w:r>
        <w:rPr>
          <w:rFonts w:hint="eastAsia"/>
          <w:color w:val="auto"/>
        </w:rPr>
        <w:t>～</w:t>
      </w:r>
      <w:r>
        <w:rPr>
          <w:color w:val="auto"/>
        </w:rPr>
        <w:t>3.6</w:t>
      </w:r>
      <w:r>
        <w:rPr>
          <w:rFonts w:hint="eastAsia"/>
          <w:color w:val="auto"/>
          <w:lang w:eastAsia="zh-CN"/>
        </w:rPr>
        <w:t>m</w:t>
      </w:r>
      <w:r>
        <w:rPr>
          <w:color w:val="auto"/>
        </w:rPr>
        <w:t>g/L</w:t>
      </w:r>
      <w:r>
        <w:rPr>
          <w:rFonts w:hint="eastAsia"/>
          <w:color w:val="auto"/>
        </w:rPr>
        <w:t>，对于更敏感的种类，油浓度低于</w:t>
      </w:r>
      <w:r>
        <w:rPr>
          <w:color w:val="auto"/>
        </w:rPr>
        <w:t>0.1</w:t>
      </w:r>
      <w:r>
        <w:rPr>
          <w:rFonts w:hint="eastAsia"/>
          <w:color w:val="auto"/>
          <w:lang w:eastAsia="zh-CN"/>
        </w:rPr>
        <w:t>m</w:t>
      </w:r>
      <w:r>
        <w:rPr>
          <w:color w:val="auto"/>
        </w:rPr>
        <w:t>g/L</w:t>
      </w:r>
      <w:r>
        <w:rPr>
          <w:rFonts w:hint="eastAsia"/>
          <w:color w:val="auto"/>
        </w:rPr>
        <w:t>时，也会妨碍细胞的分裂和生长的速率。</w:t>
      </w:r>
    </w:p>
    <w:p>
      <w:pPr>
        <w:bidi w:val="0"/>
        <w:rPr>
          <w:color w:val="auto"/>
        </w:rPr>
      </w:pPr>
      <w:r>
        <w:rPr>
          <w:rFonts w:hint="eastAsia"/>
          <w:color w:val="auto"/>
        </w:rPr>
        <w:t>④对浮游动物的影响</w:t>
      </w:r>
    </w:p>
    <w:p>
      <w:pPr>
        <w:bidi w:val="0"/>
        <w:rPr>
          <w:rFonts w:hint="eastAsia"/>
          <w:color w:val="auto"/>
        </w:rPr>
      </w:pPr>
      <w:r>
        <w:rPr>
          <w:rFonts w:hint="eastAsia"/>
          <w:color w:val="auto"/>
        </w:rPr>
        <w:t>浮游动物石油急性中毒致死浓度范围一般为</w:t>
      </w:r>
      <w:r>
        <w:rPr>
          <w:color w:val="auto"/>
        </w:rPr>
        <w:t>0.1</w:t>
      </w:r>
      <w:r>
        <w:rPr>
          <w:rFonts w:hint="eastAsia"/>
          <w:color w:val="auto"/>
        </w:rPr>
        <w:t>～</w:t>
      </w:r>
      <w:r>
        <w:rPr>
          <w:color w:val="auto"/>
        </w:rPr>
        <w:t>15</w:t>
      </w:r>
      <w:r>
        <w:rPr>
          <w:rFonts w:hint="eastAsia"/>
          <w:color w:val="auto"/>
          <w:lang w:eastAsia="zh-CN"/>
        </w:rPr>
        <w:t>m</w:t>
      </w:r>
      <w:r>
        <w:rPr>
          <w:color w:val="auto"/>
        </w:rPr>
        <w:t>g/L</w:t>
      </w:r>
      <w:r>
        <w:rPr>
          <w:rFonts w:hint="eastAsia"/>
          <w:color w:val="auto"/>
        </w:rPr>
        <w:t>，而且通过不同浓度的石油类环境对桡足类幼体的影响实验表明，永久性</w:t>
      </w:r>
      <w:r>
        <w:rPr>
          <w:color w:val="auto"/>
        </w:rPr>
        <w:t>(</w:t>
      </w:r>
      <w:r>
        <w:rPr>
          <w:rFonts w:hint="eastAsia"/>
          <w:color w:val="auto"/>
        </w:rPr>
        <w:t>终生性</w:t>
      </w:r>
      <w:r>
        <w:rPr>
          <w:color w:val="auto"/>
        </w:rPr>
        <w:t>)</w:t>
      </w:r>
      <w:r>
        <w:rPr>
          <w:rFonts w:hint="eastAsia"/>
          <w:color w:val="auto"/>
        </w:rPr>
        <w:t>浮游动物幼体的敏感性大于阶段性</w:t>
      </w:r>
      <w:r>
        <w:rPr>
          <w:color w:val="auto"/>
        </w:rPr>
        <w:t>(</w:t>
      </w:r>
      <w:r>
        <w:rPr>
          <w:rFonts w:hint="eastAsia"/>
          <w:color w:val="auto"/>
        </w:rPr>
        <w:t>临时性</w:t>
      </w:r>
      <w:r>
        <w:rPr>
          <w:color w:val="auto"/>
        </w:rPr>
        <w:t>)</w:t>
      </w:r>
      <w:r>
        <w:rPr>
          <w:rFonts w:hint="eastAsia"/>
          <w:color w:val="auto"/>
        </w:rPr>
        <w:t>的底栖生物幼体，而它们各自的幼体的敏感性又大于成体。</w:t>
      </w:r>
    </w:p>
    <w:p>
      <w:pPr>
        <w:autoSpaceDE w:val="0"/>
        <w:autoSpaceDN w:val="0"/>
        <w:adjustRightInd w:val="0"/>
        <w:spacing w:line="360" w:lineRule="auto"/>
        <w:ind w:firstLine="480" w:firstLineChars="200"/>
        <w:jc w:val="left"/>
        <w:rPr>
          <w:color w:val="auto"/>
          <w:sz w:val="24"/>
        </w:rPr>
      </w:pPr>
      <w:r>
        <w:rPr>
          <w:color w:val="auto"/>
          <w:sz w:val="24"/>
        </w:rPr>
        <w:t>（2）溢油事故对水生生态风险影响分析</w:t>
      </w:r>
    </w:p>
    <w:p>
      <w:pPr>
        <w:autoSpaceDE w:val="0"/>
        <w:autoSpaceDN w:val="0"/>
        <w:adjustRightInd w:val="0"/>
        <w:spacing w:line="360" w:lineRule="auto"/>
        <w:ind w:firstLine="480" w:firstLineChars="200"/>
        <w:jc w:val="left"/>
        <w:rPr>
          <w:color w:val="auto"/>
          <w:sz w:val="24"/>
        </w:rPr>
      </w:pPr>
      <w:r>
        <w:rPr>
          <w:color w:val="auto"/>
          <w:sz w:val="24"/>
        </w:rPr>
        <w:t>根据上述分析，石油类对水生生物产生中毒影响的浓度阈值普遍较低，因此项目营运期一旦发生溢油污染，将会造成污染水域内鱼类急性中毒和鱼的致突变性等，对浮游植物和动物也会产生一定的中毒影响，严重的影响将会造成部分鱼类、水生动植物中毒死亡事故。</w:t>
      </w:r>
    </w:p>
    <w:p>
      <w:pPr>
        <w:autoSpaceDE w:val="0"/>
        <w:autoSpaceDN w:val="0"/>
        <w:adjustRightInd w:val="0"/>
        <w:spacing w:line="360" w:lineRule="auto"/>
        <w:ind w:firstLine="480" w:firstLineChars="200"/>
        <w:jc w:val="left"/>
        <w:rPr>
          <w:color w:val="auto"/>
          <w:sz w:val="24"/>
        </w:rPr>
      </w:pPr>
      <w:r>
        <w:rPr>
          <w:color w:val="auto"/>
          <w:sz w:val="24"/>
        </w:rPr>
        <w:t>（3）亚致死效应</w:t>
      </w:r>
    </w:p>
    <w:p>
      <w:pPr>
        <w:spacing w:line="360" w:lineRule="auto"/>
        <w:ind w:firstLine="480" w:firstLineChars="200"/>
        <w:rPr>
          <w:color w:val="auto"/>
        </w:rPr>
      </w:pPr>
      <w:r>
        <w:rPr>
          <w:color w:val="auto"/>
          <w:sz w:val="24"/>
        </w:rPr>
        <w:t>由于溢油的影响可持续一段时间，除急性致死效应影响外，还可能发生亚致死效应。该效应的作用机制主要表现为：</w:t>
      </w:r>
      <w:r>
        <w:rPr>
          <w:rFonts w:hint="eastAsia" w:ascii="宋体" w:hAnsi="宋体" w:cs="宋体"/>
          <w:color w:val="auto"/>
          <w:sz w:val="24"/>
        </w:rPr>
        <w:t>①</w:t>
      </w:r>
      <w:r>
        <w:rPr>
          <w:color w:val="auto"/>
          <w:sz w:val="24"/>
        </w:rPr>
        <w:t>生理和行为效应，主要表现为麻醉效应、干扰基础生物化学机制、降低浮游植物光合作用和生长率、影响视觉感觉及诱变效应等。</w:t>
      </w:r>
      <w:r>
        <w:rPr>
          <w:rFonts w:hint="eastAsia" w:ascii="宋体" w:hAnsi="宋体" w:cs="宋体"/>
          <w:color w:val="auto"/>
          <w:sz w:val="24"/>
        </w:rPr>
        <w:t>②</w:t>
      </w:r>
      <w:r>
        <w:rPr>
          <w:color w:val="auto"/>
          <w:sz w:val="24"/>
        </w:rPr>
        <w:t>生态效应，较长期曝露于含油水中，可造成生态群落结构的破坏，群落结构中某些对油敏感的种类消失或减少，代之以嗜污种类增加，使不同营养级生物比例失调而导致局部水域生物链（网）的破坏；</w:t>
      </w:r>
      <w:r>
        <w:rPr>
          <w:rFonts w:hint="eastAsia" w:ascii="宋体" w:hAnsi="宋体" w:cs="宋体"/>
          <w:color w:val="auto"/>
          <w:sz w:val="24"/>
        </w:rPr>
        <w:t>③</w:t>
      </w:r>
      <w:r>
        <w:rPr>
          <w:color w:val="auto"/>
          <w:sz w:val="24"/>
        </w:rPr>
        <w:t>异味效应，水生生物具有从栖息环境中积累石油烃的能力，富集系数可达102～107（因种类而异），导致生物体产生异味，失去其经济价值。</w:t>
      </w:r>
    </w:p>
    <w:p>
      <w:pPr>
        <w:bidi w:val="0"/>
        <w:rPr>
          <w:rFonts w:hint="eastAsia"/>
          <w:color w:val="auto"/>
        </w:rPr>
      </w:pPr>
      <w:r>
        <w:rPr>
          <w:rFonts w:hint="eastAsia"/>
          <w:color w:val="auto"/>
        </w:rPr>
        <w:t>综上所述，该项目营运期内一旦发生溢油事故，污染因子石油类将会对航道区域内鱼类的急性中毒、在鱼体内的蓄积残留和对鱼的致突变性产生较大的负面影响，而且对浮游植物和动物也会产生一定的影响，故建设单位必须严格落实本报告书提出的各项风险防范措施和事故应急预案。</w:t>
      </w:r>
    </w:p>
    <w:p>
      <w:pPr>
        <w:pStyle w:val="4"/>
        <w:spacing w:before="156" w:after="156"/>
        <w:rPr>
          <w:color w:val="auto"/>
          <w:shd w:val="clear" w:color="auto" w:fill="auto"/>
        </w:rPr>
      </w:pPr>
      <w:bookmarkStart w:id="351" w:name="_Toc16845"/>
      <w:r>
        <w:rPr>
          <w:rFonts w:hint="eastAsia"/>
          <w:color w:val="auto"/>
          <w:shd w:val="clear" w:color="auto" w:fill="auto"/>
          <w:lang w:val="en-US" w:eastAsia="zh-CN"/>
        </w:rPr>
        <w:t>5</w:t>
      </w:r>
      <w:r>
        <w:rPr>
          <w:rFonts w:hint="eastAsia"/>
          <w:color w:val="auto"/>
          <w:shd w:val="clear" w:color="auto" w:fill="auto"/>
        </w:rPr>
        <w:t>.</w:t>
      </w:r>
      <w:r>
        <w:rPr>
          <w:rFonts w:hint="eastAsia"/>
          <w:color w:val="auto"/>
          <w:shd w:val="clear" w:color="auto" w:fill="auto"/>
          <w:lang w:val="en-US" w:eastAsia="zh-CN"/>
        </w:rPr>
        <w:t xml:space="preserve">6 </w:t>
      </w:r>
      <w:r>
        <w:rPr>
          <w:color w:val="auto"/>
          <w:shd w:val="clear" w:color="auto" w:fill="auto"/>
        </w:rPr>
        <w:t>风险防范措施和应急预案</w:t>
      </w:r>
      <w:bookmarkEnd w:id="348"/>
      <w:bookmarkEnd w:id="349"/>
      <w:bookmarkEnd w:id="350"/>
      <w:bookmarkEnd w:id="351"/>
    </w:p>
    <w:p>
      <w:pPr>
        <w:ind w:firstLine="480"/>
        <w:rPr>
          <w:color w:val="auto"/>
          <w:shd w:val="clear" w:color="auto" w:fill="auto"/>
        </w:rPr>
      </w:pPr>
      <w:r>
        <w:rPr>
          <w:rFonts w:hint="eastAsia"/>
          <w:color w:val="auto"/>
          <w:shd w:val="clear" w:color="auto" w:fill="auto"/>
        </w:rPr>
        <w:t>本项目环境风险事故主要为船舶碰撞溢油事故造成的环境影响，</w:t>
      </w:r>
      <w:r>
        <w:rPr>
          <w:color w:val="auto"/>
          <w:shd w:val="clear" w:color="auto" w:fill="auto"/>
        </w:rPr>
        <w:t>从分析结果看出，溢油事故将不可避免的对码头上、下游水质产生一定的污染影响，并造成事故水域内一些鱼类和其他水生生物的伤亡</w:t>
      </w:r>
      <w:r>
        <w:rPr>
          <w:rFonts w:hint="eastAsia"/>
          <w:color w:val="auto"/>
          <w:shd w:val="clear" w:color="auto" w:fill="auto"/>
        </w:rPr>
        <w:t>。</w:t>
      </w:r>
      <w:r>
        <w:rPr>
          <w:color w:val="auto"/>
          <w:shd w:val="clear" w:color="auto" w:fill="auto"/>
        </w:rPr>
        <w:t>因此要加强航船管理，严防事故发生。</w:t>
      </w:r>
      <w:r>
        <w:rPr>
          <w:rFonts w:hint="eastAsia"/>
          <w:color w:val="auto"/>
          <w:shd w:val="clear" w:color="auto" w:fill="auto"/>
        </w:rPr>
        <w:t>针对以上分析提出以下防范措施及应急预案。</w:t>
      </w:r>
    </w:p>
    <w:p>
      <w:pPr>
        <w:pStyle w:val="5"/>
        <w:rPr>
          <w:color w:val="auto"/>
          <w:shd w:val="clear" w:color="auto" w:fill="auto"/>
        </w:rPr>
      </w:pPr>
      <w:r>
        <w:rPr>
          <w:rFonts w:hint="eastAsia"/>
          <w:color w:val="auto"/>
          <w:shd w:val="clear" w:color="auto" w:fill="auto"/>
          <w:lang w:val="en-US" w:eastAsia="zh-CN"/>
        </w:rPr>
        <w:t>5</w:t>
      </w:r>
      <w:r>
        <w:rPr>
          <w:rFonts w:hint="eastAsia"/>
          <w:color w:val="auto"/>
          <w:shd w:val="clear" w:color="auto" w:fill="auto"/>
        </w:rPr>
        <w:t>.</w:t>
      </w:r>
      <w:r>
        <w:rPr>
          <w:rFonts w:hint="eastAsia"/>
          <w:color w:val="auto"/>
          <w:shd w:val="clear" w:color="auto" w:fill="auto"/>
          <w:lang w:val="en-US" w:eastAsia="zh-CN"/>
        </w:rPr>
        <w:t>6</w:t>
      </w:r>
      <w:r>
        <w:rPr>
          <w:rFonts w:hint="eastAsia"/>
          <w:color w:val="auto"/>
          <w:shd w:val="clear" w:color="auto" w:fill="auto"/>
        </w:rPr>
        <w:t>.1风险事故防范措施</w:t>
      </w:r>
    </w:p>
    <w:p>
      <w:pPr>
        <w:ind w:firstLine="480"/>
        <w:rPr>
          <w:color w:val="auto"/>
          <w:shd w:val="clear" w:color="auto" w:fill="auto"/>
        </w:rPr>
      </w:pPr>
      <w:r>
        <w:rPr>
          <w:color w:val="auto"/>
          <w:shd w:val="clear" w:color="auto" w:fill="auto"/>
        </w:rPr>
        <w:t>船舶在进出码头、靠停以及在回旋区域掉头等都有可能发生事故，这与停泊时的地理条件、气象条件、船舶密度、导/助航条件以及船舶驾驶等因素有关，所以必须采取有效的防范措施减少风险事故发生的可能性。</w:t>
      </w:r>
    </w:p>
    <w:p>
      <w:pPr>
        <w:ind w:firstLine="480"/>
        <w:rPr>
          <w:color w:val="auto"/>
          <w:shd w:val="clear" w:color="auto" w:fill="auto"/>
        </w:rPr>
      </w:pPr>
      <w:r>
        <w:rPr>
          <w:color w:val="auto"/>
          <w:shd w:val="clear" w:color="auto" w:fill="auto"/>
        </w:rPr>
        <w:t>(1) 港区要接受该辖区内</w:t>
      </w:r>
      <w:r>
        <w:rPr>
          <w:rFonts w:hint="eastAsia"/>
          <w:color w:val="auto"/>
          <w:shd w:val="clear" w:color="auto" w:fill="auto"/>
          <w:lang w:val="en-US" w:eastAsia="zh-CN"/>
        </w:rPr>
        <w:t>阜阳</w:t>
      </w:r>
      <w:r>
        <w:rPr>
          <w:rFonts w:hint="eastAsia"/>
          <w:color w:val="auto"/>
          <w:shd w:val="clear" w:color="auto" w:fill="auto"/>
        </w:rPr>
        <w:t>市</w:t>
      </w:r>
      <w:r>
        <w:rPr>
          <w:color w:val="auto"/>
          <w:shd w:val="clear" w:color="auto" w:fill="auto"/>
        </w:rPr>
        <w:t>地方海事局（港航管理局）对船舶交通和船舶报告等方面的协调、监督和管理，在码头前沿和船舶掉头区设置必要的助航等安全保障设施。</w:t>
      </w:r>
    </w:p>
    <w:p>
      <w:pPr>
        <w:ind w:firstLine="480"/>
        <w:rPr>
          <w:color w:val="auto"/>
          <w:shd w:val="clear" w:color="auto" w:fill="auto"/>
        </w:rPr>
      </w:pPr>
      <w:r>
        <w:rPr>
          <w:color w:val="auto"/>
          <w:shd w:val="clear" w:color="auto" w:fill="auto"/>
        </w:rPr>
        <w:t>(2) 推进船舶交通管理系统建设，监控船舶航行和进出港，并提供船舶航行所需安全信息，以保障船舶交通安全，避免船舶碰撞事故、大型船舶搁浅等事故发生，同时还可以提高港口效率，有效组织江上搜救行动和事故应急反应等。</w:t>
      </w:r>
    </w:p>
    <w:p>
      <w:pPr>
        <w:ind w:firstLine="480"/>
        <w:rPr>
          <w:color w:val="auto"/>
          <w:shd w:val="clear" w:color="auto" w:fill="auto"/>
        </w:rPr>
      </w:pPr>
      <w:r>
        <w:rPr>
          <w:color w:val="auto"/>
          <w:shd w:val="clear" w:color="auto" w:fill="auto"/>
        </w:rPr>
        <w:t>(3) 为避免码头前沿航道内船舶发生碰撞事故，进出码头的船舶必须根据水域船舶动态合理安排进出时间，按照交通部信号管理规定显示信号，加强过往船舶的安全调度管理。</w:t>
      </w:r>
    </w:p>
    <w:p>
      <w:pPr>
        <w:ind w:firstLine="480"/>
        <w:rPr>
          <w:color w:val="auto"/>
          <w:shd w:val="clear" w:color="auto" w:fill="auto"/>
        </w:rPr>
      </w:pPr>
      <w:r>
        <w:rPr>
          <w:color w:val="auto"/>
          <w:shd w:val="clear" w:color="auto" w:fill="auto"/>
        </w:rPr>
        <w:t>(4) 制定严格的操作规程，收集实时气象信息，确保进出码头、停靠的安全。</w:t>
      </w:r>
    </w:p>
    <w:p>
      <w:pPr>
        <w:ind w:firstLine="480"/>
        <w:rPr>
          <w:color w:val="auto"/>
          <w:shd w:val="clear" w:color="auto" w:fill="auto"/>
        </w:rPr>
      </w:pPr>
      <w:r>
        <w:rPr>
          <w:color w:val="auto"/>
          <w:shd w:val="clear" w:color="auto" w:fill="auto"/>
        </w:rPr>
        <w:t>(5) 通过控制室监视船舶进出港过程，提早发现可能出现的事故隐患。</w:t>
      </w:r>
    </w:p>
    <w:p>
      <w:pPr>
        <w:ind w:firstLine="480"/>
        <w:rPr>
          <w:color w:val="auto"/>
          <w:shd w:val="clear" w:color="auto" w:fill="auto"/>
        </w:rPr>
      </w:pPr>
      <w:r>
        <w:rPr>
          <w:color w:val="auto"/>
          <w:shd w:val="clear" w:color="auto" w:fill="auto"/>
        </w:rPr>
        <w:t>(6) 对进出港船舶涉及船员加强管理，提高船员素质，降低操作性失误。</w:t>
      </w:r>
    </w:p>
    <w:p>
      <w:pPr>
        <w:ind w:firstLine="480"/>
        <w:rPr>
          <w:color w:val="auto"/>
          <w:shd w:val="clear" w:color="auto" w:fill="auto"/>
        </w:rPr>
      </w:pPr>
      <w:r>
        <w:rPr>
          <w:color w:val="auto"/>
          <w:shd w:val="clear" w:color="auto" w:fill="auto"/>
        </w:rPr>
        <w:t>(7) 注意气象和水流条件，密切关注航行条件，通过无线电、手机通信等通信手段提醒行驶船舶行驶条件，避免大风、大浪、大雨、大雾等恶劣天气造成事故发生的可能。</w:t>
      </w:r>
    </w:p>
    <w:p>
      <w:pPr>
        <w:ind w:firstLine="480"/>
        <w:rPr>
          <w:color w:val="auto"/>
          <w:shd w:val="clear" w:color="auto" w:fill="auto"/>
        </w:rPr>
      </w:pPr>
      <w:r>
        <w:rPr>
          <w:color w:val="auto"/>
          <w:shd w:val="clear" w:color="auto" w:fill="auto"/>
        </w:rPr>
        <w:t>(8) 码头配备一定数量的围油栏、吸油毡等应急物资，配备应急通讯设施，加强各单位涉及船员、人员的应急意识，一旦发生事故，可及时通知相关单位，启动应急预案。</w:t>
      </w:r>
    </w:p>
    <w:p>
      <w:pPr>
        <w:pStyle w:val="5"/>
        <w:rPr>
          <w:color w:val="auto"/>
          <w:shd w:val="clear" w:color="auto" w:fill="auto"/>
        </w:rPr>
      </w:pPr>
      <w:r>
        <w:rPr>
          <w:rFonts w:hint="eastAsia"/>
          <w:color w:val="auto"/>
          <w:shd w:val="clear" w:color="auto" w:fill="auto"/>
          <w:lang w:val="en-US" w:eastAsia="zh-CN"/>
        </w:rPr>
        <w:t>5</w:t>
      </w:r>
      <w:r>
        <w:rPr>
          <w:rFonts w:hint="eastAsia"/>
          <w:color w:val="auto"/>
          <w:shd w:val="clear" w:color="auto" w:fill="auto"/>
        </w:rPr>
        <w:t>.</w:t>
      </w:r>
      <w:r>
        <w:rPr>
          <w:rFonts w:hint="eastAsia"/>
          <w:color w:val="auto"/>
          <w:shd w:val="clear" w:color="auto" w:fill="auto"/>
          <w:lang w:val="en-US" w:eastAsia="zh-CN"/>
        </w:rPr>
        <w:t>6</w:t>
      </w:r>
      <w:r>
        <w:rPr>
          <w:rFonts w:hint="eastAsia"/>
          <w:color w:val="auto"/>
          <w:shd w:val="clear" w:color="auto" w:fill="auto"/>
        </w:rPr>
        <w:t>.2应急预案</w:t>
      </w:r>
    </w:p>
    <w:p>
      <w:pPr>
        <w:ind w:firstLine="480"/>
        <w:rPr>
          <w:color w:val="auto"/>
          <w:shd w:val="clear" w:color="auto" w:fill="auto"/>
        </w:rPr>
      </w:pPr>
      <w:r>
        <w:rPr>
          <w:color w:val="auto"/>
          <w:shd w:val="clear" w:color="auto" w:fill="auto"/>
        </w:rPr>
        <w:t>根据本项目环境风险事故的特点应编制本项目的环境污染突发事件应急预案，可参考以下内容建立港区应急预案：</w:t>
      </w:r>
    </w:p>
    <w:p>
      <w:pPr>
        <w:ind w:firstLine="480"/>
        <w:rPr>
          <w:color w:val="auto"/>
          <w:shd w:val="clear" w:color="auto" w:fill="auto"/>
        </w:rPr>
      </w:pPr>
      <w:bookmarkStart w:id="352" w:name="_Toc374949595"/>
      <w:r>
        <w:rPr>
          <w:color w:val="auto"/>
          <w:shd w:val="clear" w:color="auto" w:fill="auto"/>
        </w:rPr>
        <w:t>(1) 应急计划区域</w:t>
      </w:r>
      <w:bookmarkEnd w:id="352"/>
    </w:p>
    <w:p>
      <w:pPr>
        <w:ind w:firstLine="480"/>
        <w:rPr>
          <w:color w:val="auto"/>
          <w:shd w:val="clear" w:color="auto" w:fill="auto"/>
        </w:rPr>
      </w:pPr>
      <w:r>
        <w:rPr>
          <w:color w:val="auto"/>
          <w:shd w:val="clear" w:color="auto" w:fill="auto"/>
        </w:rPr>
        <w:t>应急计划区域应包含危险目标，本项目主要为环境保护目标。因此确定本项目应急计划区域为风险评价范围内的</w:t>
      </w:r>
      <w:r>
        <w:rPr>
          <w:rFonts w:hint="eastAsia"/>
          <w:color w:val="auto"/>
          <w:shd w:val="clear" w:color="auto" w:fill="auto"/>
          <w:lang w:val="en-US" w:eastAsia="zh-CN"/>
        </w:rPr>
        <w:t>沙颍河</w:t>
      </w:r>
      <w:r>
        <w:rPr>
          <w:color w:val="auto"/>
          <w:shd w:val="clear" w:color="auto" w:fill="auto"/>
        </w:rPr>
        <w:t>水域。</w:t>
      </w:r>
    </w:p>
    <w:p>
      <w:pPr>
        <w:ind w:firstLine="480"/>
        <w:rPr>
          <w:color w:val="auto"/>
          <w:shd w:val="clear" w:color="auto" w:fill="auto"/>
        </w:rPr>
      </w:pPr>
      <w:bookmarkStart w:id="353" w:name="_Toc374949596"/>
      <w:r>
        <w:rPr>
          <w:color w:val="auto"/>
          <w:shd w:val="clear" w:color="auto" w:fill="auto"/>
        </w:rPr>
        <w:t>(2) 应急组织机构、人员及职责</w:t>
      </w:r>
      <w:bookmarkEnd w:id="353"/>
    </w:p>
    <w:p>
      <w:pPr>
        <w:ind w:firstLine="480"/>
        <w:rPr>
          <w:color w:val="auto"/>
          <w:shd w:val="clear" w:color="auto" w:fill="auto"/>
        </w:rPr>
      </w:pPr>
      <w:r>
        <w:rPr>
          <w:color w:val="auto"/>
          <w:shd w:val="clear" w:color="auto" w:fill="auto"/>
        </w:rPr>
        <w:t>本项目成立本港区的应急组织体系，由应急指挥小组、应急行动小组和应急保障小组等机构组成，由项目后期成立的管理机构负责人担任应急指挥小组组长，负责应急行动的组织和协调；明确应急责任人和各小组的职责；负责应急实施，并在应急行动中，进行前期应急即时处置，在应急响应过程中协助上级应急组织机构；负责本项目的预警预防工作应急监测、发布以及通报工作等。</w:t>
      </w:r>
    </w:p>
    <w:p>
      <w:pPr>
        <w:ind w:firstLine="480"/>
        <w:rPr>
          <w:color w:val="auto"/>
          <w:shd w:val="clear" w:color="auto" w:fill="auto"/>
        </w:rPr>
      </w:pPr>
      <w:bookmarkStart w:id="354" w:name="_Toc374949597"/>
      <w:r>
        <w:rPr>
          <w:color w:val="auto"/>
          <w:shd w:val="clear" w:color="auto" w:fill="auto"/>
        </w:rPr>
        <w:t>(3) 预案分级响应条件</w:t>
      </w:r>
      <w:bookmarkEnd w:id="354"/>
    </w:p>
    <w:p>
      <w:pPr>
        <w:ind w:firstLine="480"/>
        <w:rPr>
          <w:color w:val="auto"/>
          <w:shd w:val="clear" w:color="auto" w:fill="auto"/>
        </w:rPr>
      </w:pPr>
      <w:r>
        <w:rPr>
          <w:color w:val="auto"/>
          <w:shd w:val="clear" w:color="auto" w:fill="auto"/>
        </w:rPr>
        <w:t>本预案只适用于划分在本项目应急计划水域内发生交通事故，导致船舶溢油等污染事故。本预案应急行动可分为三级，即：一般应急、紧急应急和重(特)大应急。</w:t>
      </w:r>
    </w:p>
    <w:p>
      <w:pPr>
        <w:ind w:firstLine="480"/>
        <w:rPr>
          <w:color w:val="auto"/>
          <w:shd w:val="clear" w:color="auto" w:fill="auto"/>
        </w:rPr>
      </w:pPr>
      <w:r>
        <w:rPr>
          <w:rFonts w:hint="eastAsia" w:ascii="宋体" w:hAnsi="宋体" w:cs="宋体"/>
          <w:color w:val="auto"/>
          <w:shd w:val="clear" w:color="auto" w:fill="auto"/>
        </w:rPr>
        <w:t>Ⅰ</w:t>
      </w:r>
      <w:r>
        <w:rPr>
          <w:color w:val="auto"/>
          <w:shd w:val="clear" w:color="auto" w:fill="auto"/>
        </w:rPr>
        <w:t>、特大应急</w:t>
      </w:r>
    </w:p>
    <w:p>
      <w:pPr>
        <w:ind w:firstLine="480"/>
        <w:rPr>
          <w:color w:val="auto"/>
          <w:shd w:val="clear" w:color="auto" w:fill="auto"/>
        </w:rPr>
      </w:pPr>
      <w:r>
        <w:rPr>
          <w:color w:val="auto"/>
          <w:shd w:val="clear" w:color="auto" w:fill="auto"/>
        </w:rPr>
        <w:t>溢油泄漏量很大，对保护目标、岸线、人体健康等造成严重影响，可能需要统一组织指挥调度省级区域的相关公共资源和力量进行应急联动处置。</w:t>
      </w:r>
    </w:p>
    <w:p>
      <w:pPr>
        <w:ind w:firstLine="480"/>
        <w:rPr>
          <w:color w:val="auto"/>
          <w:shd w:val="clear" w:color="auto" w:fill="auto"/>
        </w:rPr>
      </w:pPr>
      <w:r>
        <w:rPr>
          <w:rFonts w:hint="eastAsia" w:ascii="宋体" w:hAnsi="宋体" w:cs="宋体"/>
          <w:color w:val="auto"/>
          <w:shd w:val="clear" w:color="auto" w:fill="auto"/>
        </w:rPr>
        <w:t>Ⅱ</w:t>
      </w:r>
      <w:r>
        <w:rPr>
          <w:color w:val="auto"/>
          <w:shd w:val="clear" w:color="auto" w:fill="auto"/>
        </w:rPr>
        <w:t>、重大应急</w:t>
      </w:r>
    </w:p>
    <w:p>
      <w:pPr>
        <w:ind w:firstLine="480"/>
        <w:rPr>
          <w:color w:val="auto"/>
          <w:shd w:val="clear" w:color="auto" w:fill="auto"/>
        </w:rPr>
      </w:pPr>
      <w:r>
        <w:rPr>
          <w:color w:val="auto"/>
          <w:shd w:val="clear" w:color="auto" w:fill="auto"/>
        </w:rPr>
        <w:t>溢油泄漏量较大，泄漏极可能对保护目标、岸线、人体健康等造成较大影响；风险事故需要组织全市公共资源和力量进行应急联动处置。</w:t>
      </w:r>
    </w:p>
    <w:p>
      <w:pPr>
        <w:ind w:firstLine="480"/>
        <w:rPr>
          <w:color w:val="auto"/>
          <w:shd w:val="clear" w:color="auto" w:fill="auto"/>
        </w:rPr>
      </w:pPr>
      <w:r>
        <w:rPr>
          <w:rFonts w:hint="eastAsia" w:ascii="宋体" w:hAnsi="宋体" w:cs="宋体"/>
          <w:color w:val="auto"/>
          <w:shd w:val="clear" w:color="auto" w:fill="auto"/>
        </w:rPr>
        <w:t>Ⅲ</w:t>
      </w:r>
      <w:r>
        <w:rPr>
          <w:color w:val="auto"/>
          <w:shd w:val="clear" w:color="auto" w:fill="auto"/>
        </w:rPr>
        <w:t>、较大应急</w:t>
      </w:r>
    </w:p>
    <w:p>
      <w:pPr>
        <w:ind w:firstLine="480"/>
        <w:rPr>
          <w:color w:val="auto"/>
          <w:shd w:val="clear" w:color="auto" w:fill="auto"/>
        </w:rPr>
      </w:pPr>
      <w:r>
        <w:rPr>
          <w:color w:val="auto"/>
          <w:shd w:val="clear" w:color="auto" w:fill="auto"/>
        </w:rPr>
        <w:t xml:space="preserve">溢油泄漏量很少，且预计不会对保护目标、岸线、人体健康等造成影响，污染在本港应急指挥小组组织处理下能得到控制。 </w:t>
      </w:r>
    </w:p>
    <w:p>
      <w:pPr>
        <w:ind w:firstLine="480"/>
        <w:rPr>
          <w:color w:val="auto"/>
          <w:shd w:val="clear" w:color="auto" w:fill="auto"/>
        </w:rPr>
      </w:pPr>
      <w:r>
        <w:rPr>
          <w:rFonts w:hint="eastAsia" w:ascii="宋体" w:hAnsi="宋体" w:cs="宋体"/>
          <w:color w:val="auto"/>
          <w:shd w:val="clear" w:color="auto" w:fill="auto"/>
        </w:rPr>
        <w:t>Ⅳ</w:t>
      </w:r>
      <w:r>
        <w:rPr>
          <w:color w:val="auto"/>
          <w:shd w:val="clear" w:color="auto" w:fill="auto"/>
        </w:rPr>
        <w:t>、一般应急</w:t>
      </w:r>
    </w:p>
    <w:p>
      <w:pPr>
        <w:ind w:firstLine="480"/>
        <w:rPr>
          <w:color w:val="auto"/>
          <w:shd w:val="clear" w:color="auto" w:fill="auto"/>
        </w:rPr>
      </w:pPr>
      <w:r>
        <w:rPr>
          <w:color w:val="auto"/>
          <w:shd w:val="clear" w:color="auto" w:fill="auto"/>
        </w:rPr>
        <w:t>溢油泄漏量非常少，可通过本项目应急力量得到控制。</w:t>
      </w:r>
    </w:p>
    <w:p>
      <w:pPr>
        <w:ind w:firstLine="480"/>
        <w:rPr>
          <w:color w:val="auto"/>
          <w:shd w:val="clear" w:color="auto" w:fill="auto"/>
        </w:rPr>
      </w:pPr>
      <w:bookmarkStart w:id="355" w:name="_Toc374949598"/>
      <w:r>
        <w:rPr>
          <w:color w:val="auto"/>
          <w:shd w:val="clear" w:color="auto" w:fill="auto"/>
        </w:rPr>
        <w:t>(4) 报警及通报机制</w:t>
      </w:r>
      <w:bookmarkEnd w:id="355"/>
    </w:p>
    <w:p>
      <w:pPr>
        <w:ind w:firstLine="480"/>
        <w:rPr>
          <w:color w:val="auto"/>
          <w:shd w:val="clear" w:color="auto" w:fill="auto"/>
        </w:rPr>
      </w:pPr>
      <w:r>
        <w:rPr>
          <w:color w:val="auto"/>
          <w:shd w:val="clear" w:color="auto" w:fill="auto"/>
        </w:rPr>
        <w:t>应急反应过程中，及时对事故的通报是决定整个反应过程和消除污染效果的关键，因此须建立快速报警系统和通讯指挥联络系统，确定应急状态下的报警通讯方式、通知方式、事故上报机制等。</w:t>
      </w:r>
    </w:p>
    <w:p>
      <w:pPr>
        <w:ind w:firstLine="480"/>
        <w:rPr>
          <w:color w:val="auto"/>
          <w:shd w:val="clear" w:color="auto" w:fill="auto"/>
        </w:rPr>
      </w:pPr>
      <w:r>
        <w:rPr>
          <w:color w:val="auto"/>
          <w:shd w:val="clear" w:color="auto" w:fill="auto"/>
        </w:rPr>
        <w:t>本港应急指挥中心在接到报警信息后，应对现场事故信息进行收集，核实事故时间、地点和海况，污染源，事故原因（如碰撞、搁浅等），污染物种类和数量以及污染区域的描述等。根据事故程度，本港应急指挥中心应及时将相关信息和动态，按上报机制逐级向市应急救援领导组、省应急工作领导小组等通报，做好相应的记录。</w:t>
      </w:r>
    </w:p>
    <w:p>
      <w:pPr>
        <w:ind w:firstLine="480"/>
        <w:rPr>
          <w:color w:val="auto"/>
          <w:shd w:val="clear" w:color="auto" w:fill="auto"/>
        </w:rPr>
      </w:pPr>
      <w:bookmarkStart w:id="356" w:name="_Toc374949599"/>
      <w:r>
        <w:rPr>
          <w:color w:val="auto"/>
          <w:shd w:val="clear" w:color="auto" w:fill="auto"/>
        </w:rPr>
        <w:t>(5) 事故应急行动计划基本程序</w:t>
      </w:r>
      <w:bookmarkEnd w:id="356"/>
    </w:p>
    <w:p>
      <w:pPr>
        <w:ind w:firstLine="480"/>
        <w:rPr>
          <w:color w:val="auto"/>
          <w:shd w:val="clear" w:color="auto" w:fill="auto"/>
        </w:rPr>
      </w:pPr>
      <w:r>
        <w:rPr>
          <w:color w:val="auto"/>
          <w:shd w:val="clear" w:color="auto" w:fill="auto"/>
        </w:rPr>
        <w:t>根据本预案中对应急行动的分类，当发生较大、一般应急事故时，本港应急指挥中心应组织应急人员通过配备的应急物资进行应急响应，控制事故范围，并上报上级主管部门。</w:t>
      </w:r>
    </w:p>
    <w:p>
      <w:pPr>
        <w:ind w:firstLine="480"/>
        <w:rPr>
          <w:color w:val="auto"/>
          <w:shd w:val="clear" w:color="auto" w:fill="auto"/>
        </w:rPr>
      </w:pPr>
      <w:r>
        <w:rPr>
          <w:color w:val="auto"/>
          <w:shd w:val="clear" w:color="auto" w:fill="auto"/>
        </w:rPr>
        <w:t>当事故规模超过码头人员、设备所能解决的范围时，即重大、特大应急事故时，本</w:t>
      </w:r>
      <w:r>
        <w:rPr>
          <w:rFonts w:hint="eastAsia"/>
          <w:color w:val="auto"/>
          <w:shd w:val="clear" w:color="auto" w:fill="auto"/>
        </w:rPr>
        <w:t>码头</w:t>
      </w:r>
      <w:r>
        <w:rPr>
          <w:color w:val="auto"/>
          <w:shd w:val="clear" w:color="auto" w:fill="auto"/>
        </w:rPr>
        <w:t>应急指挥中心应积极配合上级应急救援领导组工作，并及时通知下游可能受影响的单位。</w:t>
      </w:r>
    </w:p>
    <w:p>
      <w:pPr>
        <w:ind w:firstLine="480"/>
        <w:rPr>
          <w:color w:val="auto"/>
          <w:shd w:val="clear" w:color="auto" w:fill="auto"/>
        </w:rPr>
      </w:pPr>
      <w:bookmarkStart w:id="357" w:name="_Toc374949600"/>
      <w:r>
        <w:rPr>
          <w:color w:val="auto"/>
          <w:shd w:val="clear" w:color="auto" w:fill="auto"/>
        </w:rPr>
        <w:t>(6) 应急处置</w:t>
      </w:r>
      <w:bookmarkEnd w:id="357"/>
    </w:p>
    <w:p>
      <w:pPr>
        <w:ind w:firstLine="480"/>
        <w:rPr>
          <w:color w:val="auto"/>
          <w:shd w:val="clear" w:color="auto" w:fill="auto"/>
        </w:rPr>
      </w:pPr>
      <w:r>
        <w:rPr>
          <w:rFonts w:hint="eastAsia" w:ascii="宋体" w:hAnsi="宋体" w:cs="宋体"/>
          <w:color w:val="auto"/>
          <w:shd w:val="clear" w:color="auto" w:fill="auto"/>
        </w:rPr>
        <w:t>①</w:t>
      </w:r>
      <w:r>
        <w:rPr>
          <w:color w:val="auto"/>
          <w:shd w:val="clear" w:color="auto" w:fill="auto"/>
        </w:rPr>
        <w:t>若本项目单位为第一发现人，应及时根据污染情况启动本项目应急预案，并根据应急响应条件及时采取行动；</w:t>
      </w:r>
    </w:p>
    <w:p>
      <w:pPr>
        <w:ind w:firstLine="480"/>
        <w:rPr>
          <w:color w:val="auto"/>
          <w:shd w:val="clear" w:color="auto" w:fill="auto"/>
        </w:rPr>
      </w:pPr>
      <w:r>
        <w:rPr>
          <w:rFonts w:hint="eastAsia" w:ascii="宋体" w:hAnsi="宋体" w:cs="宋体"/>
          <w:color w:val="auto"/>
          <w:shd w:val="clear" w:color="auto" w:fill="auto"/>
        </w:rPr>
        <w:t>②</w:t>
      </w:r>
      <w:r>
        <w:rPr>
          <w:color w:val="auto"/>
          <w:shd w:val="clear" w:color="auto" w:fill="auto"/>
        </w:rPr>
        <w:t>通知市应急救援领导组及相关水产局、环保局和水厂，加强水质监测，保证用水安全；</w:t>
      </w:r>
    </w:p>
    <w:p>
      <w:pPr>
        <w:ind w:firstLine="480"/>
        <w:rPr>
          <w:color w:val="auto"/>
          <w:shd w:val="clear" w:color="auto" w:fill="auto"/>
        </w:rPr>
      </w:pPr>
      <w:r>
        <w:rPr>
          <w:rFonts w:hint="eastAsia" w:ascii="宋体" w:hAnsi="宋体" w:cs="宋体"/>
          <w:color w:val="auto"/>
          <w:shd w:val="clear" w:color="auto" w:fill="auto"/>
        </w:rPr>
        <w:t>③</w:t>
      </w:r>
      <w:r>
        <w:rPr>
          <w:color w:val="auto"/>
          <w:shd w:val="clear" w:color="auto" w:fill="auto"/>
        </w:rPr>
        <w:t>根据事故规模，合理布设围油栏，最低限度降低事故影响；</w:t>
      </w:r>
    </w:p>
    <w:p>
      <w:pPr>
        <w:ind w:firstLine="480"/>
        <w:rPr>
          <w:color w:val="auto"/>
          <w:shd w:val="clear" w:color="auto" w:fill="auto"/>
        </w:rPr>
      </w:pPr>
      <w:r>
        <w:rPr>
          <w:rFonts w:hint="eastAsia" w:ascii="宋体" w:hAnsi="宋体" w:cs="宋体"/>
          <w:color w:val="auto"/>
          <w:shd w:val="clear" w:color="auto" w:fill="auto"/>
        </w:rPr>
        <w:t>④</w:t>
      </w:r>
      <w:r>
        <w:rPr>
          <w:color w:val="auto"/>
          <w:shd w:val="clear" w:color="auto" w:fill="auto"/>
        </w:rPr>
        <w:t>加强与上级港区、区域内国家应急力量、社会应急力量的联动，建立应急体系的互助合作关系，增强事故发生内短时间调集互助资源的能力；</w:t>
      </w:r>
    </w:p>
    <w:p>
      <w:pPr>
        <w:ind w:firstLine="480"/>
        <w:rPr>
          <w:color w:val="auto"/>
          <w:shd w:val="clear" w:color="auto" w:fill="auto"/>
        </w:rPr>
      </w:pPr>
      <w:r>
        <w:rPr>
          <w:rFonts w:hint="eastAsia" w:ascii="宋体" w:hAnsi="宋体" w:cs="宋体"/>
          <w:color w:val="auto"/>
          <w:shd w:val="clear" w:color="auto" w:fill="auto"/>
        </w:rPr>
        <w:t>⑤</w:t>
      </w:r>
      <w:r>
        <w:rPr>
          <w:color w:val="auto"/>
          <w:shd w:val="clear" w:color="auto" w:fill="auto"/>
        </w:rPr>
        <w:t>积极配合海事部门、消防部门、公安部门等单位工作，做好应急预案的实施。</w:t>
      </w:r>
    </w:p>
    <w:p>
      <w:pPr>
        <w:ind w:firstLine="480"/>
        <w:rPr>
          <w:color w:val="auto"/>
          <w:shd w:val="clear" w:color="auto" w:fill="auto"/>
        </w:rPr>
      </w:pPr>
      <w:bookmarkStart w:id="358" w:name="_Toc374949601"/>
      <w:r>
        <w:rPr>
          <w:color w:val="auto"/>
          <w:shd w:val="clear" w:color="auto" w:fill="auto"/>
        </w:rPr>
        <w:t>(7) 应急控制、防护、清除泄漏、恢复措施</w:t>
      </w:r>
      <w:bookmarkEnd w:id="358"/>
    </w:p>
    <w:p>
      <w:pPr>
        <w:ind w:firstLine="480"/>
        <w:rPr>
          <w:color w:val="auto"/>
          <w:shd w:val="clear" w:color="auto" w:fill="auto"/>
        </w:rPr>
      </w:pPr>
      <w:r>
        <w:rPr>
          <w:color w:val="auto"/>
          <w:shd w:val="clear" w:color="auto" w:fill="auto"/>
        </w:rPr>
        <w:t>溢油泄漏事故一旦发生后，根据应急计划进行最初的应急反应后，还应根据溢出事故的具体情况，在现场指挥部的统一指挥下，组织调动人力物力，开展污染清除和生态恢复工作。</w:t>
      </w:r>
    </w:p>
    <w:p>
      <w:pPr>
        <w:ind w:firstLine="480"/>
        <w:rPr>
          <w:color w:val="auto"/>
          <w:shd w:val="clear" w:color="auto" w:fill="auto"/>
        </w:rPr>
      </w:pPr>
      <w:r>
        <w:rPr>
          <w:color w:val="auto"/>
          <w:shd w:val="clear" w:color="auto" w:fill="auto"/>
        </w:rPr>
        <w:t>一旦发生泄漏事故，围控设备、清污设备要尽快到达溢油现场。视事故情况对泄漏物采取相应的应急措施。</w:t>
      </w:r>
    </w:p>
    <w:p>
      <w:pPr>
        <w:ind w:firstLine="480"/>
        <w:rPr>
          <w:color w:val="auto"/>
          <w:shd w:val="clear" w:color="auto" w:fill="auto"/>
        </w:rPr>
      </w:pPr>
      <w:bookmarkStart w:id="359" w:name="_Toc374949602"/>
      <w:r>
        <w:rPr>
          <w:color w:val="auto"/>
          <w:shd w:val="clear" w:color="auto" w:fill="auto"/>
        </w:rPr>
        <w:t>(8) 与区域应急反应计划的衔接程序</w:t>
      </w:r>
      <w:bookmarkEnd w:id="359"/>
    </w:p>
    <w:p>
      <w:pPr>
        <w:ind w:firstLine="480"/>
        <w:rPr>
          <w:color w:val="auto"/>
          <w:shd w:val="clear" w:color="auto" w:fill="auto"/>
        </w:rPr>
      </w:pPr>
      <w:r>
        <w:rPr>
          <w:color w:val="auto"/>
          <w:shd w:val="clear" w:color="auto" w:fill="auto"/>
        </w:rPr>
        <w:t>由码头应急指挥中心迅速确定事故等级，由应急指挥中心总负责人做出请求区域协作的决策。请求区域协作时应优先考虑设备、人员到达灾区的时间、后勤保障及费用情况。</w:t>
      </w:r>
    </w:p>
    <w:p>
      <w:pPr>
        <w:ind w:firstLine="480"/>
        <w:rPr>
          <w:color w:val="auto"/>
          <w:shd w:val="clear" w:color="auto" w:fill="auto"/>
        </w:rPr>
      </w:pPr>
      <w:bookmarkStart w:id="360" w:name="_Toc374949603"/>
      <w:r>
        <w:rPr>
          <w:color w:val="auto"/>
          <w:shd w:val="clear" w:color="auto" w:fill="auto"/>
        </w:rPr>
        <w:t>(9) 应急关闭程序</w:t>
      </w:r>
      <w:bookmarkEnd w:id="360"/>
    </w:p>
    <w:p>
      <w:pPr>
        <w:ind w:firstLine="480"/>
        <w:rPr>
          <w:color w:val="auto"/>
          <w:shd w:val="clear" w:color="auto" w:fill="auto"/>
        </w:rPr>
      </w:pPr>
      <w:r>
        <w:rPr>
          <w:color w:val="auto"/>
          <w:shd w:val="clear" w:color="auto" w:fill="auto"/>
        </w:rPr>
        <w:fldChar w:fldCharType="begin"/>
      </w:r>
      <w:r>
        <w:rPr>
          <w:color w:val="auto"/>
          <w:shd w:val="clear" w:color="auto" w:fill="auto"/>
        </w:rPr>
        <w:instrText xml:space="preserve"> = 1 \* GB3 </w:instrText>
      </w:r>
      <w:r>
        <w:rPr>
          <w:color w:val="auto"/>
          <w:shd w:val="clear" w:color="auto" w:fill="auto"/>
        </w:rPr>
        <w:fldChar w:fldCharType="separate"/>
      </w:r>
      <w:r>
        <w:rPr>
          <w:rFonts w:hint="eastAsia" w:ascii="宋体" w:hAnsi="宋体" w:cs="宋体"/>
          <w:color w:val="auto"/>
          <w:shd w:val="clear" w:color="auto" w:fill="auto"/>
        </w:rPr>
        <w:t>①</w:t>
      </w:r>
      <w:r>
        <w:rPr>
          <w:color w:val="auto"/>
          <w:shd w:val="clear" w:color="auto" w:fill="auto"/>
        </w:rPr>
        <w:fldChar w:fldCharType="end"/>
      </w:r>
      <w:r>
        <w:rPr>
          <w:color w:val="auto"/>
          <w:shd w:val="clear" w:color="auto" w:fill="auto"/>
        </w:rPr>
        <w:t>应急关闭条件</w:t>
      </w:r>
    </w:p>
    <w:p>
      <w:pPr>
        <w:ind w:firstLine="480"/>
        <w:rPr>
          <w:color w:val="auto"/>
          <w:shd w:val="clear" w:color="auto" w:fill="auto"/>
        </w:rPr>
      </w:pPr>
      <w:r>
        <w:rPr>
          <w:color w:val="auto"/>
          <w:shd w:val="clear" w:color="auto" w:fill="auto"/>
        </w:rPr>
        <w:t>符合下列条件之一的，终止应急行动：事故现场得到控制，事故条件已经消除；事故所造成的危害已被彻底消除，无续发可能；事故现场的各种专业应急处置行动已无继续的必要；采取了必要的防护措施已能保证免受再次危害，并使事故可能引起的中长期影响趋于合理且尽量低的水平。</w:t>
      </w:r>
    </w:p>
    <w:p>
      <w:pPr>
        <w:ind w:firstLine="480"/>
        <w:rPr>
          <w:color w:val="auto"/>
          <w:shd w:val="clear" w:color="auto" w:fill="auto"/>
        </w:rPr>
      </w:pPr>
      <w:r>
        <w:rPr>
          <w:color w:val="auto"/>
          <w:shd w:val="clear" w:color="auto" w:fill="auto"/>
        </w:rPr>
        <w:fldChar w:fldCharType="begin"/>
      </w:r>
      <w:r>
        <w:rPr>
          <w:color w:val="auto"/>
          <w:shd w:val="clear" w:color="auto" w:fill="auto"/>
        </w:rPr>
        <w:instrText xml:space="preserve"> = 2 \* GB3 </w:instrText>
      </w:r>
      <w:r>
        <w:rPr>
          <w:color w:val="auto"/>
          <w:shd w:val="clear" w:color="auto" w:fill="auto"/>
        </w:rPr>
        <w:fldChar w:fldCharType="separate"/>
      </w:r>
      <w:r>
        <w:rPr>
          <w:rFonts w:hint="eastAsia" w:ascii="宋体" w:hAnsi="宋体" w:cs="宋体"/>
          <w:color w:val="auto"/>
          <w:shd w:val="clear" w:color="auto" w:fill="auto"/>
        </w:rPr>
        <w:t>②</w:t>
      </w:r>
      <w:r>
        <w:rPr>
          <w:color w:val="auto"/>
          <w:shd w:val="clear" w:color="auto" w:fill="auto"/>
        </w:rPr>
        <w:fldChar w:fldCharType="end"/>
      </w:r>
      <w:r>
        <w:rPr>
          <w:color w:val="auto"/>
          <w:shd w:val="clear" w:color="auto" w:fill="auto"/>
        </w:rPr>
        <w:t>应急终止的程序</w:t>
      </w:r>
    </w:p>
    <w:p>
      <w:pPr>
        <w:ind w:firstLine="480"/>
        <w:rPr>
          <w:color w:val="auto"/>
          <w:shd w:val="clear" w:color="auto" w:fill="auto"/>
        </w:rPr>
      </w:pPr>
      <w:r>
        <w:rPr>
          <w:color w:val="auto"/>
          <w:shd w:val="clear" w:color="auto" w:fill="auto"/>
        </w:rPr>
        <w:t>现场应急指挥部视事件处置情况确认终止时机，提出应急结束的建议，报市、省应急指挥机构批准后，下达应急终止命令，则本项目应急随之终止。</w:t>
      </w:r>
    </w:p>
    <w:p>
      <w:pPr>
        <w:ind w:firstLine="480"/>
        <w:rPr>
          <w:color w:val="auto"/>
          <w:shd w:val="clear" w:color="auto" w:fill="auto"/>
        </w:rPr>
      </w:pPr>
      <w:r>
        <w:rPr>
          <w:color w:val="auto"/>
          <w:shd w:val="clear" w:color="auto" w:fill="auto"/>
        </w:rPr>
        <w:fldChar w:fldCharType="begin"/>
      </w:r>
      <w:r>
        <w:rPr>
          <w:color w:val="auto"/>
          <w:shd w:val="clear" w:color="auto" w:fill="auto"/>
        </w:rPr>
        <w:instrText xml:space="preserve"> = 3 \* GB3 </w:instrText>
      </w:r>
      <w:r>
        <w:rPr>
          <w:color w:val="auto"/>
          <w:shd w:val="clear" w:color="auto" w:fill="auto"/>
        </w:rPr>
        <w:fldChar w:fldCharType="separate"/>
      </w:r>
      <w:r>
        <w:rPr>
          <w:rFonts w:hint="eastAsia" w:ascii="宋体" w:hAnsi="宋体" w:cs="宋体"/>
          <w:color w:val="auto"/>
          <w:shd w:val="clear" w:color="auto" w:fill="auto"/>
        </w:rPr>
        <w:t>③</w:t>
      </w:r>
      <w:r>
        <w:rPr>
          <w:color w:val="auto"/>
          <w:shd w:val="clear" w:color="auto" w:fill="auto"/>
        </w:rPr>
        <w:fldChar w:fldCharType="end"/>
      </w:r>
      <w:r>
        <w:rPr>
          <w:color w:val="auto"/>
          <w:shd w:val="clear" w:color="auto" w:fill="auto"/>
        </w:rPr>
        <w:t>应急终止后的行动</w:t>
      </w:r>
    </w:p>
    <w:p>
      <w:pPr>
        <w:ind w:firstLine="480"/>
        <w:rPr>
          <w:color w:val="auto"/>
          <w:shd w:val="clear" w:color="auto" w:fill="auto"/>
        </w:rPr>
      </w:pPr>
      <w:r>
        <w:rPr>
          <w:color w:val="auto"/>
          <w:shd w:val="clear" w:color="auto" w:fill="auto"/>
        </w:rPr>
        <w:t>进行事故分析，查找事故原因，防止类似问题的重复出现。由总指挥负责组织参加应急行动的人员进行经验学习、指导环境应急队伍维护、保养应急仪器设备，使之始终保持良好的技术状态。</w:t>
      </w:r>
    </w:p>
    <w:p>
      <w:pPr>
        <w:ind w:firstLine="480"/>
        <w:rPr>
          <w:color w:val="auto"/>
          <w:shd w:val="clear" w:color="auto" w:fill="auto"/>
        </w:rPr>
      </w:pPr>
      <w:bookmarkStart w:id="361" w:name="_Toc374949604"/>
      <w:r>
        <w:rPr>
          <w:color w:val="auto"/>
          <w:shd w:val="clear" w:color="auto" w:fill="auto"/>
        </w:rPr>
        <w:t>(10) 应急培训计划</w:t>
      </w:r>
      <w:bookmarkEnd w:id="361"/>
    </w:p>
    <w:p>
      <w:pPr>
        <w:ind w:firstLine="480"/>
        <w:rPr>
          <w:color w:val="auto"/>
          <w:shd w:val="clear" w:color="auto" w:fill="auto"/>
        </w:rPr>
      </w:pPr>
      <w:r>
        <w:rPr>
          <w:color w:val="auto"/>
          <w:shd w:val="clear" w:color="auto" w:fill="auto"/>
        </w:rPr>
        <w:t>为了确保应急计划的有效性和可操作性，必须预先对计划中所涉及的人员、设备器材进行训练和维护+保养，使参加应急行动的每一个人都能做到应知应会、熟练掌握。</w:t>
      </w:r>
    </w:p>
    <w:p>
      <w:pPr>
        <w:ind w:firstLine="480"/>
        <w:rPr>
          <w:color w:val="auto"/>
          <w:shd w:val="clear" w:color="auto" w:fill="auto"/>
        </w:rPr>
      </w:pPr>
      <w:r>
        <w:rPr>
          <w:color w:val="auto"/>
          <w:shd w:val="clear" w:color="auto" w:fill="auto"/>
        </w:rPr>
        <w:t>每年定期组织应急人员培训，使受培训人员能掌握使用和维护、保养各种应急设备和器材，并具有在指挥人员指导下完成应急反应的能力。</w:t>
      </w:r>
    </w:p>
    <w:p>
      <w:pPr>
        <w:ind w:firstLine="480"/>
        <w:rPr>
          <w:color w:val="auto"/>
          <w:shd w:val="clear" w:color="auto" w:fill="auto"/>
        </w:rPr>
      </w:pPr>
      <w:r>
        <w:rPr>
          <w:color w:val="auto"/>
          <w:shd w:val="clear" w:color="auto" w:fill="auto"/>
        </w:rPr>
        <w:t>每1～2年进行一次应急演习，在模拟的事故状态下，检查应急机构，应急队伍，应急设备和器材，应急通讯等各方面的实战船能力。通过演习，发现工作中薄弱环节，并修改、完善应急计划。</w:t>
      </w:r>
    </w:p>
    <w:p>
      <w:pPr>
        <w:spacing w:line="360" w:lineRule="auto"/>
        <w:ind w:firstLine="480" w:firstLineChars="200"/>
        <w:rPr>
          <w:color w:val="auto"/>
          <w:sz w:val="24"/>
        </w:rPr>
      </w:pPr>
      <w:r>
        <w:rPr>
          <w:rFonts w:hint="eastAsia"/>
          <w:color w:val="auto"/>
          <w:sz w:val="24"/>
        </w:rPr>
        <w:t>溢油事故风险应急对策和措施清单见下表。</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157" w:beforeLines="50" w:line="240" w:lineRule="auto"/>
        <w:jc w:val="center"/>
        <w:textAlignment w:val="auto"/>
        <w:rPr>
          <w:rFonts w:hint="eastAsia" w:ascii="Times New Roman" w:hAnsi="Times New Roman" w:eastAsia="黑体" w:cs="Times New Roman"/>
          <w:color w:val="auto"/>
          <w:kern w:val="2"/>
          <w:sz w:val="21"/>
          <w:szCs w:val="21"/>
          <w:shd w:val="clear" w:color="auto" w:fill="auto"/>
          <w:lang w:val="en-US" w:eastAsia="zh-CN" w:bidi="ar-SA"/>
        </w:rPr>
      </w:pPr>
      <w:r>
        <w:rPr>
          <w:rFonts w:hint="eastAsia" w:eastAsia="黑体" w:cs="Times New Roman"/>
          <w:color w:val="auto"/>
          <w:kern w:val="2"/>
          <w:sz w:val="21"/>
          <w:szCs w:val="21"/>
          <w:shd w:val="clear" w:color="auto" w:fill="auto"/>
          <w:lang w:val="en-US" w:eastAsia="zh-CN" w:bidi="ar-SA"/>
        </w:rPr>
        <w:t xml:space="preserve">表5.6-1 </w:t>
      </w:r>
      <w:r>
        <w:rPr>
          <w:rFonts w:hint="eastAsia" w:ascii="Times New Roman" w:hAnsi="Times New Roman" w:eastAsia="黑体" w:cs="Times New Roman"/>
          <w:color w:val="auto"/>
          <w:kern w:val="2"/>
          <w:sz w:val="21"/>
          <w:szCs w:val="21"/>
          <w:shd w:val="clear" w:color="auto" w:fill="auto"/>
          <w:lang w:val="en-US" w:eastAsia="zh-CN" w:bidi="ar-SA"/>
        </w:rPr>
        <w:t>事故环境风险应急对策和措施</w:t>
      </w:r>
    </w:p>
    <w:tbl>
      <w:tblPr>
        <w:tblStyle w:val="26"/>
        <w:tblW w:w="83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75"/>
        <w:gridCol w:w="1857"/>
        <w:gridCol w:w="5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tblHeader/>
          <w:jc w:val="center"/>
        </w:trPr>
        <w:tc>
          <w:tcPr>
            <w:tcW w:w="775"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序号</w:t>
            </w:r>
          </w:p>
        </w:tc>
        <w:tc>
          <w:tcPr>
            <w:tcW w:w="1857"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对策措施</w:t>
            </w:r>
          </w:p>
        </w:tc>
        <w:tc>
          <w:tcPr>
            <w:tcW w:w="5684"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775"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1</w:t>
            </w:r>
          </w:p>
        </w:tc>
        <w:tc>
          <w:tcPr>
            <w:tcW w:w="1857"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事故报告</w:t>
            </w:r>
          </w:p>
        </w:tc>
        <w:tc>
          <w:tcPr>
            <w:tcW w:w="5684"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一但发现意外事故，应立即通知水上消防队，并保持与消防队、公司调度室的联络，直到得到通知已做出适当的安排。可能对</w:t>
            </w:r>
            <w:r>
              <w:rPr>
                <w:rFonts w:hint="eastAsia" w:cs="Times New Roman"/>
                <w:b w:val="0"/>
                <w:bCs/>
                <w:color w:val="auto"/>
                <w:sz w:val="21"/>
                <w:szCs w:val="21"/>
                <w:lang w:eastAsia="zh-CN"/>
              </w:rPr>
              <w:t>沙颍河</w:t>
            </w:r>
            <w:r>
              <w:rPr>
                <w:rFonts w:hint="default" w:ascii="Times New Roman" w:hAnsi="Times New Roman" w:cs="Times New Roman"/>
                <w:b w:val="0"/>
                <w:bCs/>
                <w:color w:val="auto"/>
                <w:sz w:val="21"/>
                <w:szCs w:val="21"/>
              </w:rPr>
              <w:t>环境造成污染时应当立即向有关海事部门报告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775"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2</w:t>
            </w:r>
          </w:p>
        </w:tc>
        <w:tc>
          <w:tcPr>
            <w:tcW w:w="1857"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泄漏处理</w:t>
            </w:r>
          </w:p>
        </w:tc>
        <w:tc>
          <w:tcPr>
            <w:tcW w:w="5684"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采取围栏围堵、吸油等措施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775"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3</w:t>
            </w:r>
          </w:p>
        </w:tc>
        <w:tc>
          <w:tcPr>
            <w:tcW w:w="1857"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火灾爆炸事故处理</w:t>
            </w:r>
          </w:p>
        </w:tc>
        <w:tc>
          <w:tcPr>
            <w:tcW w:w="5684"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无关人员迅速疏散；现场处理人员应根据油品的特性，采用相应的灭火器材及适当方式灭火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775"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4</w:t>
            </w:r>
          </w:p>
        </w:tc>
        <w:tc>
          <w:tcPr>
            <w:tcW w:w="1857"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医疗急救</w:t>
            </w:r>
          </w:p>
        </w:tc>
        <w:tc>
          <w:tcPr>
            <w:tcW w:w="5684"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迅速将伤者移离现场，然后在安全的地点进行急救，应尽快查清的形式，严重程度，并由专业医护机构或人员实施急救，任何受影响的人员均应尽快送至医院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775"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5</w:t>
            </w:r>
          </w:p>
        </w:tc>
        <w:tc>
          <w:tcPr>
            <w:tcW w:w="1857"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事后处理</w:t>
            </w:r>
          </w:p>
        </w:tc>
        <w:tc>
          <w:tcPr>
            <w:tcW w:w="5684"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协助有关部门调查事故的事因，事故处理结束后，应进行总结，写出事故报告</w:t>
            </w:r>
          </w:p>
        </w:tc>
      </w:tr>
    </w:tbl>
    <w:p>
      <w:pPr>
        <w:pStyle w:val="5"/>
        <w:rPr>
          <w:color w:val="auto"/>
          <w:shd w:val="clear" w:color="auto" w:fill="auto"/>
        </w:rPr>
      </w:pPr>
      <w:r>
        <w:rPr>
          <w:rFonts w:hint="eastAsia"/>
          <w:color w:val="auto"/>
          <w:shd w:val="clear" w:color="auto" w:fill="auto"/>
          <w:lang w:val="en-US" w:eastAsia="zh-CN"/>
        </w:rPr>
        <w:t>5</w:t>
      </w:r>
      <w:r>
        <w:rPr>
          <w:rFonts w:hint="eastAsia"/>
          <w:color w:val="auto"/>
          <w:shd w:val="clear" w:color="auto" w:fill="auto"/>
        </w:rPr>
        <w:t>.</w:t>
      </w:r>
      <w:r>
        <w:rPr>
          <w:rFonts w:hint="eastAsia"/>
          <w:color w:val="auto"/>
          <w:shd w:val="clear" w:color="auto" w:fill="auto"/>
          <w:lang w:val="en-US" w:eastAsia="zh-CN"/>
        </w:rPr>
        <w:t>6</w:t>
      </w:r>
      <w:r>
        <w:rPr>
          <w:rFonts w:hint="eastAsia"/>
          <w:color w:val="auto"/>
          <w:shd w:val="clear" w:color="auto" w:fill="auto"/>
        </w:rPr>
        <w:t>.3风险事故应急措施</w:t>
      </w:r>
    </w:p>
    <w:p>
      <w:pPr>
        <w:ind w:firstLine="480"/>
        <w:rPr>
          <w:color w:val="auto"/>
          <w:shd w:val="clear" w:color="auto" w:fill="auto"/>
        </w:rPr>
      </w:pPr>
      <w:r>
        <w:rPr>
          <w:color w:val="auto"/>
          <w:shd w:val="clear" w:color="auto" w:fill="auto"/>
        </w:rPr>
        <w:t>风险事故一旦发生，按照应急程序采取有效应急措施，减少对环境的污染程度，降低对下游保护目标造成危害的可能性，具体如下：</w:t>
      </w:r>
    </w:p>
    <w:p>
      <w:pPr>
        <w:ind w:firstLine="480"/>
        <w:rPr>
          <w:color w:val="auto"/>
          <w:shd w:val="clear" w:color="auto" w:fill="auto"/>
        </w:rPr>
      </w:pPr>
      <w:bookmarkStart w:id="362" w:name="_Toc374949605"/>
      <w:r>
        <w:rPr>
          <w:color w:val="auto"/>
          <w:shd w:val="clear" w:color="auto" w:fill="auto"/>
        </w:rPr>
        <w:t>(1) 应急程序</w:t>
      </w:r>
      <w:bookmarkEnd w:id="362"/>
    </w:p>
    <w:p>
      <w:pPr>
        <w:ind w:firstLine="480"/>
        <w:rPr>
          <w:color w:val="auto"/>
          <w:shd w:val="clear" w:color="auto" w:fill="auto"/>
        </w:rPr>
      </w:pPr>
      <w:r>
        <w:rPr>
          <w:color w:val="auto"/>
          <w:shd w:val="clear" w:color="auto" w:fill="auto"/>
        </w:rPr>
        <w:t>应急程序图见</w:t>
      </w:r>
      <w:r>
        <w:rPr>
          <w:rFonts w:hint="eastAsia"/>
          <w:color w:val="auto"/>
          <w:shd w:val="clear" w:color="auto" w:fill="auto"/>
          <w:lang w:val="en-US" w:eastAsia="zh-CN"/>
        </w:rPr>
        <w:t>5</w:t>
      </w:r>
      <w:r>
        <w:rPr>
          <w:rFonts w:hint="eastAsia"/>
          <w:color w:val="auto"/>
          <w:shd w:val="clear" w:color="auto" w:fill="auto"/>
        </w:rPr>
        <w:t>.6-1</w:t>
      </w:r>
      <w:r>
        <w:rPr>
          <w:color w:val="auto"/>
          <w:shd w:val="clear" w:color="auto" w:fill="auto"/>
        </w:rPr>
        <w:t>。</w:t>
      </w:r>
    </w:p>
    <w:p>
      <w:pPr>
        <w:ind w:firstLine="480"/>
        <w:rPr>
          <w:color w:val="auto"/>
          <w:shd w:val="clear" w:color="auto" w:fill="auto"/>
        </w:rPr>
      </w:pPr>
      <w:r>
        <w:rPr>
          <w:color w:val="auto"/>
          <w:shd w:val="clear" w:color="auto" w:fill="auto"/>
        </w:rPr>
        <w:t>事故应急指挥机构由本项目应急组织小组和外部应急力量组成，外部应急力量根据事故影响程度和范围由相应的应急组织机构组成。</w:t>
      </w:r>
    </w:p>
    <w:p>
      <w:pPr>
        <w:adjustRightInd w:val="0"/>
        <w:snapToGrid w:val="0"/>
        <w:ind w:firstLine="480"/>
        <w:jc w:val="left"/>
        <w:rPr>
          <w:color w:val="auto"/>
          <w:shd w:val="clear" w:color="auto" w:fill="auto"/>
        </w:rPr>
      </w:pPr>
      <w:r>
        <w:rPr>
          <w:color w:val="auto"/>
          <w:shd w:val="clear" w:color="auto" w:fill="auto"/>
        </w:rPr>
        <w:drawing>
          <wp:inline distT="0" distB="0" distL="114300" distR="114300">
            <wp:extent cx="4714240" cy="3799840"/>
            <wp:effectExtent l="0" t="0" r="10160" b="10160"/>
            <wp:docPr id="4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5"/>
                    <pic:cNvPicPr>
                      <a:picLocks noChangeAspect="1"/>
                    </pic:cNvPicPr>
                  </pic:nvPicPr>
                  <pic:blipFill>
                    <a:blip r:embed="rId75"/>
                    <a:stretch>
                      <a:fillRect/>
                    </a:stretch>
                  </pic:blipFill>
                  <pic:spPr>
                    <a:xfrm>
                      <a:off x="0" y="0"/>
                      <a:ext cx="4714240" cy="3799840"/>
                    </a:xfrm>
                    <a:prstGeom prst="rect">
                      <a:avLst/>
                    </a:prstGeom>
                    <a:noFill/>
                    <a:ln w="9525">
                      <a:noFill/>
                    </a:ln>
                  </pic:spPr>
                </pic:pic>
              </a:graphicData>
            </a:graphic>
          </wp:inline>
        </w:drawing>
      </w:r>
    </w:p>
    <w:p>
      <w:pPr>
        <w:spacing w:after="48"/>
        <w:ind w:firstLine="482"/>
        <w:jc w:val="center"/>
        <w:rPr>
          <w:rFonts w:ascii="Times New Roman" w:hAnsi="Times New Roman" w:eastAsia="黑体" w:cs="Times New Roman"/>
          <w:color w:val="auto"/>
          <w:kern w:val="2"/>
          <w:sz w:val="24"/>
          <w:szCs w:val="24"/>
          <w:shd w:val="clear" w:color="auto" w:fill="auto"/>
          <w:lang w:val="en-US" w:eastAsia="zh-CN" w:bidi="ar-SA"/>
        </w:rPr>
      </w:pPr>
      <w:r>
        <w:rPr>
          <w:rFonts w:ascii="Times New Roman" w:hAnsi="Times New Roman" w:eastAsia="黑体" w:cs="Times New Roman"/>
          <w:color w:val="auto"/>
          <w:kern w:val="2"/>
          <w:sz w:val="24"/>
          <w:szCs w:val="24"/>
          <w:shd w:val="clear" w:color="auto" w:fill="auto"/>
          <w:lang w:val="en-US" w:eastAsia="zh-CN" w:bidi="ar-SA"/>
        </w:rPr>
        <w:t>图</w:t>
      </w:r>
      <w:r>
        <w:rPr>
          <w:rFonts w:hint="eastAsia" w:eastAsia="黑体" w:cs="Times New Roman"/>
          <w:color w:val="auto"/>
          <w:kern w:val="2"/>
          <w:sz w:val="24"/>
          <w:szCs w:val="24"/>
          <w:shd w:val="clear" w:color="auto" w:fill="auto"/>
          <w:lang w:val="en-US" w:eastAsia="zh-CN" w:bidi="ar-SA"/>
        </w:rPr>
        <w:t>5</w:t>
      </w:r>
      <w:r>
        <w:rPr>
          <w:rFonts w:hint="eastAsia" w:ascii="Times New Roman" w:hAnsi="Times New Roman" w:eastAsia="黑体" w:cs="Times New Roman"/>
          <w:color w:val="auto"/>
          <w:kern w:val="2"/>
          <w:sz w:val="24"/>
          <w:szCs w:val="24"/>
          <w:shd w:val="clear" w:color="auto" w:fill="auto"/>
          <w:lang w:val="en-US" w:eastAsia="zh-CN" w:bidi="ar-SA"/>
        </w:rPr>
        <w:t>.</w:t>
      </w:r>
      <w:r>
        <w:rPr>
          <w:rFonts w:hint="eastAsia" w:eastAsia="黑体" w:cs="Times New Roman"/>
          <w:color w:val="auto"/>
          <w:kern w:val="2"/>
          <w:sz w:val="24"/>
          <w:szCs w:val="24"/>
          <w:shd w:val="clear" w:color="auto" w:fill="auto"/>
          <w:lang w:val="en-US" w:eastAsia="zh-CN" w:bidi="ar-SA"/>
        </w:rPr>
        <w:t>6</w:t>
      </w:r>
      <w:r>
        <w:rPr>
          <w:rFonts w:hint="eastAsia" w:ascii="Times New Roman" w:hAnsi="Times New Roman" w:eastAsia="黑体" w:cs="Times New Roman"/>
          <w:color w:val="auto"/>
          <w:kern w:val="2"/>
          <w:sz w:val="24"/>
          <w:szCs w:val="24"/>
          <w:shd w:val="clear" w:color="auto" w:fill="auto"/>
          <w:lang w:val="en-US" w:eastAsia="zh-CN" w:bidi="ar-SA"/>
        </w:rPr>
        <w:t xml:space="preserve">-1  </w:t>
      </w:r>
      <w:r>
        <w:rPr>
          <w:rFonts w:ascii="Times New Roman" w:hAnsi="Times New Roman" w:eastAsia="黑体" w:cs="Times New Roman"/>
          <w:color w:val="auto"/>
          <w:kern w:val="2"/>
          <w:sz w:val="24"/>
          <w:szCs w:val="24"/>
          <w:shd w:val="clear" w:color="auto" w:fill="auto"/>
          <w:lang w:val="en-US" w:eastAsia="zh-CN" w:bidi="ar-SA"/>
        </w:rPr>
        <w:t>溢油事故应急程序</w:t>
      </w:r>
    </w:p>
    <w:p>
      <w:pPr>
        <w:ind w:firstLine="480"/>
        <w:rPr>
          <w:color w:val="auto"/>
          <w:shd w:val="clear" w:color="auto" w:fill="auto"/>
        </w:rPr>
      </w:pPr>
      <w:bookmarkStart w:id="363" w:name="_Toc374949606"/>
      <w:r>
        <w:rPr>
          <w:color w:val="auto"/>
          <w:shd w:val="clear" w:color="auto" w:fill="auto"/>
        </w:rPr>
        <w:t>(2) 应急反应</w:t>
      </w:r>
      <w:bookmarkEnd w:id="363"/>
    </w:p>
    <w:p>
      <w:pPr>
        <w:ind w:firstLine="480"/>
        <w:rPr>
          <w:color w:val="auto"/>
          <w:shd w:val="clear" w:color="auto" w:fill="auto"/>
        </w:rPr>
      </w:pPr>
      <w:r>
        <w:rPr>
          <w:color w:val="auto"/>
          <w:shd w:val="clear" w:color="auto" w:fill="auto"/>
        </w:rPr>
        <w:t>发生溢油事故后，应急组织小组在接到事故报告后，应迅速进行溢油规模评估，估计溢油漂移趋势，初步确定应急预案。</w:t>
      </w:r>
    </w:p>
    <w:p>
      <w:pPr>
        <w:ind w:firstLine="480"/>
        <w:rPr>
          <w:color w:val="auto"/>
          <w:shd w:val="clear" w:color="auto" w:fill="auto"/>
        </w:rPr>
      </w:pPr>
      <w:r>
        <w:rPr>
          <w:color w:val="auto"/>
          <w:shd w:val="clear" w:color="auto" w:fill="auto"/>
        </w:rPr>
        <w:t>在经过溢油事故初始评估后，应急组织小组组长决定是否启动应急计划。若溢油事故规模较小，码头人员、设备具备处理的能力，应立即组织人员、调用设备进行处理，若码头人员、设备不具备处理的能力，应立即启动应急计划。</w:t>
      </w:r>
    </w:p>
    <w:p>
      <w:pPr>
        <w:ind w:firstLine="480"/>
        <w:rPr>
          <w:color w:val="auto"/>
          <w:shd w:val="clear" w:color="auto" w:fill="auto"/>
        </w:rPr>
      </w:pPr>
      <w:r>
        <w:rPr>
          <w:color w:val="auto"/>
          <w:shd w:val="clear" w:color="auto" w:fill="auto"/>
        </w:rPr>
        <w:t>应急计划反应内容包括：由组长或其指定的人员向上级主管部门以及与事故相关的货主、保险公司、海事、环保等部门报告。报告内容应包括：</w:t>
      </w:r>
    </w:p>
    <w:p>
      <w:pPr>
        <w:ind w:firstLine="480"/>
        <w:rPr>
          <w:color w:val="auto"/>
          <w:shd w:val="clear" w:color="auto" w:fill="auto"/>
        </w:rPr>
      </w:pPr>
      <w:r>
        <w:rPr>
          <w:rFonts w:hint="eastAsia" w:ascii="宋体" w:hAnsi="宋体" w:cs="宋体"/>
          <w:color w:val="auto"/>
          <w:shd w:val="clear" w:color="auto" w:fill="auto"/>
        </w:rPr>
        <w:t>①</w:t>
      </w:r>
      <w:r>
        <w:rPr>
          <w:color w:val="auto"/>
          <w:shd w:val="clear" w:color="auto" w:fill="auto"/>
        </w:rPr>
        <w:t xml:space="preserve"> 事故发生的时间、地点、船名、位置；</w:t>
      </w:r>
    </w:p>
    <w:p>
      <w:pPr>
        <w:ind w:firstLine="480"/>
        <w:rPr>
          <w:color w:val="auto"/>
          <w:shd w:val="clear" w:color="auto" w:fill="auto"/>
        </w:rPr>
      </w:pPr>
      <w:r>
        <w:rPr>
          <w:rFonts w:hint="eastAsia" w:ascii="宋体" w:hAnsi="宋体" w:cs="宋体"/>
          <w:color w:val="auto"/>
          <w:shd w:val="clear" w:color="auto" w:fill="auto"/>
        </w:rPr>
        <w:t>②</w:t>
      </w:r>
      <w:r>
        <w:rPr>
          <w:color w:val="auto"/>
          <w:shd w:val="clear" w:color="auto" w:fill="auto"/>
        </w:rPr>
        <w:t xml:space="preserve"> 事故发生江段气象、水文情况；</w:t>
      </w:r>
    </w:p>
    <w:p>
      <w:pPr>
        <w:ind w:firstLine="480"/>
        <w:rPr>
          <w:color w:val="auto"/>
          <w:shd w:val="clear" w:color="auto" w:fill="auto"/>
        </w:rPr>
      </w:pPr>
      <w:r>
        <w:rPr>
          <w:rFonts w:hint="eastAsia" w:ascii="宋体" w:hAnsi="宋体" w:cs="宋体"/>
          <w:color w:val="auto"/>
          <w:shd w:val="clear" w:color="auto" w:fill="auto"/>
        </w:rPr>
        <w:t>③</w:t>
      </w:r>
      <w:r>
        <w:rPr>
          <w:color w:val="auto"/>
          <w:shd w:val="clear" w:color="auto" w:fill="auto"/>
        </w:rPr>
        <w:t xml:space="preserve"> 事故发生后已经采取的措施及控制情况；</w:t>
      </w:r>
    </w:p>
    <w:p>
      <w:pPr>
        <w:ind w:firstLine="480"/>
        <w:rPr>
          <w:color w:val="auto"/>
          <w:shd w:val="clear" w:color="auto" w:fill="auto"/>
        </w:rPr>
      </w:pPr>
      <w:r>
        <w:rPr>
          <w:rFonts w:hint="eastAsia" w:ascii="宋体" w:hAnsi="宋体" w:cs="宋体"/>
          <w:color w:val="auto"/>
          <w:shd w:val="clear" w:color="auto" w:fill="auto"/>
        </w:rPr>
        <w:t>④</w:t>
      </w:r>
      <w:r>
        <w:rPr>
          <w:color w:val="auto"/>
          <w:shd w:val="clear" w:color="auto" w:fill="auto"/>
        </w:rPr>
        <w:t xml:space="preserve"> 事故发展势态、可能发生的严重后果；</w:t>
      </w:r>
    </w:p>
    <w:p>
      <w:pPr>
        <w:ind w:firstLine="480"/>
        <w:rPr>
          <w:color w:val="auto"/>
          <w:shd w:val="clear" w:color="auto" w:fill="auto"/>
        </w:rPr>
      </w:pPr>
      <w:r>
        <w:rPr>
          <w:rFonts w:hint="eastAsia" w:ascii="宋体" w:hAnsi="宋体" w:cs="宋体"/>
          <w:color w:val="auto"/>
          <w:shd w:val="clear" w:color="auto" w:fill="auto"/>
        </w:rPr>
        <w:t>⑤</w:t>
      </w:r>
      <w:r>
        <w:rPr>
          <w:color w:val="auto"/>
          <w:shd w:val="clear" w:color="auto" w:fill="auto"/>
        </w:rPr>
        <w:t xml:space="preserve"> 需要的援助（应急设施和物资、人员、环境监测、医疗援助等）；</w:t>
      </w:r>
    </w:p>
    <w:p>
      <w:pPr>
        <w:ind w:firstLine="480"/>
        <w:rPr>
          <w:color w:val="auto"/>
          <w:shd w:val="clear" w:color="auto" w:fill="auto"/>
        </w:rPr>
      </w:pPr>
      <w:r>
        <w:rPr>
          <w:rFonts w:hint="eastAsia" w:ascii="宋体" w:hAnsi="宋体" w:cs="宋体"/>
          <w:color w:val="auto"/>
          <w:shd w:val="clear" w:color="auto" w:fill="auto"/>
        </w:rPr>
        <w:t>⑥</w:t>
      </w:r>
      <w:r>
        <w:rPr>
          <w:color w:val="auto"/>
          <w:shd w:val="clear" w:color="auto" w:fill="auto"/>
        </w:rPr>
        <w:t xml:space="preserve"> 事故报警单位、联系人及联系电话等。</w:t>
      </w:r>
    </w:p>
    <w:p>
      <w:pPr>
        <w:ind w:firstLine="480"/>
        <w:rPr>
          <w:color w:val="auto"/>
          <w:shd w:val="clear" w:color="auto" w:fill="auto"/>
        </w:rPr>
      </w:pPr>
      <w:r>
        <w:rPr>
          <w:color w:val="auto"/>
          <w:shd w:val="clear" w:color="auto" w:fill="auto"/>
        </w:rPr>
        <w:t>应急小组全体成员立即采取应急措施，包括溢油控制与清除，溢油的监测和监视等。</w:t>
      </w:r>
    </w:p>
    <w:p>
      <w:pPr>
        <w:ind w:firstLine="480"/>
        <w:rPr>
          <w:color w:val="auto"/>
          <w:shd w:val="clear" w:color="auto" w:fill="auto"/>
        </w:rPr>
      </w:pPr>
      <w:r>
        <w:rPr>
          <w:color w:val="auto"/>
          <w:shd w:val="clear" w:color="auto" w:fill="auto"/>
        </w:rPr>
        <w:t>当事故规模、气候条件是码头人员、设备无法满足要求时，码头应立即请求</w:t>
      </w:r>
      <w:r>
        <w:rPr>
          <w:rFonts w:hint="eastAsia"/>
          <w:color w:val="auto"/>
          <w:shd w:val="clear" w:color="auto" w:fill="auto"/>
        </w:rPr>
        <w:t>合肥</w:t>
      </w:r>
      <w:r>
        <w:rPr>
          <w:color w:val="auto"/>
          <w:shd w:val="clear" w:color="auto" w:fill="auto"/>
        </w:rPr>
        <w:t>市政府、海事处提供外部力量支援，由</w:t>
      </w:r>
      <w:r>
        <w:rPr>
          <w:rFonts w:hint="eastAsia"/>
          <w:color w:val="auto"/>
          <w:shd w:val="clear" w:color="auto" w:fill="auto"/>
        </w:rPr>
        <w:t>合肥</w:t>
      </w:r>
      <w:r>
        <w:rPr>
          <w:color w:val="auto"/>
          <w:shd w:val="clear" w:color="auto" w:fill="auto"/>
        </w:rPr>
        <w:t>市政府、海事处视溢油事故的程度和影响范围就近调拨应急设施、物资和工作人员等进行处理。</w:t>
      </w:r>
    </w:p>
    <w:p>
      <w:pPr>
        <w:spacing w:line="360" w:lineRule="auto"/>
        <w:ind w:firstLine="480"/>
        <w:rPr>
          <w:color w:val="auto"/>
          <w:shd w:val="clear" w:color="auto" w:fill="auto"/>
        </w:rPr>
      </w:pPr>
      <w:bookmarkStart w:id="364" w:name="_Toc374949607"/>
      <w:r>
        <w:rPr>
          <w:color w:val="auto"/>
          <w:shd w:val="clear" w:color="auto" w:fill="auto"/>
        </w:rPr>
        <w:t>(3) 应急设施、设备、材料和管理</w:t>
      </w:r>
      <w:bookmarkEnd w:id="364"/>
    </w:p>
    <w:p>
      <w:pPr>
        <w:spacing w:line="360" w:lineRule="auto"/>
        <w:ind w:firstLine="480"/>
        <w:rPr>
          <w:color w:val="auto"/>
          <w:shd w:val="clear" w:color="auto" w:fill="auto"/>
        </w:rPr>
      </w:pPr>
      <w:r>
        <w:rPr>
          <w:color w:val="auto"/>
          <w:shd w:val="clear" w:color="auto" w:fill="auto"/>
        </w:rPr>
        <w:t>根据《港口码头溢油应急设备配备要求》（JT/T451-2009），本工程码头应配备必要的溢油应急设备，包括：围油栏及附属设备、收油机、</w:t>
      </w:r>
      <w:r>
        <w:rPr>
          <w:rFonts w:hint="eastAsia"/>
          <w:color w:val="auto"/>
          <w:shd w:val="clear" w:color="auto" w:fill="auto"/>
          <w:lang w:val="en-US" w:eastAsia="zh-CN"/>
        </w:rPr>
        <w:t>收油</w:t>
      </w:r>
      <w:r>
        <w:rPr>
          <w:color w:val="auto"/>
          <w:shd w:val="clear" w:color="auto" w:fill="auto"/>
        </w:rPr>
        <w:t>网、吸油毡、溢油分散剂、溢油分散剂喷洒装置、回收废油储存装置等（详见表</w:t>
      </w:r>
      <w:r>
        <w:rPr>
          <w:rFonts w:hint="eastAsia"/>
          <w:color w:val="auto"/>
          <w:shd w:val="clear" w:color="auto" w:fill="auto"/>
          <w:lang w:val="en-US" w:eastAsia="zh-CN"/>
        </w:rPr>
        <w:t>5</w:t>
      </w:r>
      <w:r>
        <w:rPr>
          <w:rFonts w:hint="eastAsia"/>
          <w:color w:val="auto"/>
          <w:shd w:val="clear" w:color="auto" w:fill="auto"/>
        </w:rPr>
        <w:t>.</w:t>
      </w:r>
      <w:r>
        <w:rPr>
          <w:rFonts w:hint="eastAsia"/>
          <w:color w:val="auto"/>
          <w:shd w:val="clear" w:color="auto" w:fill="auto"/>
          <w:lang w:val="en-US" w:eastAsia="zh-CN"/>
        </w:rPr>
        <w:t>6</w:t>
      </w:r>
      <w:r>
        <w:rPr>
          <w:rFonts w:hint="eastAsia"/>
          <w:color w:val="auto"/>
          <w:shd w:val="clear" w:color="auto" w:fill="auto"/>
        </w:rPr>
        <w:t>-</w:t>
      </w:r>
      <w:r>
        <w:rPr>
          <w:rFonts w:hint="eastAsia"/>
          <w:color w:val="auto"/>
          <w:shd w:val="clear" w:color="auto" w:fill="auto"/>
          <w:lang w:val="en-US" w:eastAsia="zh-CN"/>
        </w:rPr>
        <w:t>2</w:t>
      </w:r>
      <w:r>
        <w:rPr>
          <w:color w:val="auto"/>
          <w:shd w:val="clear" w:color="auto" w:fill="auto"/>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157" w:beforeLines="50" w:line="240" w:lineRule="auto"/>
        <w:jc w:val="center"/>
        <w:textAlignment w:val="auto"/>
        <w:rPr>
          <w:rFonts w:hint="eastAsia" w:eastAsia="黑体" w:cs="Times New Roman"/>
          <w:color w:val="auto"/>
          <w:kern w:val="2"/>
          <w:sz w:val="21"/>
          <w:szCs w:val="21"/>
          <w:shd w:val="clear" w:color="auto" w:fill="auto"/>
          <w:lang w:val="en-US" w:eastAsia="zh-CN" w:bidi="ar-SA"/>
        </w:rPr>
      </w:pPr>
      <w:r>
        <w:rPr>
          <w:rFonts w:hint="eastAsia" w:eastAsia="黑体" w:cs="Times New Roman"/>
          <w:color w:val="auto"/>
          <w:kern w:val="2"/>
          <w:sz w:val="21"/>
          <w:szCs w:val="21"/>
          <w:shd w:val="clear" w:color="auto" w:fill="auto"/>
          <w:lang w:val="en-US" w:eastAsia="zh-CN" w:bidi="ar-SA"/>
        </w:rPr>
        <w:t>表5.6-2  溢油事故应急设备及物资配备情况</w:t>
      </w:r>
    </w:p>
    <w:tbl>
      <w:tblPr>
        <w:tblStyle w:val="26"/>
        <w:tblW w:w="83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5"/>
        <w:gridCol w:w="2010"/>
        <w:gridCol w:w="846"/>
        <w:gridCol w:w="778"/>
        <w:gridCol w:w="971"/>
        <w:gridCol w:w="1530"/>
        <w:gridCol w:w="16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9" w:hRule="atLeast"/>
          <w:tblHeader/>
          <w:jc w:val="center"/>
        </w:trPr>
        <w:tc>
          <w:tcPr>
            <w:tcW w:w="545"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序号</w:t>
            </w:r>
          </w:p>
        </w:tc>
        <w:tc>
          <w:tcPr>
            <w:tcW w:w="2010"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事故应急设备及物资</w:t>
            </w:r>
          </w:p>
        </w:tc>
        <w:tc>
          <w:tcPr>
            <w:tcW w:w="846"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单位</w:t>
            </w:r>
          </w:p>
        </w:tc>
        <w:tc>
          <w:tcPr>
            <w:tcW w:w="778"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数量</w:t>
            </w:r>
          </w:p>
        </w:tc>
        <w:tc>
          <w:tcPr>
            <w:tcW w:w="971"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费用</w:t>
            </w:r>
          </w:p>
          <w:p>
            <w:pPr>
              <w:spacing w:line="240" w:lineRule="auto"/>
              <w:ind w:firstLine="0" w:firstLineChars="0"/>
              <w:jc w:val="center"/>
              <w:rPr>
                <w:color w:val="auto"/>
                <w:sz w:val="21"/>
                <w:szCs w:val="21"/>
                <w:shd w:val="clear" w:color="auto" w:fill="auto"/>
              </w:rPr>
            </w:pPr>
            <w:r>
              <w:rPr>
                <w:color w:val="auto"/>
                <w:sz w:val="21"/>
                <w:szCs w:val="21"/>
                <w:shd w:val="clear" w:color="auto" w:fill="auto"/>
              </w:rPr>
              <w:t>（万元）</w:t>
            </w:r>
          </w:p>
        </w:tc>
        <w:tc>
          <w:tcPr>
            <w:tcW w:w="1530"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eastAsia="zh-CN"/>
              </w:rPr>
            </w:pPr>
            <w:r>
              <w:rPr>
                <w:rFonts w:hint="eastAsia"/>
                <w:color w:val="auto"/>
                <w:sz w:val="21"/>
                <w:szCs w:val="21"/>
                <w:shd w:val="clear" w:color="auto" w:fill="auto"/>
                <w:lang w:eastAsia="zh-CN"/>
              </w:rPr>
              <w:t>储存位置</w:t>
            </w:r>
          </w:p>
        </w:tc>
        <w:tc>
          <w:tcPr>
            <w:tcW w:w="1636" w:type="dxa"/>
            <w:tcBorders>
              <w:tl2br w:val="nil"/>
              <w:tr2bl w:val="nil"/>
            </w:tcBorders>
            <w:vAlign w:val="center"/>
          </w:tcPr>
          <w:p>
            <w:pPr>
              <w:spacing w:line="240" w:lineRule="auto"/>
              <w:ind w:firstLine="0" w:firstLineChars="0"/>
              <w:jc w:val="center"/>
              <w:rPr>
                <w:color w:val="auto"/>
                <w:shd w:val="clear" w:color="auto" w:fill="auto"/>
              </w:rPr>
            </w:pPr>
            <w:r>
              <w:rPr>
                <w:color w:val="auto"/>
                <w:sz w:val="21"/>
                <w:szCs w:val="21"/>
                <w:shd w:val="clear" w:color="auto" w:fil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5"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val="en-US" w:eastAsia="zh-CN"/>
              </w:rPr>
            </w:pPr>
            <w:r>
              <w:rPr>
                <w:rFonts w:hint="eastAsia"/>
                <w:color w:val="auto"/>
                <w:sz w:val="21"/>
                <w:szCs w:val="21"/>
                <w:shd w:val="clear" w:color="auto" w:fill="auto"/>
                <w:lang w:val="en-US" w:eastAsia="zh-CN"/>
              </w:rPr>
              <w:t>1</w:t>
            </w:r>
          </w:p>
        </w:tc>
        <w:tc>
          <w:tcPr>
            <w:tcW w:w="2010"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围油栏</w:t>
            </w:r>
          </w:p>
        </w:tc>
        <w:tc>
          <w:tcPr>
            <w:tcW w:w="846"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eastAsia="zh-CN"/>
              </w:rPr>
            </w:pPr>
            <w:r>
              <w:rPr>
                <w:rFonts w:hint="eastAsia"/>
                <w:color w:val="auto"/>
                <w:sz w:val="21"/>
                <w:szCs w:val="21"/>
                <w:shd w:val="clear" w:color="auto" w:fill="auto"/>
                <w:lang w:eastAsia="zh-CN"/>
              </w:rPr>
              <w:t>m</w:t>
            </w:r>
          </w:p>
        </w:tc>
        <w:tc>
          <w:tcPr>
            <w:tcW w:w="778" w:type="dxa"/>
            <w:tcBorders>
              <w:tl2br w:val="nil"/>
              <w:tr2bl w:val="nil"/>
            </w:tcBorders>
            <w:vAlign w:val="center"/>
          </w:tcPr>
          <w:p>
            <w:pPr>
              <w:spacing w:line="240" w:lineRule="auto"/>
              <w:ind w:firstLine="0" w:firstLineChars="0"/>
              <w:jc w:val="center"/>
              <w:rPr>
                <w:rFonts w:hint="eastAsia"/>
                <w:color w:val="auto"/>
                <w:sz w:val="21"/>
                <w:szCs w:val="21"/>
                <w:shd w:val="clear" w:color="auto" w:fill="auto"/>
              </w:rPr>
            </w:pPr>
            <w:r>
              <w:rPr>
                <w:rFonts w:hint="eastAsia"/>
                <w:color w:val="auto"/>
                <w:sz w:val="21"/>
                <w:szCs w:val="21"/>
                <w:shd w:val="clear" w:color="auto" w:fill="auto"/>
                <w:lang w:val="en-US" w:eastAsia="zh-CN"/>
              </w:rPr>
              <w:t>3</w:t>
            </w:r>
            <w:r>
              <w:rPr>
                <w:color w:val="auto"/>
                <w:sz w:val="21"/>
                <w:szCs w:val="21"/>
                <w:shd w:val="clear" w:color="auto" w:fill="auto"/>
              </w:rPr>
              <w:t>00</w:t>
            </w:r>
          </w:p>
        </w:tc>
        <w:tc>
          <w:tcPr>
            <w:tcW w:w="971" w:type="dxa"/>
            <w:tcBorders>
              <w:tl2br w:val="nil"/>
              <w:tr2bl w:val="nil"/>
            </w:tcBorders>
            <w:vAlign w:val="center"/>
          </w:tcPr>
          <w:p>
            <w:pPr>
              <w:spacing w:line="240" w:lineRule="auto"/>
              <w:ind w:firstLine="0" w:firstLineChars="0"/>
              <w:jc w:val="center"/>
              <w:rPr>
                <w:rFonts w:hint="default" w:eastAsia="宋体"/>
                <w:color w:val="auto"/>
                <w:sz w:val="21"/>
                <w:szCs w:val="21"/>
                <w:shd w:val="clear" w:color="auto" w:fill="auto"/>
                <w:lang w:val="en-US" w:eastAsia="zh-CN"/>
              </w:rPr>
            </w:pPr>
            <w:r>
              <w:rPr>
                <w:rFonts w:hint="eastAsia"/>
                <w:color w:val="auto"/>
                <w:sz w:val="21"/>
                <w:szCs w:val="21"/>
                <w:shd w:val="clear" w:color="auto" w:fill="auto"/>
                <w:lang w:val="en-US" w:eastAsia="zh-CN"/>
              </w:rPr>
              <w:t>14</w:t>
            </w:r>
          </w:p>
        </w:tc>
        <w:tc>
          <w:tcPr>
            <w:tcW w:w="1530" w:type="dxa"/>
            <w:tcBorders>
              <w:tl2br w:val="nil"/>
              <w:tr2bl w:val="nil"/>
            </w:tcBorders>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管理用房</w:t>
            </w:r>
          </w:p>
        </w:tc>
        <w:tc>
          <w:tcPr>
            <w:tcW w:w="1636"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含附属设施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5" w:type="dxa"/>
            <w:tcBorders>
              <w:tl2br w:val="nil"/>
              <w:tr2bl w:val="nil"/>
            </w:tcBorders>
            <w:vAlign w:val="center"/>
          </w:tcPr>
          <w:p>
            <w:pPr>
              <w:spacing w:line="240" w:lineRule="auto"/>
              <w:ind w:firstLine="0" w:firstLineChars="0"/>
              <w:jc w:val="center"/>
              <w:rPr>
                <w:color w:val="auto"/>
                <w:sz w:val="21"/>
                <w:szCs w:val="21"/>
                <w:shd w:val="clear" w:color="auto" w:fill="auto"/>
              </w:rPr>
            </w:pPr>
            <w:r>
              <w:rPr>
                <w:rFonts w:hint="eastAsia"/>
                <w:color w:val="auto"/>
                <w:sz w:val="21"/>
                <w:szCs w:val="21"/>
                <w:shd w:val="clear" w:color="auto" w:fill="auto"/>
                <w:lang w:val="en-US" w:eastAsia="zh-CN"/>
              </w:rPr>
              <w:t>2</w:t>
            </w:r>
          </w:p>
        </w:tc>
        <w:tc>
          <w:tcPr>
            <w:tcW w:w="2010"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收油机</w:t>
            </w:r>
          </w:p>
        </w:tc>
        <w:tc>
          <w:tcPr>
            <w:tcW w:w="846"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台</w:t>
            </w:r>
          </w:p>
        </w:tc>
        <w:tc>
          <w:tcPr>
            <w:tcW w:w="778"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eastAsia="zh-CN"/>
              </w:rPr>
            </w:pPr>
            <w:r>
              <w:rPr>
                <w:rFonts w:hint="eastAsia"/>
                <w:color w:val="auto"/>
                <w:sz w:val="21"/>
                <w:szCs w:val="21"/>
                <w:shd w:val="clear" w:color="auto" w:fill="auto"/>
                <w:lang w:val="en-US" w:eastAsia="zh-CN"/>
              </w:rPr>
              <w:t>1</w:t>
            </w:r>
          </w:p>
        </w:tc>
        <w:tc>
          <w:tcPr>
            <w:tcW w:w="971" w:type="dxa"/>
            <w:tcBorders>
              <w:tl2br w:val="nil"/>
              <w:tr2bl w:val="nil"/>
            </w:tcBorders>
            <w:vAlign w:val="center"/>
          </w:tcPr>
          <w:p>
            <w:pPr>
              <w:spacing w:line="240" w:lineRule="auto"/>
              <w:ind w:firstLine="0" w:firstLineChars="0"/>
              <w:jc w:val="center"/>
              <w:rPr>
                <w:rFonts w:hint="default"/>
                <w:color w:val="auto"/>
                <w:sz w:val="21"/>
                <w:szCs w:val="21"/>
                <w:shd w:val="clear" w:color="auto" w:fill="auto"/>
                <w:lang w:val="en-US"/>
              </w:rPr>
            </w:pPr>
            <w:r>
              <w:rPr>
                <w:rFonts w:hint="eastAsia"/>
                <w:color w:val="auto"/>
                <w:sz w:val="21"/>
                <w:szCs w:val="21"/>
                <w:shd w:val="clear" w:color="auto" w:fill="auto"/>
                <w:lang w:val="en-US" w:eastAsia="zh-CN"/>
              </w:rPr>
              <w:t>10</w:t>
            </w:r>
          </w:p>
        </w:tc>
        <w:tc>
          <w:tcPr>
            <w:tcW w:w="1530"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val="en-US" w:eastAsia="zh-CN"/>
              </w:rPr>
            </w:pPr>
            <w:r>
              <w:rPr>
                <w:rFonts w:hint="eastAsia" w:eastAsia="宋体"/>
                <w:color w:val="auto"/>
                <w:sz w:val="21"/>
                <w:szCs w:val="21"/>
                <w:shd w:val="clear" w:color="auto" w:fill="auto"/>
                <w:lang w:val="en-US" w:eastAsia="zh-CN"/>
              </w:rPr>
              <w:t>管理用房</w:t>
            </w:r>
          </w:p>
        </w:tc>
        <w:tc>
          <w:tcPr>
            <w:tcW w:w="1636" w:type="dxa"/>
            <w:tcBorders>
              <w:tl2br w:val="nil"/>
              <w:tr2bl w:val="nil"/>
            </w:tcBorders>
            <w:vAlign w:val="center"/>
          </w:tcPr>
          <w:p>
            <w:pPr>
              <w:spacing w:line="240" w:lineRule="auto"/>
              <w:ind w:firstLine="0" w:firstLineChars="0"/>
              <w:jc w:val="center"/>
              <w:rPr>
                <w:color w:val="auto"/>
                <w:sz w:val="21"/>
                <w:szCs w:val="21"/>
                <w:shd w:val="clear" w:color="auto" w:fill="auto"/>
              </w:rPr>
            </w:pPr>
            <w:r>
              <w:rPr>
                <w:rFonts w:hint="eastAsia"/>
                <w:color w:val="auto"/>
                <w:sz w:val="21"/>
                <w:szCs w:val="21"/>
                <w:shd w:val="clear" w:color="auto" w:fill="auto"/>
                <w:lang w:val="en-US" w:eastAsia="zh-CN"/>
              </w:rPr>
              <w:t>收油能力1</w:t>
            </w:r>
            <w:r>
              <w:rPr>
                <w:rFonts w:hint="eastAsia"/>
                <w:color w:val="auto"/>
                <w:sz w:val="21"/>
                <w:szCs w:val="21"/>
                <w:shd w:val="clear" w:color="auto" w:fill="auto"/>
                <w:vertAlign w:val="baseline"/>
                <w:lang w:eastAsia="zh-CN"/>
              </w:rPr>
              <w:t>m</w:t>
            </w:r>
            <w:r>
              <w:rPr>
                <w:rFonts w:hint="eastAsia"/>
                <w:color w:val="auto"/>
                <w:sz w:val="21"/>
                <w:szCs w:val="21"/>
                <w:shd w:val="clear" w:color="auto" w:fill="auto"/>
                <w:vertAlign w:val="superscript"/>
                <w:lang w:eastAsia="zh-CN"/>
              </w:rPr>
              <w:t>3</w:t>
            </w:r>
            <w:r>
              <w:rPr>
                <w:color w:val="auto"/>
                <w:sz w:val="21"/>
                <w:szCs w:val="21"/>
                <w:shd w:val="clear" w:color="auto" w:fill="auto"/>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5"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eastAsia="zh-CN"/>
              </w:rPr>
            </w:pPr>
            <w:r>
              <w:rPr>
                <w:rFonts w:hint="eastAsia"/>
                <w:color w:val="auto"/>
                <w:sz w:val="21"/>
                <w:szCs w:val="21"/>
                <w:shd w:val="clear" w:color="auto" w:fill="auto"/>
                <w:lang w:val="en-US" w:eastAsia="zh-CN"/>
              </w:rPr>
              <w:t>3</w:t>
            </w:r>
          </w:p>
        </w:tc>
        <w:tc>
          <w:tcPr>
            <w:tcW w:w="2010" w:type="dxa"/>
            <w:tcBorders>
              <w:tl2br w:val="nil"/>
              <w:tr2bl w:val="nil"/>
            </w:tcBorders>
            <w:vAlign w:val="center"/>
          </w:tcPr>
          <w:p>
            <w:pPr>
              <w:spacing w:line="240" w:lineRule="auto"/>
              <w:ind w:firstLine="0" w:firstLineChars="0"/>
              <w:jc w:val="center"/>
              <w:rPr>
                <w:color w:val="auto"/>
                <w:sz w:val="21"/>
                <w:szCs w:val="21"/>
                <w:shd w:val="clear" w:color="auto" w:fill="auto"/>
              </w:rPr>
            </w:pPr>
            <w:r>
              <w:rPr>
                <w:rFonts w:hint="eastAsia"/>
                <w:color w:val="auto"/>
                <w:sz w:val="21"/>
                <w:szCs w:val="21"/>
                <w:shd w:val="clear" w:color="auto" w:fill="auto"/>
                <w:lang w:val="en-US" w:eastAsia="zh-CN"/>
              </w:rPr>
              <w:t>油拖网</w:t>
            </w:r>
          </w:p>
        </w:tc>
        <w:tc>
          <w:tcPr>
            <w:tcW w:w="846"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套</w:t>
            </w:r>
          </w:p>
        </w:tc>
        <w:tc>
          <w:tcPr>
            <w:tcW w:w="778"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eastAsia="zh-CN"/>
              </w:rPr>
            </w:pPr>
            <w:r>
              <w:rPr>
                <w:rFonts w:hint="eastAsia"/>
                <w:color w:val="auto"/>
                <w:sz w:val="21"/>
                <w:szCs w:val="21"/>
                <w:shd w:val="clear" w:color="auto" w:fill="auto"/>
                <w:lang w:val="en-US" w:eastAsia="zh-CN"/>
              </w:rPr>
              <w:t>1</w:t>
            </w:r>
          </w:p>
        </w:tc>
        <w:tc>
          <w:tcPr>
            <w:tcW w:w="971"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eastAsia="zh-CN"/>
              </w:rPr>
            </w:pPr>
            <w:r>
              <w:rPr>
                <w:rFonts w:hint="eastAsia"/>
                <w:color w:val="auto"/>
                <w:sz w:val="21"/>
                <w:szCs w:val="21"/>
                <w:shd w:val="clear" w:color="auto" w:fill="auto"/>
                <w:lang w:val="en-US" w:eastAsia="zh-CN"/>
              </w:rPr>
              <w:t>2</w:t>
            </w:r>
          </w:p>
        </w:tc>
        <w:tc>
          <w:tcPr>
            <w:tcW w:w="1530"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val="en-US" w:eastAsia="zh-CN"/>
              </w:rPr>
            </w:pPr>
            <w:r>
              <w:rPr>
                <w:rFonts w:hint="eastAsia" w:eastAsia="宋体"/>
                <w:color w:val="auto"/>
                <w:sz w:val="21"/>
                <w:szCs w:val="21"/>
                <w:shd w:val="clear" w:color="auto" w:fill="auto"/>
                <w:lang w:val="en-US" w:eastAsia="zh-CN"/>
              </w:rPr>
              <w:t>管理用房</w:t>
            </w:r>
          </w:p>
        </w:tc>
        <w:tc>
          <w:tcPr>
            <w:tcW w:w="1636"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val="en-US" w:eastAsia="zh-CN"/>
              </w:rPr>
            </w:pPr>
            <w:r>
              <w:rPr>
                <w:rFonts w:hint="eastAsia"/>
                <w:color w:val="auto"/>
                <w:sz w:val="21"/>
                <w:szCs w:val="21"/>
                <w:shd w:val="clear" w:color="auto" w:fill="auto"/>
                <w:lang w:val="en-US" w:eastAsia="zh-CN"/>
              </w:rPr>
              <w:t>容量4</w:t>
            </w:r>
            <w:r>
              <w:rPr>
                <w:rFonts w:hint="eastAsia"/>
                <w:color w:val="auto"/>
                <w:sz w:val="21"/>
                <w:szCs w:val="21"/>
                <w:shd w:val="clear" w:color="auto" w:fill="auto"/>
                <w:vertAlign w:val="baseline"/>
                <w:lang w:eastAsia="zh-CN"/>
              </w:rPr>
              <w:t>m</w:t>
            </w:r>
            <w:r>
              <w:rPr>
                <w:rFonts w:hint="eastAsia"/>
                <w:color w:val="auto"/>
                <w:sz w:val="21"/>
                <w:szCs w:val="21"/>
                <w:shd w:val="clear" w:color="auto" w:fill="auto"/>
                <w:vertAlign w:val="superscript"/>
                <w:lang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5"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eastAsia="zh-CN"/>
              </w:rPr>
            </w:pPr>
            <w:r>
              <w:rPr>
                <w:rFonts w:hint="eastAsia"/>
                <w:color w:val="auto"/>
                <w:sz w:val="21"/>
                <w:szCs w:val="21"/>
                <w:shd w:val="clear" w:color="auto" w:fill="auto"/>
                <w:lang w:val="en-US" w:eastAsia="zh-CN"/>
              </w:rPr>
              <w:t>4</w:t>
            </w:r>
          </w:p>
        </w:tc>
        <w:tc>
          <w:tcPr>
            <w:tcW w:w="2010"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吸油毡</w:t>
            </w:r>
          </w:p>
        </w:tc>
        <w:tc>
          <w:tcPr>
            <w:tcW w:w="846"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t</w:t>
            </w:r>
          </w:p>
        </w:tc>
        <w:tc>
          <w:tcPr>
            <w:tcW w:w="778" w:type="dxa"/>
            <w:tcBorders>
              <w:tl2br w:val="nil"/>
              <w:tr2bl w:val="nil"/>
            </w:tcBorders>
            <w:vAlign w:val="center"/>
          </w:tcPr>
          <w:p>
            <w:pPr>
              <w:spacing w:line="240" w:lineRule="auto"/>
              <w:ind w:firstLine="0" w:firstLineChars="0"/>
              <w:jc w:val="center"/>
              <w:rPr>
                <w:rFonts w:hint="default" w:eastAsia="宋体"/>
                <w:color w:val="auto"/>
                <w:sz w:val="21"/>
                <w:szCs w:val="21"/>
                <w:shd w:val="clear" w:color="auto" w:fill="auto"/>
                <w:lang w:val="en-US" w:eastAsia="zh-CN"/>
              </w:rPr>
            </w:pPr>
            <w:r>
              <w:rPr>
                <w:rFonts w:hint="eastAsia"/>
                <w:color w:val="auto"/>
                <w:sz w:val="21"/>
                <w:szCs w:val="21"/>
                <w:shd w:val="clear" w:color="auto" w:fill="auto"/>
                <w:lang w:val="en-US" w:eastAsia="zh-CN"/>
              </w:rPr>
              <w:t>0.2</w:t>
            </w:r>
          </w:p>
        </w:tc>
        <w:tc>
          <w:tcPr>
            <w:tcW w:w="971" w:type="dxa"/>
            <w:tcBorders>
              <w:tl2br w:val="nil"/>
              <w:tr2bl w:val="nil"/>
            </w:tcBorders>
            <w:vAlign w:val="center"/>
          </w:tcPr>
          <w:p>
            <w:pPr>
              <w:spacing w:line="240" w:lineRule="auto"/>
              <w:ind w:firstLine="0" w:firstLineChars="0"/>
              <w:jc w:val="center"/>
              <w:rPr>
                <w:rFonts w:hint="default" w:eastAsia="宋体"/>
                <w:color w:val="auto"/>
                <w:sz w:val="21"/>
                <w:szCs w:val="21"/>
                <w:shd w:val="clear" w:color="auto" w:fill="auto"/>
                <w:lang w:val="en-US" w:eastAsia="zh-CN"/>
              </w:rPr>
            </w:pPr>
            <w:r>
              <w:rPr>
                <w:rFonts w:hint="eastAsia"/>
                <w:color w:val="auto"/>
                <w:sz w:val="21"/>
                <w:szCs w:val="21"/>
                <w:shd w:val="clear" w:color="auto" w:fill="auto"/>
                <w:lang w:val="en-US" w:eastAsia="zh-CN"/>
              </w:rPr>
              <w:t>0.5</w:t>
            </w:r>
          </w:p>
        </w:tc>
        <w:tc>
          <w:tcPr>
            <w:tcW w:w="1530"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val="en-US" w:eastAsia="zh-CN"/>
              </w:rPr>
            </w:pPr>
            <w:r>
              <w:rPr>
                <w:rFonts w:hint="eastAsia" w:eastAsia="宋体"/>
                <w:color w:val="auto"/>
                <w:sz w:val="21"/>
                <w:szCs w:val="21"/>
                <w:shd w:val="clear" w:color="auto" w:fill="auto"/>
                <w:lang w:val="en-US" w:eastAsia="zh-CN"/>
              </w:rPr>
              <w:t>管理用房</w:t>
            </w:r>
          </w:p>
        </w:tc>
        <w:tc>
          <w:tcPr>
            <w:tcW w:w="1636" w:type="dxa"/>
            <w:tcBorders>
              <w:tl2br w:val="nil"/>
              <w:tr2bl w:val="nil"/>
            </w:tcBorders>
            <w:vAlign w:val="center"/>
          </w:tcPr>
          <w:p>
            <w:pPr>
              <w:spacing w:line="240" w:lineRule="auto"/>
              <w:ind w:firstLine="0" w:firstLineChars="0"/>
              <w:jc w:val="center"/>
              <w:rPr>
                <w:color w:val="auto"/>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5"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2010"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溢油分散剂</w:t>
            </w:r>
          </w:p>
        </w:tc>
        <w:tc>
          <w:tcPr>
            <w:tcW w:w="846"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t</w:t>
            </w:r>
          </w:p>
        </w:tc>
        <w:tc>
          <w:tcPr>
            <w:tcW w:w="778" w:type="dxa"/>
            <w:tcBorders>
              <w:tl2br w:val="nil"/>
              <w:tr2bl w:val="nil"/>
            </w:tcBorders>
            <w:vAlign w:val="center"/>
          </w:tcPr>
          <w:p>
            <w:pPr>
              <w:spacing w:line="240" w:lineRule="auto"/>
              <w:ind w:firstLine="0" w:firstLineChars="0"/>
              <w:jc w:val="center"/>
              <w:rPr>
                <w:rFonts w:hint="default" w:eastAsia="宋体"/>
                <w:color w:val="auto"/>
                <w:sz w:val="21"/>
                <w:szCs w:val="21"/>
                <w:shd w:val="clear" w:color="auto" w:fill="auto"/>
                <w:lang w:val="en-US" w:eastAsia="zh-CN"/>
              </w:rPr>
            </w:pPr>
            <w:r>
              <w:rPr>
                <w:rFonts w:hint="eastAsia"/>
                <w:color w:val="auto"/>
                <w:sz w:val="21"/>
                <w:szCs w:val="21"/>
                <w:shd w:val="clear" w:color="auto" w:fill="auto"/>
                <w:lang w:val="en-US" w:eastAsia="zh-CN"/>
              </w:rPr>
              <w:t>0.5</w:t>
            </w:r>
          </w:p>
        </w:tc>
        <w:tc>
          <w:tcPr>
            <w:tcW w:w="971" w:type="dxa"/>
            <w:tcBorders>
              <w:tl2br w:val="nil"/>
              <w:tr2bl w:val="nil"/>
            </w:tcBorders>
            <w:vAlign w:val="center"/>
          </w:tcPr>
          <w:p>
            <w:pPr>
              <w:spacing w:line="240" w:lineRule="auto"/>
              <w:ind w:firstLine="0" w:firstLineChars="0"/>
              <w:jc w:val="center"/>
              <w:rPr>
                <w:color w:val="auto"/>
                <w:sz w:val="21"/>
                <w:szCs w:val="21"/>
                <w:shd w:val="clear" w:color="auto" w:fill="auto"/>
              </w:rPr>
            </w:pPr>
            <w:r>
              <w:rPr>
                <w:rFonts w:hint="eastAsia"/>
                <w:color w:val="auto"/>
                <w:sz w:val="21"/>
                <w:szCs w:val="21"/>
                <w:shd w:val="clear" w:color="auto" w:fill="auto"/>
              </w:rPr>
              <w:t>2</w:t>
            </w:r>
          </w:p>
        </w:tc>
        <w:tc>
          <w:tcPr>
            <w:tcW w:w="1530"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val="en-US" w:eastAsia="zh-CN"/>
              </w:rPr>
            </w:pPr>
            <w:r>
              <w:rPr>
                <w:rFonts w:hint="eastAsia" w:eastAsia="宋体"/>
                <w:color w:val="auto"/>
                <w:sz w:val="21"/>
                <w:szCs w:val="21"/>
                <w:shd w:val="clear" w:color="auto" w:fill="auto"/>
                <w:lang w:val="en-US" w:eastAsia="zh-CN"/>
              </w:rPr>
              <w:t>管理用房</w:t>
            </w:r>
          </w:p>
        </w:tc>
        <w:tc>
          <w:tcPr>
            <w:tcW w:w="1636" w:type="dxa"/>
            <w:tcBorders>
              <w:tl2br w:val="nil"/>
              <w:tr2bl w:val="nil"/>
            </w:tcBorders>
            <w:vAlign w:val="center"/>
          </w:tcPr>
          <w:p>
            <w:pPr>
              <w:spacing w:line="240" w:lineRule="auto"/>
              <w:ind w:firstLine="0" w:firstLineChars="0"/>
              <w:jc w:val="center"/>
              <w:rPr>
                <w:rFonts w:hint="eastAsia" w:eastAsia="宋体"/>
                <w:color w:val="auto"/>
                <w:shd w:val="clear" w:color="auto" w:fill="auto"/>
                <w:lang w:eastAsia="zh-CN"/>
              </w:rPr>
            </w:pPr>
            <w:r>
              <w:rPr>
                <w:color w:val="auto"/>
                <w:sz w:val="21"/>
                <w:szCs w:val="21"/>
                <w:shd w:val="clear" w:color="auto" w:fill="auto"/>
              </w:rPr>
              <w:t>浓缩型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5"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eastAsia="zh-CN"/>
              </w:rPr>
            </w:pPr>
            <w:r>
              <w:rPr>
                <w:rFonts w:hint="eastAsia"/>
                <w:color w:val="auto"/>
                <w:sz w:val="21"/>
                <w:szCs w:val="21"/>
                <w:shd w:val="clear" w:color="auto" w:fill="auto"/>
                <w:lang w:val="en-US" w:eastAsia="zh-CN"/>
              </w:rPr>
              <w:t>6</w:t>
            </w:r>
          </w:p>
        </w:tc>
        <w:tc>
          <w:tcPr>
            <w:tcW w:w="2010"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溢油分散剂喷洒装置</w:t>
            </w:r>
          </w:p>
        </w:tc>
        <w:tc>
          <w:tcPr>
            <w:tcW w:w="846"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套</w:t>
            </w:r>
          </w:p>
        </w:tc>
        <w:tc>
          <w:tcPr>
            <w:tcW w:w="778"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eastAsia="zh-CN"/>
              </w:rPr>
            </w:pPr>
            <w:r>
              <w:rPr>
                <w:rFonts w:hint="eastAsia"/>
                <w:color w:val="auto"/>
                <w:sz w:val="21"/>
                <w:szCs w:val="21"/>
                <w:shd w:val="clear" w:color="auto" w:fill="auto"/>
                <w:lang w:val="en-US" w:eastAsia="zh-CN"/>
              </w:rPr>
              <w:t>1</w:t>
            </w:r>
          </w:p>
        </w:tc>
        <w:tc>
          <w:tcPr>
            <w:tcW w:w="971" w:type="dxa"/>
            <w:tcBorders>
              <w:tl2br w:val="nil"/>
              <w:tr2bl w:val="nil"/>
            </w:tcBorders>
            <w:vAlign w:val="center"/>
          </w:tcPr>
          <w:p>
            <w:pPr>
              <w:spacing w:line="240" w:lineRule="auto"/>
              <w:ind w:firstLine="0" w:firstLineChars="0"/>
              <w:jc w:val="center"/>
              <w:rPr>
                <w:rFonts w:hint="default" w:eastAsia="宋体"/>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1530"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val="en-US" w:eastAsia="zh-CN"/>
              </w:rPr>
            </w:pPr>
            <w:r>
              <w:rPr>
                <w:rFonts w:hint="eastAsia" w:eastAsia="宋体"/>
                <w:color w:val="auto"/>
                <w:sz w:val="21"/>
                <w:szCs w:val="21"/>
                <w:shd w:val="clear" w:color="auto" w:fill="auto"/>
                <w:lang w:val="en-US" w:eastAsia="zh-CN"/>
              </w:rPr>
              <w:t>管理用房</w:t>
            </w:r>
          </w:p>
        </w:tc>
        <w:tc>
          <w:tcPr>
            <w:tcW w:w="1636" w:type="dxa"/>
            <w:tcBorders>
              <w:tl2br w:val="nil"/>
              <w:tr2bl w:val="nil"/>
            </w:tcBorders>
            <w:vAlign w:val="center"/>
          </w:tcPr>
          <w:p>
            <w:pPr>
              <w:spacing w:line="240" w:lineRule="auto"/>
              <w:ind w:firstLine="0" w:firstLineChars="0"/>
              <w:jc w:val="center"/>
              <w:rPr>
                <w:color w:val="auto"/>
                <w:shd w:val="clear" w:color="auto" w:fill="auto"/>
              </w:rPr>
            </w:pPr>
            <w:r>
              <w:rPr>
                <w:rFonts w:hint="eastAsia"/>
                <w:color w:val="auto"/>
                <w:sz w:val="21"/>
                <w:szCs w:val="21"/>
                <w:shd w:val="clear" w:color="auto" w:fill="auto"/>
                <w:lang w:eastAsia="zh-CN"/>
              </w:rPr>
              <w:t>喷洒速度</w:t>
            </w:r>
            <w:r>
              <w:rPr>
                <w:color w:val="auto"/>
                <w:sz w:val="21"/>
                <w:szCs w:val="21"/>
                <w:shd w:val="clear" w:color="auto" w:fill="auto"/>
              </w:rPr>
              <w:t>0.13t/h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5" w:type="dxa"/>
            <w:tcBorders>
              <w:tl2br w:val="nil"/>
              <w:tr2bl w:val="nil"/>
            </w:tcBorders>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lang w:val="en-US" w:eastAsia="zh-CN"/>
              </w:rPr>
              <w:t>7</w:t>
            </w:r>
          </w:p>
        </w:tc>
        <w:tc>
          <w:tcPr>
            <w:tcW w:w="2010"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rPr>
              <w:t>轻便储油罐</w:t>
            </w:r>
          </w:p>
        </w:tc>
        <w:tc>
          <w:tcPr>
            <w:tcW w:w="846"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rPr>
              <w:t>个</w:t>
            </w:r>
          </w:p>
        </w:tc>
        <w:tc>
          <w:tcPr>
            <w:tcW w:w="778"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val="en-US" w:eastAsia="zh-CN"/>
              </w:rPr>
            </w:pPr>
            <w:r>
              <w:rPr>
                <w:rFonts w:hint="eastAsia"/>
                <w:color w:val="auto"/>
                <w:sz w:val="21"/>
                <w:szCs w:val="21"/>
                <w:lang w:val="en-US" w:eastAsia="zh-CN"/>
              </w:rPr>
              <w:t>1</w:t>
            </w:r>
          </w:p>
        </w:tc>
        <w:tc>
          <w:tcPr>
            <w:tcW w:w="971"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val="en-US" w:eastAsia="zh-CN"/>
              </w:rPr>
            </w:pPr>
            <w:r>
              <w:rPr>
                <w:rFonts w:hint="eastAsia"/>
                <w:color w:val="auto"/>
                <w:sz w:val="21"/>
                <w:szCs w:val="21"/>
                <w:lang w:val="en-US" w:eastAsia="zh-CN"/>
              </w:rPr>
              <w:t>1</w:t>
            </w:r>
          </w:p>
        </w:tc>
        <w:tc>
          <w:tcPr>
            <w:tcW w:w="1530"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val="en-US" w:eastAsia="zh-CN"/>
              </w:rPr>
            </w:pPr>
            <w:r>
              <w:rPr>
                <w:rFonts w:hint="eastAsia" w:eastAsia="宋体"/>
                <w:color w:val="auto"/>
                <w:sz w:val="21"/>
                <w:szCs w:val="21"/>
                <w:shd w:val="clear" w:color="auto" w:fill="auto"/>
                <w:lang w:val="en-US" w:eastAsia="zh-CN"/>
              </w:rPr>
              <w:t>管理用房</w:t>
            </w:r>
          </w:p>
        </w:tc>
        <w:tc>
          <w:tcPr>
            <w:tcW w:w="1636" w:type="dxa"/>
            <w:tcBorders>
              <w:tl2br w:val="nil"/>
              <w:tr2bl w:val="nil"/>
            </w:tcBorders>
            <w:vAlign w:val="center"/>
          </w:tcPr>
          <w:p>
            <w:pPr>
              <w:spacing w:line="240" w:lineRule="auto"/>
              <w:ind w:firstLine="0" w:firstLineChars="0"/>
              <w:jc w:val="center"/>
              <w:rPr>
                <w:rFonts w:hint="eastAsia"/>
                <w:color w:val="auto"/>
                <w:sz w:val="21"/>
                <w:szCs w:val="21"/>
                <w:shd w:val="clear" w:color="auto" w:fill="auto"/>
                <w:lang w:eastAsia="zh-CN"/>
              </w:rPr>
            </w:pPr>
            <w:r>
              <w:rPr>
                <w:color w:val="auto"/>
                <w:sz w:val="21"/>
                <w:szCs w:val="21"/>
              </w:rPr>
              <w:t>有效容积</w:t>
            </w:r>
            <w:r>
              <w:rPr>
                <w:rFonts w:hint="eastAsia"/>
                <w:color w:val="auto"/>
                <w:sz w:val="21"/>
                <w:szCs w:val="21"/>
                <w:lang w:val="en-US" w:eastAsia="zh-CN"/>
              </w:rPr>
              <w:t>2</w:t>
            </w:r>
            <w:r>
              <w:rPr>
                <w:rFonts w:hint="eastAsia"/>
                <w:color w:val="auto"/>
                <w:sz w:val="21"/>
                <w:szCs w:val="21"/>
                <w:vertAlign w:val="baseline"/>
                <w:lang w:eastAsia="zh-CN"/>
              </w:rPr>
              <w:t>m</w:t>
            </w:r>
            <w:r>
              <w:rPr>
                <w:rFonts w:hint="eastAsia"/>
                <w:color w:val="auto"/>
                <w:sz w:val="21"/>
                <w:szCs w:val="21"/>
                <w:vertAlign w:val="superscript"/>
                <w:lang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5" w:type="dxa"/>
            <w:tcBorders>
              <w:tl2br w:val="nil"/>
              <w:tr2bl w:val="nil"/>
            </w:tcBorders>
            <w:vAlign w:val="center"/>
          </w:tcPr>
          <w:p>
            <w:pPr>
              <w:spacing w:line="240" w:lineRule="auto"/>
              <w:ind w:firstLine="0" w:firstLineChars="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8</w:t>
            </w:r>
          </w:p>
        </w:tc>
        <w:tc>
          <w:tcPr>
            <w:tcW w:w="2010"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val="en-US" w:eastAsia="zh-CN"/>
              </w:rPr>
            </w:pPr>
            <w:r>
              <w:rPr>
                <w:rFonts w:hint="eastAsia"/>
                <w:color w:val="auto"/>
                <w:sz w:val="21"/>
                <w:szCs w:val="21"/>
                <w:shd w:val="clear" w:color="auto" w:fill="auto"/>
                <w:lang w:val="en-US" w:eastAsia="zh-CN"/>
              </w:rPr>
              <w:t>个人防护设备</w:t>
            </w:r>
          </w:p>
        </w:tc>
        <w:tc>
          <w:tcPr>
            <w:tcW w:w="846"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val="en-US" w:eastAsia="zh-CN"/>
              </w:rPr>
            </w:pPr>
            <w:r>
              <w:rPr>
                <w:rFonts w:hint="eastAsia"/>
                <w:color w:val="auto"/>
                <w:sz w:val="21"/>
                <w:szCs w:val="21"/>
                <w:shd w:val="clear" w:color="auto" w:fill="auto"/>
                <w:lang w:val="en-US" w:eastAsia="zh-CN"/>
              </w:rPr>
              <w:t>套</w:t>
            </w:r>
          </w:p>
        </w:tc>
        <w:tc>
          <w:tcPr>
            <w:tcW w:w="778" w:type="dxa"/>
            <w:tcBorders>
              <w:tl2br w:val="nil"/>
              <w:tr2bl w:val="nil"/>
            </w:tcBorders>
            <w:vAlign w:val="center"/>
          </w:tcPr>
          <w:p>
            <w:pPr>
              <w:spacing w:line="240" w:lineRule="auto"/>
              <w:ind w:firstLine="0" w:firstLineChars="0"/>
              <w:jc w:val="center"/>
              <w:rPr>
                <w:rFonts w:hint="default" w:eastAsia="宋体"/>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971"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val="en-US" w:eastAsia="zh-CN"/>
              </w:rPr>
            </w:pPr>
            <w:r>
              <w:rPr>
                <w:rFonts w:hint="eastAsia"/>
                <w:color w:val="auto"/>
                <w:sz w:val="21"/>
                <w:szCs w:val="21"/>
                <w:shd w:val="clear" w:color="auto" w:fill="auto"/>
                <w:lang w:val="en-US" w:eastAsia="zh-CN"/>
              </w:rPr>
              <w:t>4</w:t>
            </w:r>
          </w:p>
        </w:tc>
        <w:tc>
          <w:tcPr>
            <w:tcW w:w="1530"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val="en-US" w:eastAsia="zh-CN"/>
              </w:rPr>
            </w:pPr>
            <w:r>
              <w:rPr>
                <w:rFonts w:hint="eastAsia" w:eastAsia="宋体"/>
                <w:color w:val="auto"/>
                <w:sz w:val="21"/>
                <w:szCs w:val="21"/>
                <w:shd w:val="clear" w:color="auto" w:fill="auto"/>
                <w:lang w:val="en-US" w:eastAsia="zh-CN"/>
              </w:rPr>
              <w:t>管理用房</w:t>
            </w:r>
          </w:p>
        </w:tc>
        <w:tc>
          <w:tcPr>
            <w:tcW w:w="1636"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val="en-US" w:eastAsia="zh-CN"/>
              </w:rPr>
            </w:pPr>
            <w:r>
              <w:rPr>
                <w:rFonts w:hint="eastAsia"/>
                <w:color w:val="auto"/>
                <w:sz w:val="21"/>
                <w:szCs w:val="21"/>
                <w:shd w:val="clear" w:color="auto" w:fill="auto"/>
                <w:lang w:val="en-US" w:eastAsia="zh-CN"/>
              </w:rPr>
              <w:t>救生衣、防毒面具、空气呼吸器等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45" w:type="dxa"/>
            <w:tcBorders>
              <w:tl2br w:val="nil"/>
              <w:tr2bl w:val="nil"/>
            </w:tcBorders>
            <w:vAlign w:val="center"/>
          </w:tcPr>
          <w:p>
            <w:pPr>
              <w:spacing w:line="240" w:lineRule="auto"/>
              <w:ind w:firstLine="0" w:firstLineChars="0"/>
              <w:jc w:val="center"/>
              <w:rPr>
                <w:rFonts w:hint="eastAsia" w:eastAsia="宋体"/>
                <w:color w:val="auto"/>
                <w:sz w:val="21"/>
                <w:szCs w:val="21"/>
                <w:shd w:val="clear" w:color="auto" w:fill="auto"/>
                <w:lang w:val="en-US" w:eastAsia="zh-CN"/>
              </w:rPr>
            </w:pPr>
            <w:r>
              <w:rPr>
                <w:rFonts w:hint="eastAsia"/>
                <w:color w:val="auto"/>
                <w:sz w:val="21"/>
                <w:szCs w:val="21"/>
                <w:shd w:val="clear" w:color="auto" w:fill="auto"/>
                <w:lang w:val="en-US" w:eastAsia="zh-CN"/>
              </w:rPr>
              <w:t>9</w:t>
            </w:r>
          </w:p>
        </w:tc>
        <w:tc>
          <w:tcPr>
            <w:tcW w:w="2010"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合  计</w:t>
            </w:r>
          </w:p>
        </w:tc>
        <w:tc>
          <w:tcPr>
            <w:tcW w:w="846"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w:t>
            </w:r>
          </w:p>
        </w:tc>
        <w:tc>
          <w:tcPr>
            <w:tcW w:w="778" w:type="dxa"/>
            <w:tcBorders>
              <w:tl2br w:val="nil"/>
              <w:tr2bl w:val="nil"/>
            </w:tcBorders>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w:t>
            </w:r>
          </w:p>
        </w:tc>
        <w:tc>
          <w:tcPr>
            <w:tcW w:w="971" w:type="dxa"/>
            <w:tcBorders>
              <w:tl2br w:val="nil"/>
              <w:tr2bl w:val="nil"/>
            </w:tcBorders>
            <w:vAlign w:val="center"/>
          </w:tcPr>
          <w:p>
            <w:pPr>
              <w:spacing w:line="240" w:lineRule="auto"/>
              <w:ind w:firstLine="0" w:firstLineChars="0"/>
              <w:jc w:val="center"/>
              <w:rPr>
                <w:rFonts w:hint="default" w:eastAsia="宋体"/>
                <w:color w:val="auto"/>
                <w:sz w:val="21"/>
                <w:szCs w:val="21"/>
                <w:shd w:val="clear" w:color="auto" w:fill="auto"/>
                <w:lang w:val="en-US" w:eastAsia="zh-CN"/>
              </w:rPr>
            </w:pPr>
            <w:r>
              <w:rPr>
                <w:rFonts w:hint="eastAsia"/>
                <w:color w:val="auto"/>
                <w:sz w:val="21"/>
                <w:szCs w:val="21"/>
                <w:shd w:val="clear" w:color="auto" w:fill="auto"/>
                <w:lang w:val="en-US" w:eastAsia="zh-CN"/>
              </w:rPr>
              <w:t>38.5</w:t>
            </w:r>
          </w:p>
        </w:tc>
        <w:tc>
          <w:tcPr>
            <w:tcW w:w="1530" w:type="dxa"/>
            <w:tcBorders>
              <w:tl2br w:val="nil"/>
              <w:tr2bl w:val="nil"/>
            </w:tcBorders>
            <w:vAlign w:val="center"/>
          </w:tcPr>
          <w:p>
            <w:pPr>
              <w:spacing w:line="240" w:lineRule="auto"/>
              <w:ind w:firstLine="0" w:firstLineChars="0"/>
              <w:jc w:val="center"/>
              <w:rPr>
                <w:color w:val="auto"/>
                <w:sz w:val="21"/>
                <w:szCs w:val="21"/>
                <w:shd w:val="clear" w:color="auto" w:fill="auto"/>
              </w:rPr>
            </w:pPr>
          </w:p>
        </w:tc>
        <w:tc>
          <w:tcPr>
            <w:tcW w:w="1636" w:type="dxa"/>
            <w:tcBorders>
              <w:tl2br w:val="nil"/>
              <w:tr2bl w:val="nil"/>
            </w:tcBorders>
            <w:vAlign w:val="center"/>
          </w:tcPr>
          <w:p>
            <w:pPr>
              <w:spacing w:line="240" w:lineRule="auto"/>
              <w:ind w:firstLine="0" w:firstLineChars="0"/>
              <w:jc w:val="center"/>
              <w:rPr>
                <w:color w:val="auto"/>
                <w:shd w:val="clear" w:color="auto" w:fill="auto"/>
              </w:rPr>
            </w:pPr>
          </w:p>
        </w:tc>
      </w:tr>
    </w:tbl>
    <w:p>
      <w:pPr>
        <w:ind w:firstLine="480"/>
        <w:rPr>
          <w:color w:val="auto"/>
          <w:shd w:val="clear" w:color="auto" w:fill="auto"/>
        </w:rPr>
      </w:pPr>
      <w:r>
        <w:rPr>
          <w:color w:val="auto"/>
          <w:shd w:val="clear" w:color="auto" w:fill="auto"/>
        </w:rPr>
        <w:t>(4) 应急人员管理</w:t>
      </w:r>
    </w:p>
    <w:p>
      <w:pPr>
        <w:ind w:firstLine="480"/>
        <w:rPr>
          <w:color w:val="auto"/>
          <w:shd w:val="clear" w:color="auto" w:fill="auto"/>
        </w:rPr>
      </w:pPr>
      <w:r>
        <w:rPr>
          <w:color w:val="auto"/>
          <w:shd w:val="clear" w:color="auto" w:fill="auto"/>
        </w:rPr>
        <w:t>参加应急反应的有关管理、应急清污人员应通过专业的培训和在职培训，掌握所需相关知识，逐步实现应急反应人员持证上岗，使应急人员具备应急反应理论和溢油控制及清污的实践经验。制定详尽的应急计划手册，更新应急组织指挥机构成员及联系方式，并适时举办综合演习，提高应急处置水平和指挥能力，增强应急队伍的应急处置和安全保护技能，加强各应急单位之间的配合与沟通。</w:t>
      </w:r>
    </w:p>
    <w:p>
      <w:pPr>
        <w:pStyle w:val="4"/>
        <w:spacing w:before="0" w:beforeLines="0" w:after="0" w:afterLines="0"/>
        <w:rPr>
          <w:color w:val="auto"/>
          <w:sz w:val="28"/>
          <w:szCs w:val="28"/>
          <w:shd w:val="clear" w:color="auto" w:fill="auto"/>
        </w:rPr>
      </w:pPr>
      <w:bookmarkStart w:id="365" w:name="_Toc27342"/>
      <w:bookmarkStart w:id="366" w:name="_Toc28981"/>
      <w:bookmarkStart w:id="367" w:name="_Toc7877"/>
      <w:bookmarkStart w:id="368" w:name="_Toc213043999"/>
      <w:bookmarkStart w:id="369" w:name="_Toc17244_WPSOffice_Level2"/>
      <w:bookmarkStart w:id="370" w:name="_Toc328967907"/>
      <w:bookmarkStart w:id="371" w:name="_Toc3460_WPSOffice_Level2"/>
      <w:bookmarkStart w:id="372" w:name="_Toc18486"/>
      <w:bookmarkStart w:id="373" w:name="_Toc328986627"/>
      <w:bookmarkStart w:id="374" w:name="_Toc24765"/>
      <w:bookmarkStart w:id="375" w:name="_Toc2291"/>
      <w:bookmarkStart w:id="376" w:name="_Toc7256"/>
      <w:bookmarkStart w:id="377" w:name="_Toc328986628"/>
      <w:bookmarkStart w:id="378" w:name="_Toc7017"/>
      <w:bookmarkStart w:id="379" w:name="_Toc29517"/>
      <w:bookmarkStart w:id="380" w:name="_Toc213044000"/>
      <w:bookmarkStart w:id="381" w:name="_Toc8020"/>
      <w:bookmarkStart w:id="382" w:name="_Toc9553"/>
      <w:bookmarkStart w:id="383" w:name="_Toc328967908"/>
      <w:bookmarkStart w:id="384" w:name="_Toc1354"/>
      <w:bookmarkStart w:id="385" w:name="_Toc9683_WPSOffice_Level2"/>
      <w:bookmarkStart w:id="386" w:name="_Toc17126_WPSOffice_Level2"/>
      <w:r>
        <w:rPr>
          <w:rFonts w:hint="eastAsia"/>
          <w:color w:val="auto"/>
          <w:sz w:val="28"/>
          <w:szCs w:val="28"/>
          <w:shd w:val="clear" w:color="auto" w:fill="auto"/>
          <w:lang w:val="en-US" w:eastAsia="zh-CN"/>
        </w:rPr>
        <w:t>5</w:t>
      </w:r>
      <w:r>
        <w:rPr>
          <w:rFonts w:hint="eastAsia"/>
          <w:color w:val="auto"/>
          <w:sz w:val="28"/>
          <w:szCs w:val="28"/>
          <w:shd w:val="clear" w:color="auto" w:fill="auto"/>
        </w:rPr>
        <w:t>.</w:t>
      </w:r>
      <w:r>
        <w:rPr>
          <w:rFonts w:hint="eastAsia"/>
          <w:color w:val="auto"/>
          <w:sz w:val="28"/>
          <w:szCs w:val="28"/>
          <w:shd w:val="clear" w:color="auto" w:fill="auto"/>
          <w:lang w:val="en-US" w:eastAsia="zh-CN"/>
        </w:rPr>
        <w:t>7</w:t>
      </w:r>
      <w:r>
        <w:rPr>
          <w:rFonts w:hint="eastAsia"/>
          <w:color w:val="auto"/>
          <w:sz w:val="28"/>
          <w:szCs w:val="28"/>
          <w:shd w:val="clear" w:color="auto" w:fill="auto"/>
        </w:rPr>
        <w:t xml:space="preserve"> 应急监测方案</w:t>
      </w:r>
      <w:bookmarkEnd w:id="365"/>
      <w:bookmarkEnd w:id="366"/>
      <w:bookmarkEnd w:id="367"/>
      <w:bookmarkEnd w:id="368"/>
      <w:bookmarkEnd w:id="369"/>
      <w:bookmarkEnd w:id="370"/>
      <w:bookmarkEnd w:id="371"/>
      <w:bookmarkEnd w:id="372"/>
      <w:bookmarkEnd w:id="373"/>
      <w:bookmarkEnd w:id="374"/>
      <w:bookmarkEnd w:id="375"/>
      <w:bookmarkEnd w:id="376"/>
    </w:p>
    <w:p>
      <w:pPr>
        <w:adjustRightInd/>
        <w:snapToGrid/>
        <w:spacing w:line="360" w:lineRule="auto"/>
        <w:ind w:firstLine="480"/>
        <w:jc w:val="both"/>
        <w:rPr>
          <w:rFonts w:eastAsia="黑体" w:cs="Times New Roman"/>
          <w:bCs/>
          <w:color w:val="auto"/>
          <w:shd w:val="clear" w:color="auto" w:fill="auto"/>
        </w:rPr>
      </w:pPr>
      <w:r>
        <w:rPr>
          <w:rFonts w:hint="eastAsia"/>
          <w:color w:val="auto"/>
          <w:shd w:val="clear" w:color="auto" w:fill="auto"/>
        </w:rPr>
        <w:t>环评中环境监测计划的日常环境监测因子和频次不能满足事故监控的要求，为此需编制事故应急环境监测方案。以下事故应急监测将在环境风险事故发生时，启动应急预案，并与区域应急预案衔接，由建设单位应急工作负责人员与市环境监测站取得联系，实施事故应急监测，对部分因子将委托市环境监测中心站实施监测。</w:t>
      </w:r>
    </w:p>
    <w:p>
      <w:pPr>
        <w:adjustRightInd w:val="0"/>
        <w:snapToGrid w:val="0"/>
        <w:spacing w:line="440" w:lineRule="exact"/>
        <w:ind w:firstLine="480"/>
        <w:jc w:val="center"/>
        <w:rPr>
          <w:rFonts w:hint="eastAsia" w:ascii="Times New Roman" w:hAnsi="Times New Roman" w:eastAsia="黑体" w:cs="Times New Roman"/>
          <w:color w:val="auto"/>
          <w:kern w:val="2"/>
          <w:sz w:val="21"/>
          <w:szCs w:val="21"/>
          <w:shd w:val="clear" w:color="auto" w:fill="auto"/>
          <w:lang w:val="en-US" w:eastAsia="zh-CN" w:bidi="ar-SA"/>
        </w:rPr>
      </w:pPr>
      <w:r>
        <w:rPr>
          <w:rFonts w:hint="eastAsia" w:ascii="Times New Roman" w:hAnsi="Times New Roman" w:eastAsia="黑体" w:cs="Times New Roman"/>
          <w:color w:val="auto"/>
          <w:kern w:val="2"/>
          <w:sz w:val="21"/>
          <w:szCs w:val="21"/>
          <w:shd w:val="clear" w:color="auto" w:fill="auto"/>
          <w:lang w:val="en-US" w:eastAsia="zh-CN" w:bidi="ar-SA"/>
        </w:rPr>
        <w:t>表5.7-1  应急监测计划</w:t>
      </w:r>
    </w:p>
    <w:tbl>
      <w:tblPr>
        <w:tblStyle w:val="26"/>
        <w:tblW w:w="86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9"/>
        <w:gridCol w:w="1079"/>
        <w:gridCol w:w="1316"/>
        <w:gridCol w:w="3645"/>
        <w:gridCol w:w="13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事故类型</w:t>
            </w:r>
          </w:p>
        </w:tc>
        <w:tc>
          <w:tcPr>
            <w:tcW w:w="1079"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监测项目</w:t>
            </w:r>
          </w:p>
        </w:tc>
        <w:tc>
          <w:tcPr>
            <w:tcW w:w="1316"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频次</w:t>
            </w:r>
          </w:p>
        </w:tc>
        <w:tc>
          <w:tcPr>
            <w:tcW w:w="3645"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监测点位</w:t>
            </w:r>
          </w:p>
        </w:tc>
        <w:tc>
          <w:tcPr>
            <w:tcW w:w="1378" w:type="dxa"/>
            <w:vAlign w:val="center"/>
          </w:tcPr>
          <w:p>
            <w:pPr>
              <w:spacing w:line="240" w:lineRule="auto"/>
              <w:ind w:firstLine="0" w:firstLineChars="0"/>
              <w:jc w:val="center"/>
              <w:rPr>
                <w:color w:val="auto"/>
                <w:sz w:val="21"/>
                <w:szCs w:val="21"/>
                <w:shd w:val="clear" w:color="auto" w:fill="auto"/>
              </w:rPr>
            </w:pPr>
            <w:r>
              <w:rPr>
                <w:color w:val="auto"/>
                <w:sz w:val="21"/>
                <w:szCs w:val="21"/>
                <w:shd w:val="clear" w:color="auto" w:fill="auto"/>
              </w:rPr>
              <w:t>监测单位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9" w:type="dxa"/>
            <w:vAlign w:val="center"/>
          </w:tcPr>
          <w:p>
            <w:pPr>
              <w:spacing w:line="240" w:lineRule="auto"/>
              <w:ind w:firstLine="0" w:firstLineChars="0"/>
              <w:jc w:val="center"/>
              <w:rPr>
                <w:color w:val="auto"/>
                <w:sz w:val="21"/>
                <w:szCs w:val="21"/>
                <w:shd w:val="clear" w:color="auto" w:fill="auto"/>
              </w:rPr>
            </w:pPr>
            <w:r>
              <w:rPr>
                <w:rFonts w:hint="eastAsia"/>
                <w:color w:val="auto"/>
                <w:sz w:val="21"/>
                <w:szCs w:val="21"/>
                <w:shd w:val="clear" w:color="auto" w:fill="auto"/>
              </w:rPr>
              <w:t>溢油</w:t>
            </w:r>
          </w:p>
        </w:tc>
        <w:tc>
          <w:tcPr>
            <w:tcW w:w="1079" w:type="dxa"/>
            <w:vAlign w:val="center"/>
          </w:tcPr>
          <w:p>
            <w:pPr>
              <w:spacing w:line="240" w:lineRule="auto"/>
              <w:ind w:firstLine="0" w:firstLineChars="0"/>
              <w:jc w:val="center"/>
              <w:rPr>
                <w:color w:val="auto"/>
                <w:sz w:val="21"/>
                <w:szCs w:val="21"/>
                <w:shd w:val="clear" w:color="auto" w:fill="auto"/>
              </w:rPr>
            </w:pPr>
            <w:r>
              <w:rPr>
                <w:rFonts w:hint="eastAsia"/>
                <w:color w:val="auto"/>
                <w:sz w:val="21"/>
                <w:szCs w:val="21"/>
                <w:shd w:val="clear" w:color="auto" w:fill="auto"/>
              </w:rPr>
              <w:t>石油类、COD</w:t>
            </w:r>
          </w:p>
        </w:tc>
        <w:tc>
          <w:tcPr>
            <w:tcW w:w="1316" w:type="dxa"/>
            <w:vAlign w:val="center"/>
          </w:tcPr>
          <w:p>
            <w:pPr>
              <w:spacing w:line="240" w:lineRule="auto"/>
              <w:ind w:firstLine="0" w:firstLineChars="0"/>
              <w:jc w:val="center"/>
              <w:rPr>
                <w:color w:val="auto"/>
                <w:sz w:val="21"/>
                <w:szCs w:val="21"/>
                <w:shd w:val="clear" w:color="auto" w:fill="auto"/>
              </w:rPr>
            </w:pPr>
            <w:r>
              <w:rPr>
                <w:rFonts w:hint="eastAsia"/>
                <w:color w:val="auto"/>
                <w:sz w:val="21"/>
                <w:szCs w:val="21"/>
                <w:shd w:val="clear" w:color="auto" w:fill="auto"/>
              </w:rPr>
              <w:t>每小时一次</w:t>
            </w:r>
          </w:p>
        </w:tc>
        <w:tc>
          <w:tcPr>
            <w:tcW w:w="3645" w:type="dxa"/>
            <w:vAlign w:val="center"/>
          </w:tcPr>
          <w:p>
            <w:pPr>
              <w:spacing w:line="240" w:lineRule="auto"/>
              <w:ind w:firstLine="0" w:firstLineChars="0"/>
              <w:jc w:val="center"/>
              <w:rPr>
                <w:color w:val="auto"/>
                <w:sz w:val="21"/>
                <w:szCs w:val="21"/>
                <w:shd w:val="clear" w:color="auto" w:fill="auto"/>
              </w:rPr>
            </w:pPr>
            <w:r>
              <w:rPr>
                <w:rFonts w:hint="eastAsia"/>
                <w:color w:val="auto"/>
                <w:sz w:val="21"/>
                <w:szCs w:val="21"/>
                <w:shd w:val="clear" w:color="auto" w:fill="auto"/>
              </w:rPr>
              <w:t>码头上游500</w:t>
            </w:r>
            <w:r>
              <w:rPr>
                <w:rFonts w:hint="eastAsia"/>
                <w:color w:val="auto"/>
                <w:sz w:val="21"/>
                <w:szCs w:val="21"/>
                <w:shd w:val="clear" w:color="auto" w:fill="auto"/>
                <w:lang w:val="en-US" w:eastAsia="zh-CN"/>
              </w:rPr>
              <w:t>m</w:t>
            </w:r>
            <w:r>
              <w:rPr>
                <w:rFonts w:hint="eastAsia"/>
                <w:color w:val="auto"/>
                <w:sz w:val="21"/>
                <w:szCs w:val="21"/>
                <w:shd w:val="clear" w:color="auto" w:fill="auto"/>
              </w:rPr>
              <w:t>，码头区，码头下游</w:t>
            </w:r>
            <w:r>
              <w:rPr>
                <w:rFonts w:hint="eastAsia"/>
                <w:color w:val="auto"/>
                <w:sz w:val="21"/>
                <w:szCs w:val="21"/>
                <w:shd w:val="clear" w:color="auto" w:fill="auto"/>
                <w:lang w:val="en-US" w:eastAsia="zh-CN"/>
              </w:rPr>
              <w:t>500m、</w:t>
            </w:r>
            <w:r>
              <w:rPr>
                <w:rFonts w:hint="eastAsia"/>
                <w:color w:val="auto"/>
                <w:sz w:val="21"/>
                <w:szCs w:val="21"/>
                <w:shd w:val="clear" w:color="auto" w:fill="auto"/>
              </w:rPr>
              <w:t>1</w:t>
            </w:r>
            <w:r>
              <w:rPr>
                <w:rFonts w:hint="eastAsia"/>
                <w:color w:val="auto"/>
                <w:sz w:val="21"/>
                <w:szCs w:val="21"/>
                <w:shd w:val="clear" w:color="auto" w:fill="auto"/>
                <w:lang w:val="en-US" w:eastAsia="zh-CN"/>
              </w:rPr>
              <w:t>5</w:t>
            </w:r>
            <w:r>
              <w:rPr>
                <w:rFonts w:hint="eastAsia"/>
                <w:color w:val="auto"/>
                <w:sz w:val="21"/>
                <w:szCs w:val="21"/>
                <w:shd w:val="clear" w:color="auto" w:fill="auto"/>
              </w:rPr>
              <w:t>00</w:t>
            </w:r>
            <w:r>
              <w:rPr>
                <w:rFonts w:hint="eastAsia"/>
                <w:color w:val="auto"/>
                <w:sz w:val="21"/>
                <w:szCs w:val="21"/>
                <w:shd w:val="clear" w:color="auto" w:fill="auto"/>
                <w:lang w:eastAsia="zh-CN"/>
              </w:rPr>
              <w:t>m，共</w:t>
            </w:r>
            <w:r>
              <w:rPr>
                <w:rFonts w:hint="eastAsia"/>
                <w:color w:val="auto"/>
                <w:sz w:val="21"/>
                <w:szCs w:val="21"/>
                <w:shd w:val="clear" w:color="auto" w:fill="auto"/>
                <w:lang w:val="en-US" w:eastAsia="zh-CN"/>
              </w:rPr>
              <w:t>4</w:t>
            </w:r>
            <w:r>
              <w:rPr>
                <w:rFonts w:hint="eastAsia"/>
                <w:color w:val="auto"/>
                <w:sz w:val="21"/>
                <w:szCs w:val="21"/>
                <w:shd w:val="clear" w:color="auto" w:fill="auto"/>
              </w:rPr>
              <w:t>个断面</w:t>
            </w:r>
          </w:p>
        </w:tc>
        <w:tc>
          <w:tcPr>
            <w:tcW w:w="1378" w:type="dxa"/>
            <w:vAlign w:val="center"/>
          </w:tcPr>
          <w:p>
            <w:pPr>
              <w:spacing w:line="240" w:lineRule="auto"/>
              <w:ind w:firstLine="0" w:firstLineChars="0"/>
              <w:jc w:val="center"/>
              <w:rPr>
                <w:color w:val="auto"/>
                <w:sz w:val="21"/>
                <w:szCs w:val="21"/>
                <w:shd w:val="clear" w:color="auto" w:fill="auto"/>
              </w:rPr>
            </w:pPr>
            <w:r>
              <w:rPr>
                <w:rFonts w:hint="eastAsia"/>
                <w:color w:val="auto"/>
                <w:sz w:val="21"/>
                <w:szCs w:val="21"/>
                <w:shd w:val="clear" w:color="auto" w:fill="auto"/>
              </w:rPr>
              <w:t>当地</w:t>
            </w:r>
            <w:r>
              <w:rPr>
                <w:color w:val="auto"/>
                <w:sz w:val="21"/>
                <w:szCs w:val="21"/>
                <w:shd w:val="clear" w:color="auto" w:fill="auto"/>
              </w:rPr>
              <w:t>环境监测站</w:t>
            </w:r>
          </w:p>
        </w:tc>
      </w:tr>
    </w:tbl>
    <w:p>
      <w:pPr>
        <w:pStyle w:val="4"/>
        <w:spacing w:before="0" w:beforeLines="0" w:after="0" w:afterLines="0"/>
        <w:rPr>
          <w:color w:val="auto"/>
          <w:sz w:val="28"/>
          <w:szCs w:val="28"/>
          <w:shd w:val="clear" w:color="auto" w:fill="auto"/>
        </w:rPr>
      </w:pPr>
      <w:bookmarkStart w:id="387" w:name="_Toc12601"/>
      <w:r>
        <w:rPr>
          <w:rFonts w:hint="eastAsia"/>
          <w:color w:val="auto"/>
          <w:sz w:val="28"/>
          <w:szCs w:val="28"/>
          <w:shd w:val="clear" w:color="auto" w:fill="auto"/>
          <w:lang w:val="en-US" w:eastAsia="zh-CN"/>
        </w:rPr>
        <w:t>5</w:t>
      </w:r>
      <w:r>
        <w:rPr>
          <w:rFonts w:hint="eastAsia"/>
          <w:color w:val="auto"/>
          <w:sz w:val="28"/>
          <w:szCs w:val="28"/>
          <w:shd w:val="clear" w:color="auto" w:fill="auto"/>
        </w:rPr>
        <w:t>.</w:t>
      </w:r>
      <w:r>
        <w:rPr>
          <w:rFonts w:hint="eastAsia"/>
          <w:color w:val="auto"/>
          <w:sz w:val="28"/>
          <w:szCs w:val="28"/>
          <w:shd w:val="clear" w:color="auto" w:fill="auto"/>
          <w:lang w:val="en-US" w:eastAsia="zh-CN"/>
        </w:rPr>
        <w:t>8</w:t>
      </w:r>
      <w:r>
        <w:rPr>
          <w:rFonts w:hint="eastAsia"/>
          <w:color w:val="auto"/>
          <w:sz w:val="28"/>
          <w:szCs w:val="28"/>
          <w:shd w:val="clear" w:color="auto" w:fill="auto"/>
        </w:rPr>
        <w:t xml:space="preserve"> 结论</w:t>
      </w:r>
      <w:bookmarkEnd w:id="377"/>
      <w:bookmarkEnd w:id="378"/>
      <w:bookmarkEnd w:id="379"/>
      <w:bookmarkEnd w:id="380"/>
      <w:bookmarkEnd w:id="381"/>
      <w:bookmarkEnd w:id="382"/>
      <w:bookmarkEnd w:id="383"/>
      <w:bookmarkEnd w:id="384"/>
      <w:bookmarkEnd w:id="385"/>
      <w:bookmarkEnd w:id="386"/>
      <w:bookmarkEnd w:id="387"/>
    </w:p>
    <w:p>
      <w:pPr>
        <w:ind w:firstLine="480"/>
        <w:rPr>
          <w:rFonts w:hint="eastAsia"/>
          <w:color w:val="auto"/>
          <w:shd w:val="clear" w:color="auto" w:fill="auto"/>
        </w:rPr>
      </w:pPr>
      <w:r>
        <w:rPr>
          <w:rFonts w:hint="eastAsia"/>
          <w:color w:val="auto"/>
          <w:shd w:val="clear" w:color="auto" w:fill="auto"/>
        </w:rPr>
        <w:t>通过风险防范措施和应急预案的设立，可以较为有效的最大限度防治风险事故的发生和有效处置，并结合建设单位在下一步设计、运营过程中不断制定和完善的风险防范措施和应急预案，在建立了上述风险管理、应急预案和应急措施之</w:t>
      </w:r>
      <w:r>
        <w:rPr>
          <w:color w:val="auto"/>
          <w:shd w:val="clear" w:color="auto" w:fill="auto"/>
        </w:rPr>
        <w:t>后，环境风险处于可控范围内，可以避免大的环境风险</w:t>
      </w:r>
      <w:r>
        <w:rPr>
          <w:rFonts w:hint="eastAsia"/>
          <w:color w:val="auto"/>
          <w:shd w:val="clear" w:color="auto" w:fill="auto"/>
        </w:rPr>
        <w:t>。</w:t>
      </w:r>
    </w:p>
    <w:p>
      <w:pPr>
        <w:adjustRightInd w:val="0"/>
        <w:snapToGrid w:val="0"/>
        <w:spacing w:line="440" w:lineRule="exact"/>
        <w:ind w:firstLine="480"/>
        <w:jc w:val="center"/>
        <w:rPr>
          <w:rFonts w:hint="eastAsia" w:ascii="Times New Roman" w:hAnsi="Times New Roman" w:eastAsia="黑体" w:cs="Times New Roman"/>
          <w:color w:val="auto"/>
          <w:kern w:val="2"/>
          <w:sz w:val="21"/>
          <w:szCs w:val="21"/>
          <w:shd w:val="clear" w:color="auto" w:fill="auto"/>
          <w:lang w:val="en-US" w:eastAsia="zh-CN" w:bidi="ar-SA"/>
        </w:rPr>
      </w:pPr>
      <w:r>
        <w:rPr>
          <w:rFonts w:hint="eastAsia" w:ascii="Times New Roman" w:hAnsi="Times New Roman" w:eastAsia="黑体" w:cs="Times New Roman"/>
          <w:color w:val="auto"/>
          <w:kern w:val="2"/>
          <w:sz w:val="21"/>
          <w:szCs w:val="21"/>
          <w:shd w:val="clear" w:color="auto" w:fill="auto"/>
          <w:lang w:val="en-US" w:eastAsia="zh-CN" w:bidi="ar-SA"/>
        </w:rPr>
        <w:t>表5.8-1 建设项目环境风险简单分析内容表</w:t>
      </w:r>
    </w:p>
    <w:tbl>
      <w:tblPr>
        <w:tblStyle w:val="27"/>
        <w:tblW w:w="85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5"/>
        <w:gridCol w:w="1635"/>
        <w:gridCol w:w="1908"/>
        <w:gridCol w:w="1572"/>
        <w:gridCol w:w="18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35" w:type="dxa"/>
            <w:vAlign w:val="center"/>
          </w:tcPr>
          <w:p>
            <w:pPr>
              <w:spacing w:line="240" w:lineRule="auto"/>
              <w:ind w:firstLine="0" w:firstLineChars="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建设项目名称</w:t>
            </w:r>
          </w:p>
        </w:tc>
        <w:tc>
          <w:tcPr>
            <w:tcW w:w="6983" w:type="dxa"/>
            <w:gridSpan w:val="4"/>
            <w:vAlign w:val="center"/>
          </w:tcPr>
          <w:p>
            <w:pPr>
              <w:spacing w:line="240" w:lineRule="auto"/>
              <w:ind w:firstLine="0" w:firstLineChars="0"/>
              <w:jc w:val="center"/>
              <w:rPr>
                <w:rFonts w:hint="eastAsia" w:eastAsia="宋体"/>
                <w:color w:val="auto"/>
                <w:sz w:val="21"/>
                <w:szCs w:val="21"/>
                <w:shd w:val="clear" w:color="auto" w:fill="auto"/>
                <w:lang w:eastAsia="zh-CN"/>
              </w:rPr>
            </w:pPr>
            <w:r>
              <w:rPr>
                <w:rFonts w:hint="eastAsia"/>
                <w:color w:val="auto"/>
                <w:sz w:val="21"/>
                <w:szCs w:val="21"/>
                <w:shd w:val="clear" w:color="auto" w:fill="auto"/>
                <w:lang w:eastAsia="zh-CN"/>
              </w:rPr>
              <w:t>阜阳港太和港区陶庙作业区码头工程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35" w:type="dxa"/>
            <w:vAlign w:val="center"/>
          </w:tcPr>
          <w:p>
            <w:pPr>
              <w:spacing w:line="240" w:lineRule="auto"/>
              <w:ind w:firstLine="0" w:firstLineChars="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建设地点</w:t>
            </w:r>
          </w:p>
        </w:tc>
        <w:tc>
          <w:tcPr>
            <w:tcW w:w="6983" w:type="dxa"/>
            <w:gridSpan w:val="4"/>
            <w:vAlign w:val="center"/>
          </w:tcPr>
          <w:p>
            <w:pPr>
              <w:spacing w:line="240" w:lineRule="auto"/>
              <w:ind w:firstLine="0" w:firstLineChars="0"/>
              <w:jc w:val="center"/>
              <w:rPr>
                <w:color w:val="auto"/>
                <w:sz w:val="21"/>
                <w:szCs w:val="21"/>
                <w:shd w:val="clear" w:color="auto" w:fill="auto"/>
              </w:rPr>
            </w:pPr>
            <w:r>
              <w:rPr>
                <w:rFonts w:hint="eastAsia"/>
                <w:color w:val="auto"/>
                <w:sz w:val="21"/>
                <w:szCs w:val="21"/>
                <w:shd w:val="clear" w:color="auto" w:fill="auto"/>
                <w:lang w:eastAsia="zh-CN"/>
              </w:rPr>
              <w:t>安徽省阜阳市太和县城关镇境内，阜阳港太和港区陶庙作业区，上距太和二桥约50</w:t>
            </w:r>
            <w:r>
              <w:rPr>
                <w:rFonts w:hint="eastAsia"/>
                <w:color w:val="auto"/>
                <w:sz w:val="21"/>
                <w:szCs w:val="21"/>
                <w:shd w:val="clear" w:color="auto" w:fill="auto"/>
                <w:lang w:val="en-US" w:eastAsia="zh-CN"/>
              </w:rPr>
              <w:t>8.3</w:t>
            </w:r>
            <w:r>
              <w:rPr>
                <w:rFonts w:hint="eastAsia"/>
                <w:color w:val="auto"/>
                <w:sz w:val="21"/>
                <w:szCs w:val="21"/>
                <w:shd w:val="clear" w:color="auto" w:fill="auto"/>
                <w:lang w:eastAsia="zh-CN"/>
              </w:rPr>
              <w:t>m处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35" w:type="dxa"/>
            <w:vAlign w:val="center"/>
          </w:tcPr>
          <w:p>
            <w:pPr>
              <w:spacing w:line="240" w:lineRule="auto"/>
              <w:ind w:firstLine="0" w:firstLineChars="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地理坐标</w:t>
            </w:r>
          </w:p>
        </w:tc>
        <w:tc>
          <w:tcPr>
            <w:tcW w:w="1635" w:type="dxa"/>
            <w:vAlign w:val="center"/>
          </w:tcPr>
          <w:p>
            <w:pPr>
              <w:spacing w:line="240" w:lineRule="auto"/>
              <w:ind w:firstLine="0" w:firstLineChars="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经度</w:t>
            </w:r>
          </w:p>
        </w:tc>
        <w:tc>
          <w:tcPr>
            <w:tcW w:w="1908" w:type="dxa"/>
            <w:vAlign w:val="center"/>
          </w:tcPr>
          <w:p>
            <w:pPr>
              <w:spacing w:line="240" w:lineRule="auto"/>
              <w:ind w:firstLine="0" w:firstLineChars="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116°42'33.43"</w:t>
            </w:r>
            <w:r>
              <w:rPr>
                <w:rFonts w:hint="eastAsia"/>
                <w:color w:val="auto"/>
                <w:sz w:val="21"/>
                <w:szCs w:val="21"/>
                <w:shd w:val="clear" w:color="auto" w:fill="auto"/>
                <w:lang w:val="en-US" w:eastAsia="zh-CN"/>
              </w:rPr>
              <w:t>E</w:t>
            </w:r>
          </w:p>
        </w:tc>
        <w:tc>
          <w:tcPr>
            <w:tcW w:w="1572" w:type="dxa"/>
            <w:vAlign w:val="center"/>
          </w:tcPr>
          <w:p>
            <w:pPr>
              <w:spacing w:line="240" w:lineRule="auto"/>
              <w:ind w:firstLine="0" w:firstLineChars="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纬度</w:t>
            </w:r>
          </w:p>
        </w:tc>
        <w:tc>
          <w:tcPr>
            <w:tcW w:w="1868" w:type="dxa"/>
            <w:vAlign w:val="center"/>
          </w:tcPr>
          <w:p>
            <w:pPr>
              <w:spacing w:line="240" w:lineRule="auto"/>
              <w:ind w:firstLine="0" w:firstLineChars="0"/>
              <w:jc w:val="center"/>
              <w:rPr>
                <w:rFonts w:hint="eastAsia"/>
                <w:color w:val="auto"/>
                <w:sz w:val="21"/>
                <w:szCs w:val="21"/>
                <w:shd w:val="clear" w:color="auto" w:fill="auto"/>
                <w:lang w:eastAsia="zh-CN"/>
              </w:rPr>
            </w:pPr>
            <w:r>
              <w:rPr>
                <w:rFonts w:hint="eastAsia"/>
                <w:color w:val="auto"/>
                <w:sz w:val="21"/>
                <w:szCs w:val="21"/>
                <w:shd w:val="clear" w:color="auto" w:fill="auto"/>
                <w:lang w:val="en-US" w:eastAsia="zh-CN"/>
              </w:rPr>
              <w:t>33°11'15.67"N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35" w:type="dxa"/>
            <w:vAlign w:val="center"/>
          </w:tcPr>
          <w:p>
            <w:pPr>
              <w:spacing w:line="240" w:lineRule="auto"/>
              <w:ind w:firstLine="0" w:firstLineChars="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主要危险物质及分布</w:t>
            </w:r>
          </w:p>
        </w:tc>
        <w:tc>
          <w:tcPr>
            <w:tcW w:w="6983" w:type="dxa"/>
            <w:gridSpan w:val="4"/>
            <w:vAlign w:val="center"/>
          </w:tcPr>
          <w:p>
            <w:pPr>
              <w:spacing w:line="240" w:lineRule="auto"/>
              <w:ind w:firstLine="0" w:firstLineChars="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项目涉及的危险物质主要为船舶本身动力所用的燃料油，即柴油。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35" w:type="dxa"/>
            <w:vAlign w:val="center"/>
          </w:tcPr>
          <w:p>
            <w:pPr>
              <w:spacing w:line="240" w:lineRule="auto"/>
              <w:ind w:firstLine="0" w:firstLineChars="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环境影响途径及危害后果</w:t>
            </w:r>
          </w:p>
        </w:tc>
        <w:tc>
          <w:tcPr>
            <w:tcW w:w="6983" w:type="dxa"/>
            <w:gridSpan w:val="4"/>
            <w:vAlign w:val="center"/>
          </w:tcPr>
          <w:p>
            <w:pPr>
              <w:spacing w:line="240" w:lineRule="auto"/>
              <w:ind w:left="0" w:leftChars="0" w:firstLine="0" w:firstLineChars="0"/>
              <w:jc w:val="left"/>
              <w:rPr>
                <w:rFonts w:hint="eastAsia"/>
                <w:color w:val="auto"/>
                <w:lang w:eastAsia="zh-CN"/>
              </w:rPr>
            </w:pPr>
            <w:r>
              <w:rPr>
                <w:rFonts w:hint="eastAsia"/>
                <w:color w:val="auto"/>
                <w:sz w:val="21"/>
                <w:szCs w:val="21"/>
                <w:shd w:val="clear" w:color="auto" w:fill="auto"/>
                <w:lang w:eastAsia="zh-CN"/>
              </w:rPr>
              <w:t>项目营运期内一旦发生溢油事故，将不可避免的对码头上、下游水质产生一定的污染影响；并且污染因子石油类将会对航道区域内鱼类的急性中毒、在鱼体内的蓄积残留和对鱼的致突变性产生较大的负面影响，而且对浮游植物和动物也会产生一定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35" w:type="dxa"/>
            <w:vAlign w:val="center"/>
          </w:tcPr>
          <w:p>
            <w:pPr>
              <w:spacing w:line="240" w:lineRule="auto"/>
              <w:ind w:firstLine="0" w:firstLineChars="0"/>
              <w:jc w:val="center"/>
              <w:rPr>
                <w:rFonts w:hint="eastAsia" w:eastAsia="宋体"/>
                <w:color w:val="auto"/>
                <w:sz w:val="21"/>
                <w:szCs w:val="21"/>
                <w:shd w:val="clear" w:color="auto" w:fill="auto"/>
                <w:lang w:eastAsia="zh-CN"/>
              </w:rPr>
            </w:pPr>
            <w:r>
              <w:rPr>
                <w:rFonts w:hint="eastAsia"/>
                <w:color w:val="auto"/>
                <w:sz w:val="21"/>
                <w:szCs w:val="21"/>
                <w:shd w:val="clear" w:color="auto" w:fill="auto"/>
                <w:lang w:eastAsia="zh-CN"/>
              </w:rPr>
              <w:t>风险防范措施要求</w:t>
            </w:r>
          </w:p>
        </w:tc>
        <w:tc>
          <w:tcPr>
            <w:tcW w:w="6983" w:type="dxa"/>
            <w:gridSpan w:val="4"/>
            <w:vAlign w:val="center"/>
          </w:tcPr>
          <w:p>
            <w:pPr>
              <w:spacing w:line="240" w:lineRule="auto"/>
              <w:ind w:left="0" w:leftChars="0" w:firstLine="0" w:firstLineChars="0"/>
              <w:jc w:val="left"/>
              <w:rPr>
                <w:rFonts w:hint="eastAsia"/>
                <w:color w:val="auto"/>
                <w:sz w:val="21"/>
                <w:szCs w:val="21"/>
                <w:shd w:val="clear" w:color="auto" w:fill="auto"/>
                <w:lang w:eastAsia="zh-CN"/>
              </w:rPr>
            </w:pPr>
            <w:r>
              <w:rPr>
                <w:rFonts w:hint="eastAsia"/>
                <w:color w:val="auto"/>
                <w:sz w:val="21"/>
                <w:szCs w:val="21"/>
                <w:shd w:val="clear" w:color="auto" w:fill="auto"/>
                <w:lang w:eastAsia="zh-CN"/>
              </w:rPr>
              <w:t>(1) 港区要接受该辖区内</w:t>
            </w:r>
            <w:r>
              <w:rPr>
                <w:rFonts w:hint="eastAsia"/>
                <w:color w:val="auto"/>
                <w:sz w:val="21"/>
                <w:szCs w:val="21"/>
                <w:shd w:val="clear" w:color="auto" w:fill="auto"/>
                <w:lang w:val="en-US" w:eastAsia="zh-CN"/>
              </w:rPr>
              <w:t>阜阳</w:t>
            </w:r>
            <w:r>
              <w:rPr>
                <w:rFonts w:hint="eastAsia"/>
                <w:color w:val="auto"/>
                <w:sz w:val="21"/>
                <w:szCs w:val="21"/>
                <w:shd w:val="clear" w:color="auto" w:fill="auto"/>
                <w:lang w:eastAsia="zh-CN"/>
              </w:rPr>
              <w:t>市地方海事局（港航管理局）对船舶交通和船舶报告等方面的协调、监督和管理，在码头前沿和船舶掉头区设置必要的助航等安全保障设施。</w:t>
            </w:r>
          </w:p>
          <w:p>
            <w:pPr>
              <w:spacing w:line="240" w:lineRule="auto"/>
              <w:ind w:left="0" w:leftChars="0" w:firstLine="0" w:firstLineChars="0"/>
              <w:jc w:val="left"/>
              <w:rPr>
                <w:rFonts w:hint="eastAsia"/>
                <w:color w:val="auto"/>
                <w:sz w:val="21"/>
                <w:szCs w:val="21"/>
                <w:shd w:val="clear" w:color="auto" w:fill="auto"/>
                <w:lang w:eastAsia="zh-CN"/>
              </w:rPr>
            </w:pPr>
            <w:r>
              <w:rPr>
                <w:rFonts w:hint="eastAsia"/>
                <w:color w:val="auto"/>
                <w:sz w:val="21"/>
                <w:szCs w:val="21"/>
                <w:shd w:val="clear" w:color="auto" w:fill="auto"/>
                <w:lang w:eastAsia="zh-CN"/>
              </w:rPr>
              <w:t>(2) 推进船舶交通管理系统建设，监控船舶航行和进出港，并提供船舶航行所需安全信息，以保障船舶交通安全，避免船舶碰撞事故、大型船舶搁浅等事故发生，同时还可以提高港口效率，有效组织江上搜救行动和事故应急反应等。</w:t>
            </w:r>
          </w:p>
          <w:p>
            <w:pPr>
              <w:spacing w:line="240" w:lineRule="auto"/>
              <w:ind w:left="0" w:leftChars="0" w:firstLine="0" w:firstLineChars="0"/>
              <w:jc w:val="left"/>
              <w:rPr>
                <w:rFonts w:hint="eastAsia"/>
                <w:color w:val="auto"/>
                <w:sz w:val="21"/>
                <w:szCs w:val="21"/>
                <w:shd w:val="clear" w:color="auto" w:fill="auto"/>
                <w:lang w:eastAsia="zh-CN"/>
              </w:rPr>
            </w:pPr>
            <w:r>
              <w:rPr>
                <w:rFonts w:hint="eastAsia"/>
                <w:color w:val="auto"/>
                <w:sz w:val="21"/>
                <w:szCs w:val="21"/>
                <w:shd w:val="clear" w:color="auto" w:fill="auto"/>
                <w:lang w:eastAsia="zh-CN"/>
              </w:rPr>
              <w:t>(3) 为避免码头前沿航道内船舶发生碰撞事故，进出码头的船舶必须根据水域船舶动态合理安排进出时间，按照交通部信号管理规定显示信号，加强过往船舶的安全调度管理。</w:t>
            </w:r>
          </w:p>
          <w:p>
            <w:pPr>
              <w:spacing w:line="240" w:lineRule="auto"/>
              <w:ind w:left="0" w:leftChars="0" w:firstLine="0" w:firstLineChars="0"/>
              <w:jc w:val="left"/>
              <w:rPr>
                <w:rFonts w:hint="eastAsia"/>
                <w:color w:val="auto"/>
                <w:sz w:val="21"/>
                <w:szCs w:val="21"/>
                <w:shd w:val="clear" w:color="auto" w:fill="auto"/>
                <w:lang w:eastAsia="zh-CN"/>
              </w:rPr>
            </w:pPr>
            <w:r>
              <w:rPr>
                <w:rFonts w:hint="eastAsia"/>
                <w:color w:val="auto"/>
                <w:sz w:val="21"/>
                <w:szCs w:val="21"/>
                <w:shd w:val="clear" w:color="auto" w:fill="auto"/>
                <w:lang w:eastAsia="zh-CN"/>
              </w:rPr>
              <w:t>(4) 制定严格的操作规程，收集实时气象信息，确保进出码头、停靠的安全。</w:t>
            </w:r>
          </w:p>
          <w:p>
            <w:pPr>
              <w:spacing w:line="240" w:lineRule="auto"/>
              <w:ind w:left="0" w:leftChars="0" w:firstLine="0" w:firstLineChars="0"/>
              <w:jc w:val="left"/>
              <w:rPr>
                <w:rFonts w:hint="eastAsia"/>
                <w:color w:val="auto"/>
                <w:sz w:val="21"/>
                <w:szCs w:val="21"/>
                <w:shd w:val="clear" w:color="auto" w:fill="auto"/>
                <w:lang w:eastAsia="zh-CN"/>
              </w:rPr>
            </w:pPr>
            <w:r>
              <w:rPr>
                <w:rFonts w:hint="eastAsia"/>
                <w:color w:val="auto"/>
                <w:sz w:val="21"/>
                <w:szCs w:val="21"/>
                <w:shd w:val="clear" w:color="auto" w:fill="auto"/>
                <w:lang w:eastAsia="zh-CN"/>
              </w:rPr>
              <w:t>(5) 通过控制室监视船舶进出港过程，提早发现可能出现的事故隐患。</w:t>
            </w:r>
          </w:p>
          <w:p>
            <w:pPr>
              <w:spacing w:line="240" w:lineRule="auto"/>
              <w:ind w:left="0" w:leftChars="0" w:firstLine="0" w:firstLineChars="0"/>
              <w:jc w:val="left"/>
              <w:rPr>
                <w:rFonts w:hint="eastAsia"/>
                <w:color w:val="auto"/>
                <w:sz w:val="21"/>
                <w:szCs w:val="21"/>
                <w:shd w:val="clear" w:color="auto" w:fill="auto"/>
                <w:lang w:eastAsia="zh-CN"/>
              </w:rPr>
            </w:pPr>
            <w:r>
              <w:rPr>
                <w:rFonts w:hint="eastAsia"/>
                <w:color w:val="auto"/>
                <w:sz w:val="21"/>
                <w:szCs w:val="21"/>
                <w:shd w:val="clear" w:color="auto" w:fill="auto"/>
                <w:lang w:eastAsia="zh-CN"/>
              </w:rPr>
              <w:t>(6) 对进出港船舶涉及船员加强管理，提高船员素质，降低操作性失误。</w:t>
            </w:r>
          </w:p>
          <w:p>
            <w:pPr>
              <w:spacing w:line="240" w:lineRule="auto"/>
              <w:ind w:left="0" w:leftChars="0" w:firstLine="0" w:firstLineChars="0"/>
              <w:jc w:val="left"/>
              <w:rPr>
                <w:rFonts w:hint="eastAsia"/>
                <w:color w:val="auto"/>
                <w:sz w:val="21"/>
                <w:szCs w:val="21"/>
                <w:shd w:val="clear" w:color="auto" w:fill="auto"/>
                <w:lang w:eastAsia="zh-CN"/>
              </w:rPr>
            </w:pPr>
            <w:r>
              <w:rPr>
                <w:rFonts w:hint="eastAsia"/>
                <w:color w:val="auto"/>
                <w:sz w:val="21"/>
                <w:szCs w:val="21"/>
                <w:shd w:val="clear" w:color="auto" w:fill="auto"/>
                <w:lang w:eastAsia="zh-CN"/>
              </w:rPr>
              <w:t>(7) 注意气象和水流条件，密切关注航行条件，通过无线电、手机通信等通信手段提醒行驶船舶行驶条件，避免大风、大浪、大雨、大雾等恶劣天气造成事故发生的可能。</w:t>
            </w:r>
          </w:p>
          <w:p>
            <w:pPr>
              <w:spacing w:line="240" w:lineRule="auto"/>
              <w:ind w:left="0" w:leftChars="0" w:firstLine="0" w:firstLineChars="0"/>
              <w:jc w:val="left"/>
              <w:rPr>
                <w:color w:val="auto"/>
                <w:sz w:val="21"/>
                <w:szCs w:val="21"/>
                <w:shd w:val="clear" w:color="auto" w:fill="auto"/>
              </w:rPr>
            </w:pPr>
            <w:r>
              <w:rPr>
                <w:rFonts w:hint="eastAsia"/>
                <w:color w:val="auto"/>
                <w:sz w:val="21"/>
                <w:szCs w:val="21"/>
                <w:shd w:val="clear" w:color="auto" w:fill="auto"/>
                <w:lang w:eastAsia="zh-CN"/>
              </w:rPr>
              <w:t>(8) 码头配备一定数量的围油栏、吸油毡等应急物资，配备应急通讯设施，加强各单位涉及船员、人员的应急意识，一旦发生事故，可及时通知相关单位，启动应急预案。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35" w:type="dxa"/>
            <w:vAlign w:val="center"/>
          </w:tcPr>
          <w:p>
            <w:pPr>
              <w:spacing w:line="240" w:lineRule="auto"/>
              <w:ind w:firstLine="0" w:firstLineChars="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填表说明</w:t>
            </w:r>
          </w:p>
        </w:tc>
        <w:tc>
          <w:tcPr>
            <w:tcW w:w="6983" w:type="dxa"/>
            <w:gridSpan w:val="4"/>
            <w:vAlign w:val="center"/>
          </w:tcPr>
          <w:p>
            <w:pPr>
              <w:spacing w:line="240" w:lineRule="auto"/>
              <w:ind w:left="0" w:leftChars="0" w:firstLine="0" w:firstLineChars="0"/>
              <w:jc w:val="left"/>
              <w:rPr>
                <w:color w:val="auto"/>
                <w:sz w:val="21"/>
                <w:szCs w:val="21"/>
                <w:shd w:val="clear" w:color="auto" w:fill="auto"/>
              </w:rPr>
            </w:pPr>
            <w:r>
              <w:rPr>
                <w:rFonts w:hint="eastAsia"/>
                <w:color w:val="auto"/>
                <w:sz w:val="21"/>
                <w:szCs w:val="21"/>
                <w:shd w:val="clear" w:color="auto" w:fill="auto"/>
                <w:lang w:eastAsia="zh-CN"/>
              </w:rPr>
              <w:t>本项目代表船型为500吨货船，根据船舶具体运行情况，船载储油量一般不超过10t。</w:t>
            </w:r>
            <w:r>
              <w:rPr>
                <w:rFonts w:hint="eastAsia"/>
                <w:color w:val="auto"/>
                <w:sz w:val="21"/>
                <w:szCs w:val="21"/>
                <w:shd w:val="clear" w:color="auto" w:fill="auto"/>
                <w:lang w:val="en-US" w:eastAsia="zh-CN"/>
              </w:rPr>
              <w:t>项目涉及危险物质为</w:t>
            </w:r>
            <w:r>
              <w:rPr>
                <w:rFonts w:hint="eastAsia"/>
                <w:color w:val="auto"/>
                <w:sz w:val="21"/>
                <w:szCs w:val="21"/>
                <w:shd w:val="clear" w:color="auto" w:fill="auto"/>
                <w:lang w:eastAsia="zh-CN"/>
              </w:rPr>
              <w:t>柴油，根据《建设项目环境风险评价技术导则》（GB</w:t>
            </w:r>
            <w:r>
              <w:rPr>
                <w:rFonts w:hint="eastAsia"/>
                <w:color w:val="auto"/>
                <w:sz w:val="21"/>
                <w:szCs w:val="21"/>
                <w:shd w:val="clear" w:color="auto" w:fill="auto"/>
                <w:lang w:val="en-US" w:eastAsia="zh-CN"/>
              </w:rPr>
              <w:t>169</w:t>
            </w:r>
            <w:r>
              <w:rPr>
                <w:rFonts w:hint="eastAsia"/>
                <w:color w:val="auto"/>
                <w:sz w:val="21"/>
                <w:szCs w:val="21"/>
                <w:shd w:val="clear" w:color="auto" w:fill="auto"/>
                <w:lang w:eastAsia="zh-CN"/>
              </w:rPr>
              <w:t>-20</w:t>
            </w:r>
            <w:r>
              <w:rPr>
                <w:rFonts w:hint="eastAsia"/>
                <w:color w:val="auto"/>
                <w:sz w:val="21"/>
                <w:szCs w:val="21"/>
                <w:shd w:val="clear" w:color="auto" w:fill="auto"/>
                <w:lang w:val="en-US" w:eastAsia="zh-CN"/>
              </w:rPr>
              <w:t>18</w:t>
            </w:r>
            <w:r>
              <w:rPr>
                <w:rFonts w:hint="eastAsia"/>
                <w:color w:val="auto"/>
                <w:sz w:val="21"/>
                <w:szCs w:val="21"/>
                <w:shd w:val="clear" w:color="auto" w:fill="auto"/>
                <w:lang w:eastAsia="zh-CN"/>
              </w:rPr>
              <w:t>）附录</w:t>
            </w:r>
            <w:r>
              <w:rPr>
                <w:rFonts w:hint="eastAsia"/>
                <w:color w:val="auto"/>
                <w:sz w:val="21"/>
                <w:szCs w:val="21"/>
                <w:shd w:val="clear" w:color="auto" w:fill="auto"/>
                <w:lang w:val="en-US" w:eastAsia="zh-CN"/>
              </w:rPr>
              <w:t>B</w:t>
            </w:r>
            <w:r>
              <w:rPr>
                <w:rFonts w:hint="eastAsia"/>
                <w:color w:val="auto"/>
                <w:sz w:val="21"/>
                <w:szCs w:val="21"/>
                <w:shd w:val="clear" w:color="auto" w:fill="auto"/>
                <w:lang w:eastAsia="zh-CN"/>
              </w:rPr>
              <w:t>的范畴，其临界量为</w:t>
            </w:r>
            <w:r>
              <w:rPr>
                <w:rFonts w:hint="eastAsia"/>
                <w:color w:val="auto"/>
                <w:sz w:val="21"/>
                <w:szCs w:val="21"/>
                <w:shd w:val="clear" w:color="auto" w:fill="auto"/>
                <w:lang w:val="en-US" w:eastAsia="zh-CN"/>
              </w:rPr>
              <w:t>25</w:t>
            </w:r>
            <w:r>
              <w:rPr>
                <w:rFonts w:hint="eastAsia"/>
                <w:color w:val="auto"/>
                <w:sz w:val="21"/>
                <w:szCs w:val="21"/>
                <w:shd w:val="clear" w:color="auto" w:fill="auto"/>
                <w:lang w:eastAsia="zh-CN"/>
              </w:rPr>
              <w:t>00</w:t>
            </w:r>
            <w:r>
              <w:rPr>
                <w:rFonts w:hint="eastAsia"/>
                <w:color w:val="auto"/>
                <w:sz w:val="21"/>
                <w:szCs w:val="21"/>
                <w:shd w:val="clear" w:color="auto" w:fill="auto"/>
                <w:lang w:val="en-US" w:eastAsia="zh-CN"/>
              </w:rPr>
              <w:t>t</w:t>
            </w:r>
            <w:r>
              <w:rPr>
                <w:rFonts w:hint="eastAsia"/>
                <w:color w:val="auto"/>
                <w:sz w:val="21"/>
                <w:szCs w:val="21"/>
                <w:shd w:val="clear" w:color="auto" w:fill="auto"/>
                <w:lang w:eastAsia="zh-CN"/>
              </w:rPr>
              <w:t>，因此计算</w:t>
            </w:r>
            <w:r>
              <w:rPr>
                <w:rFonts w:hint="eastAsia"/>
                <w:color w:val="auto"/>
                <w:sz w:val="21"/>
                <w:szCs w:val="21"/>
                <w:shd w:val="clear" w:color="auto" w:fill="auto"/>
                <w:lang w:val="en-US" w:eastAsia="zh-CN"/>
              </w:rPr>
              <w:t>Q值为0.004。因为Q&lt;1，该项目环境风险潜势为Ⅰ，因此可开展简单分析。</w:t>
            </w:r>
          </w:p>
        </w:tc>
      </w:tr>
    </w:tbl>
    <w:p>
      <w:pPr>
        <w:ind w:firstLine="0" w:firstLineChars="0"/>
        <w:rPr>
          <w:color w:val="auto"/>
          <w:shd w:val="clear" w:color="auto" w:fill="auto"/>
        </w:rPr>
      </w:pPr>
    </w:p>
    <w:p>
      <w:pPr>
        <w:pStyle w:val="3"/>
        <w:spacing w:before="156" w:after="156"/>
        <w:rPr>
          <w:color w:val="auto"/>
          <w:shd w:val="clear" w:color="auto" w:fill="auto"/>
        </w:rPr>
      </w:pPr>
      <w:bookmarkStart w:id="388" w:name="_Toc12382_WPSOffice_Level1"/>
      <w:bookmarkStart w:id="389" w:name="_Toc18980"/>
      <w:bookmarkStart w:id="390" w:name="_Toc4359_WPSOffice_Level1"/>
      <w:r>
        <w:rPr>
          <w:rFonts w:hint="eastAsia"/>
          <w:color w:val="auto"/>
          <w:shd w:val="clear" w:color="auto" w:fill="auto"/>
        </w:rPr>
        <w:t>第</w:t>
      </w:r>
      <w:r>
        <w:rPr>
          <w:rFonts w:hint="eastAsia"/>
          <w:color w:val="auto"/>
          <w:shd w:val="clear" w:color="auto" w:fill="auto"/>
          <w:lang w:val="en-US" w:eastAsia="zh-CN"/>
        </w:rPr>
        <w:t>6</w:t>
      </w:r>
      <w:r>
        <w:rPr>
          <w:rFonts w:hint="eastAsia"/>
          <w:color w:val="auto"/>
          <w:shd w:val="clear" w:color="auto" w:fill="auto"/>
        </w:rPr>
        <w:t>章 环境保护措施及其技术经济论证</w:t>
      </w:r>
      <w:bookmarkEnd w:id="388"/>
      <w:bookmarkEnd w:id="389"/>
      <w:bookmarkEnd w:id="390"/>
    </w:p>
    <w:p>
      <w:pPr>
        <w:pStyle w:val="4"/>
        <w:spacing w:before="156" w:after="156"/>
        <w:rPr>
          <w:color w:val="auto"/>
          <w:shd w:val="clear" w:color="auto" w:fill="auto"/>
        </w:rPr>
      </w:pPr>
      <w:bookmarkStart w:id="391" w:name="_Toc18399_WPSOffice_Level2"/>
      <w:bookmarkStart w:id="392" w:name="_Toc26986"/>
      <w:bookmarkStart w:id="393" w:name="_Toc28141_WPSOffice_Level2"/>
      <w:r>
        <w:rPr>
          <w:rFonts w:hint="eastAsia"/>
          <w:color w:val="auto"/>
          <w:shd w:val="clear" w:color="auto" w:fill="auto"/>
          <w:lang w:val="en-US" w:eastAsia="zh-CN"/>
        </w:rPr>
        <w:t>6</w:t>
      </w:r>
      <w:r>
        <w:rPr>
          <w:rFonts w:hint="eastAsia"/>
          <w:color w:val="auto"/>
          <w:shd w:val="clear" w:color="auto" w:fill="auto"/>
        </w:rPr>
        <w:t>.1 施工期环境保护措施</w:t>
      </w:r>
      <w:bookmarkEnd w:id="391"/>
      <w:bookmarkEnd w:id="392"/>
      <w:bookmarkEnd w:id="393"/>
    </w:p>
    <w:p>
      <w:pPr>
        <w:pStyle w:val="5"/>
        <w:rPr>
          <w:color w:val="auto"/>
          <w:shd w:val="clear" w:color="auto" w:fill="auto"/>
        </w:rPr>
      </w:pPr>
      <w:r>
        <w:rPr>
          <w:rFonts w:hint="eastAsia"/>
          <w:color w:val="auto"/>
          <w:shd w:val="clear" w:color="auto" w:fill="auto"/>
          <w:lang w:val="en-US" w:eastAsia="zh-CN"/>
        </w:rPr>
        <w:t>6</w:t>
      </w:r>
      <w:r>
        <w:rPr>
          <w:rFonts w:hint="eastAsia"/>
          <w:color w:val="auto"/>
          <w:shd w:val="clear" w:color="auto" w:fill="auto"/>
        </w:rPr>
        <w:t>.1.1 施工期大气环境保护措施</w:t>
      </w:r>
    </w:p>
    <w:p>
      <w:pPr>
        <w:rPr>
          <w:rFonts w:hint="eastAsia"/>
          <w:color w:val="auto"/>
          <w:shd w:val="clear" w:color="auto" w:fill="auto"/>
        </w:rPr>
      </w:pPr>
      <w:r>
        <w:rPr>
          <w:rFonts w:hint="eastAsia"/>
          <w:color w:val="auto"/>
          <w:shd w:val="clear" w:color="auto" w:fill="auto"/>
          <w:lang w:val="en-US" w:eastAsia="zh-CN"/>
        </w:rPr>
        <w:t>本</w:t>
      </w:r>
      <w:r>
        <w:rPr>
          <w:rFonts w:hint="eastAsia"/>
          <w:color w:val="auto"/>
          <w:shd w:val="clear" w:color="auto" w:fill="auto"/>
        </w:rPr>
        <w:t>项目施工期的废气主要为</w:t>
      </w:r>
      <w:r>
        <w:rPr>
          <w:rFonts w:hint="eastAsia"/>
          <w:color w:val="auto"/>
          <w:shd w:val="clear" w:color="auto" w:fill="auto"/>
          <w:lang w:val="en-US" w:eastAsia="zh-CN"/>
        </w:rPr>
        <w:t>施工扬尘、施工车辆废气等</w:t>
      </w:r>
      <w:r>
        <w:rPr>
          <w:rFonts w:hint="eastAsia"/>
          <w:color w:val="auto"/>
          <w:shd w:val="clear" w:color="auto" w:fill="auto"/>
        </w:rPr>
        <w:t>。</w:t>
      </w:r>
    </w:p>
    <w:p>
      <w:pPr>
        <w:rPr>
          <w:rFonts w:hint="eastAsia"/>
          <w:color w:val="auto"/>
          <w:shd w:val="clear" w:color="auto" w:fill="auto"/>
        </w:rPr>
      </w:pPr>
      <w:r>
        <w:rPr>
          <w:rFonts w:hint="eastAsia"/>
          <w:color w:val="auto"/>
          <w:shd w:val="clear" w:color="auto" w:fill="auto"/>
        </w:rPr>
        <w:t>结合</w:t>
      </w:r>
      <w:r>
        <w:rPr>
          <w:rFonts w:hint="eastAsia"/>
          <w:color w:val="auto"/>
          <w:highlight w:val="none"/>
          <w:shd w:val="clear" w:color="auto" w:fill="auto"/>
        </w:rPr>
        <w:t>《安徽省人民政府关于印发安徽省大气污染防治行动计划实施方案的通知》</w:t>
      </w:r>
      <w:r>
        <w:rPr>
          <w:rFonts w:hint="eastAsia"/>
          <w:color w:val="auto"/>
          <w:highlight w:val="none"/>
          <w:shd w:val="clear" w:color="auto" w:fill="auto"/>
          <w:lang w:eastAsia="zh-CN"/>
        </w:rPr>
        <w:t>（</w:t>
      </w:r>
      <w:r>
        <w:rPr>
          <w:rFonts w:hint="eastAsia"/>
          <w:color w:val="auto"/>
          <w:highlight w:val="none"/>
          <w:shd w:val="clear" w:color="auto" w:fill="auto"/>
          <w:lang w:val="en-US" w:eastAsia="zh-CN"/>
        </w:rPr>
        <w:t>皖政[2013]89号文</w:t>
      </w:r>
      <w:r>
        <w:rPr>
          <w:rFonts w:hint="eastAsia"/>
          <w:color w:val="auto"/>
          <w:highlight w:val="none"/>
          <w:shd w:val="clear" w:color="auto" w:fill="auto"/>
          <w:lang w:eastAsia="zh-CN"/>
        </w:rPr>
        <w:t>）、</w:t>
      </w:r>
      <w:r>
        <w:rPr>
          <w:rFonts w:hint="eastAsia"/>
          <w:color w:val="auto"/>
          <w:highlight w:val="none"/>
          <w:shd w:val="clear" w:color="auto" w:fill="auto"/>
          <w:lang w:val="en-US" w:eastAsia="zh-CN"/>
        </w:rPr>
        <w:t>国务院2018年7月3日公开发布</w:t>
      </w:r>
      <w:r>
        <w:rPr>
          <w:rFonts w:hint="eastAsia" w:ascii="Times New Roman" w:hAnsi="Times New Roman"/>
          <w:color w:val="auto"/>
          <w:highlight w:val="none"/>
          <w:shd w:val="clear" w:color="auto" w:fill="auto"/>
          <w:lang w:val="en-US" w:eastAsia="zh-CN"/>
        </w:rPr>
        <w:t>的</w:t>
      </w:r>
      <w:r>
        <w:rPr>
          <w:rFonts w:hint="eastAsia" w:ascii="Times New Roman" w:hAnsi="Times New Roman"/>
          <w:color w:val="auto"/>
          <w:highlight w:val="none"/>
          <w:shd w:val="clear" w:color="auto" w:fill="auto"/>
        </w:rPr>
        <w:t>《打赢蓝天保卫战三年行动计划</w:t>
      </w:r>
      <w:r>
        <w:rPr>
          <w:rFonts w:hint="eastAsia" w:ascii="Times New Roman" w:hAnsi="Times New Roman" w:cs="Times New Roman"/>
          <w:color w:val="auto"/>
          <w:highlight w:val="none"/>
          <w:shd w:val="clear" w:color="auto" w:fill="auto"/>
          <w:lang w:val="en-US" w:eastAsia="zh-CN"/>
        </w:rPr>
        <w:t>》及</w:t>
      </w:r>
      <w:r>
        <w:rPr>
          <w:rFonts w:hint="eastAsia"/>
          <w:color w:val="auto"/>
          <w:shd w:val="clear" w:color="auto" w:fill="auto"/>
          <w:lang w:eastAsia="zh-CN"/>
        </w:rPr>
        <w:t>《阜阳市打赢蓝天保卫战三年行动计划实施方案》（</w:t>
      </w:r>
      <w:r>
        <w:rPr>
          <w:rFonts w:hint="eastAsia" w:ascii="Arial" w:hAnsi="Arial" w:cs="Arial"/>
          <w:i w:val="0"/>
          <w:caps w:val="0"/>
          <w:color w:val="auto"/>
          <w:spacing w:val="0"/>
          <w:sz w:val="24"/>
          <w:szCs w:val="24"/>
          <w:shd w:val="clear" w:color="auto" w:fill="auto"/>
          <w:lang w:eastAsia="zh-CN"/>
        </w:rPr>
        <w:t>阜政发〔2016〕8号</w:t>
      </w:r>
      <w:r>
        <w:rPr>
          <w:rFonts w:hint="eastAsia"/>
          <w:color w:val="auto"/>
          <w:shd w:val="clear" w:color="auto" w:fill="auto"/>
          <w:lang w:eastAsia="zh-CN"/>
        </w:rPr>
        <w:t>）</w:t>
      </w:r>
      <w:r>
        <w:rPr>
          <w:rFonts w:hint="eastAsia" w:ascii="Times New Roman" w:hAnsi="Times New Roman" w:cs="Times New Roman"/>
          <w:color w:val="auto"/>
          <w:highlight w:val="none"/>
          <w:shd w:val="clear" w:color="auto" w:fill="auto"/>
          <w:lang w:val="en-US" w:eastAsia="zh-CN"/>
        </w:rPr>
        <w:t>中的相关</w:t>
      </w:r>
      <w:r>
        <w:rPr>
          <w:rFonts w:hint="eastAsia"/>
          <w:color w:val="auto"/>
          <w:highlight w:val="none"/>
          <w:shd w:val="clear" w:color="auto" w:fill="auto"/>
        </w:rPr>
        <w:t>要求，</w:t>
      </w:r>
      <w:r>
        <w:rPr>
          <w:rFonts w:hint="eastAsia"/>
          <w:color w:val="auto"/>
          <w:shd w:val="clear" w:color="auto" w:fill="auto"/>
        </w:rPr>
        <w:t>本项目施工期大气污染防治措施具体如下：</w:t>
      </w:r>
    </w:p>
    <w:p>
      <w:pPr>
        <w:ind w:firstLine="480"/>
        <w:rPr>
          <w:color w:val="auto"/>
          <w:shd w:val="clear" w:color="auto" w:fill="auto"/>
        </w:rPr>
      </w:pPr>
      <w:r>
        <w:rPr>
          <w:rFonts w:hint="eastAsia"/>
          <w:color w:val="auto"/>
          <w:shd w:val="clear" w:color="auto" w:fill="auto"/>
        </w:rPr>
        <w:t>（1）</w:t>
      </w:r>
      <w:r>
        <w:rPr>
          <w:color w:val="auto"/>
          <w:shd w:val="clear" w:color="auto" w:fill="auto"/>
        </w:rPr>
        <w:t>施工前先修筑简易围屏，如用瓦楞板或聚丙烯布等在施工区四周建高2.5～3.0</w:t>
      </w:r>
      <w:r>
        <w:rPr>
          <w:rFonts w:hint="eastAsia"/>
          <w:color w:val="auto"/>
          <w:shd w:val="clear" w:color="auto" w:fill="auto"/>
          <w:lang w:eastAsia="zh-CN"/>
        </w:rPr>
        <w:t>m</w:t>
      </w:r>
      <w:r>
        <w:rPr>
          <w:color w:val="auto"/>
          <w:shd w:val="clear" w:color="auto" w:fill="auto"/>
        </w:rPr>
        <w:t>的围幛，减少扬尘的逸散。运输车辆必须经由“过水路段”冲洗干净后方能离场上路。进行现场搅拌砂浆、混凝土时，应尽量做到不洒、不漏、不剩、不倒。</w:t>
      </w:r>
    </w:p>
    <w:p>
      <w:pPr>
        <w:ind w:firstLine="480"/>
        <w:rPr>
          <w:color w:val="auto"/>
          <w:shd w:val="clear" w:color="auto" w:fill="auto"/>
        </w:rPr>
      </w:pPr>
      <w:r>
        <w:rPr>
          <w:rFonts w:hint="eastAsia"/>
          <w:color w:val="auto"/>
          <w:shd w:val="clear" w:color="auto" w:fill="auto"/>
        </w:rPr>
        <w:t>（2）</w:t>
      </w:r>
      <w:r>
        <w:rPr>
          <w:color w:val="auto"/>
          <w:shd w:val="clear" w:color="auto" w:fill="auto"/>
        </w:rPr>
        <w:t>建设过程中使用的大量建筑材料，在装卸、堆放、拌合过程中将会产生大量的粉尘外逸，施工单位必须加强施工区的规划管理。建筑材料(主要是砂子、石子)的堆场定点定位，置于较为空旷的位置，减少物料起尘对人群的影响。同时要采取相应的防尘抑尘措施，如在大风天气，对散料堆场采用加盖蓬布防尘。</w:t>
      </w:r>
    </w:p>
    <w:p>
      <w:pPr>
        <w:ind w:firstLine="480"/>
        <w:rPr>
          <w:color w:val="auto"/>
          <w:shd w:val="clear" w:color="auto" w:fill="auto"/>
        </w:rPr>
      </w:pPr>
      <w:r>
        <w:rPr>
          <w:rFonts w:hint="eastAsia"/>
          <w:color w:val="auto"/>
          <w:shd w:val="clear" w:color="auto" w:fill="auto"/>
        </w:rPr>
        <w:t>（3）</w:t>
      </w:r>
      <w:r>
        <w:rPr>
          <w:color w:val="auto"/>
          <w:shd w:val="clear" w:color="auto" w:fill="auto"/>
        </w:rPr>
        <w:t>施工车辆运输砂土、水泥、碎石等易起尘的物料要加盖蓬布、控制车速，防止物料洒落和产生扬尘；卸车时应尽量减小落差，减少扬尘；进出施工现场车辆将导致地面扬尘，对陆域施工现场及运输道路应定期清扫洒水，保持车辆出入口路面清洁、润湿，以减少施工车辆引起的地面扬尘污染，并尽量要求运输车辆减缓行车速度。施工现场还应铺设临时的施工便道，铺设碎石或细沙，并尽量进行夯实硬化处理，以减少运输车辆轮胎带泥上路和造成二次扬尘。</w:t>
      </w:r>
    </w:p>
    <w:p>
      <w:pPr>
        <w:ind w:firstLine="480"/>
        <w:rPr>
          <w:color w:val="auto"/>
          <w:shd w:val="clear" w:color="auto" w:fill="auto"/>
        </w:rPr>
      </w:pPr>
      <w:r>
        <w:rPr>
          <w:color w:val="auto"/>
          <w:shd w:val="clear" w:color="auto" w:fill="auto"/>
        </w:rPr>
        <w:t>运土卡车及建筑材料运输车应按规定配置防洒装备，装载不宜过满，保证运输过程中不散落；并规划好运输车辆的运行路线与时间，尽量避免在繁华区、交通集中区和居民住宅等敏感区行驶；对环境要求高的路段，应根据实际情况选择在夜间运输，以减少粉尘对环境的影响。</w:t>
      </w:r>
    </w:p>
    <w:p>
      <w:pPr>
        <w:ind w:firstLine="480"/>
        <w:rPr>
          <w:color w:val="auto"/>
          <w:shd w:val="clear" w:color="auto" w:fill="auto"/>
        </w:rPr>
      </w:pPr>
      <w:r>
        <w:rPr>
          <w:rFonts w:hint="eastAsia"/>
          <w:color w:val="auto"/>
          <w:shd w:val="clear" w:color="auto" w:fill="auto"/>
        </w:rPr>
        <w:t>（4）</w:t>
      </w:r>
      <w:r>
        <w:rPr>
          <w:color w:val="auto"/>
          <w:shd w:val="clear" w:color="auto" w:fill="auto"/>
        </w:rPr>
        <w:t>加强对施工机械、车辆的维修保养，禁止以柴油为燃料的施工机械超负荷工作，减少尾气排放。加强加强路面维护及施工运输车辆的运输管理，尽可能防止运输的物料洒路，运输车辆加蓬盖、装卸场地在装卸前将先冲洗干净，减少车轮、底盘等携带泥土散落路面。</w:t>
      </w:r>
    </w:p>
    <w:p>
      <w:pPr>
        <w:ind w:firstLine="480"/>
        <w:rPr>
          <w:color w:val="auto"/>
          <w:shd w:val="clear" w:color="auto" w:fill="auto"/>
        </w:rPr>
      </w:pPr>
      <w:r>
        <w:rPr>
          <w:rFonts w:hint="eastAsia"/>
          <w:color w:val="auto"/>
          <w:shd w:val="clear" w:color="auto" w:fill="auto"/>
        </w:rPr>
        <w:t>（5）</w:t>
      </w:r>
      <w:r>
        <w:rPr>
          <w:color w:val="auto"/>
          <w:shd w:val="clear" w:color="auto" w:fill="auto"/>
        </w:rPr>
        <w:t>对港区道路、码头面及时清扫并洒水，防止货物转运过程中的二次起尘。对运输过程中洒落在路面上的泥土要及时清扫，以减少运行过程中的扬尘，并通过定时洒水等措施来抑尘。</w:t>
      </w:r>
    </w:p>
    <w:p>
      <w:pPr>
        <w:ind w:firstLine="480"/>
        <w:rPr>
          <w:color w:val="auto"/>
          <w:shd w:val="clear" w:color="auto" w:fill="auto"/>
        </w:rPr>
      </w:pPr>
      <w:r>
        <w:rPr>
          <w:rFonts w:hint="eastAsia"/>
          <w:color w:val="auto"/>
          <w:shd w:val="clear" w:color="auto" w:fill="auto"/>
        </w:rPr>
        <w:t>（6）</w:t>
      </w:r>
      <w:r>
        <w:rPr>
          <w:color w:val="auto"/>
          <w:shd w:val="clear" w:color="auto" w:fill="auto"/>
        </w:rPr>
        <w:t>疏导好场内交通，减少机械、车辆的怠速行驶时间，以减少污染物的排放。同时使用合格的燃料油。施工过程中，各类建筑垃圾应及时清理，严禁将废弃的建筑材料作为燃料燃烧。工地食堂应使用液化石油气或电炊具，不能使用燃油炊具。</w:t>
      </w:r>
    </w:p>
    <w:p>
      <w:pPr>
        <w:pStyle w:val="5"/>
        <w:rPr>
          <w:color w:val="auto"/>
          <w:shd w:val="clear" w:color="auto" w:fill="auto"/>
        </w:rPr>
      </w:pPr>
      <w:r>
        <w:rPr>
          <w:rFonts w:hint="eastAsia"/>
          <w:color w:val="auto"/>
          <w:shd w:val="clear" w:color="auto" w:fill="auto"/>
          <w:lang w:val="en-US" w:eastAsia="zh-CN"/>
        </w:rPr>
        <w:t>6</w:t>
      </w:r>
      <w:r>
        <w:rPr>
          <w:rFonts w:hint="eastAsia"/>
          <w:color w:val="auto"/>
          <w:shd w:val="clear" w:color="auto" w:fill="auto"/>
        </w:rPr>
        <w:t>.1.2 施工期地表水环境保护措施</w:t>
      </w:r>
    </w:p>
    <w:p>
      <w:pPr>
        <w:pStyle w:val="13"/>
        <w:spacing w:line="360" w:lineRule="auto"/>
        <w:ind w:firstLine="480" w:firstLineChars="200"/>
        <w:rPr>
          <w:bCs/>
          <w:color w:val="auto"/>
          <w:shd w:val="clear" w:color="auto" w:fill="auto"/>
        </w:rPr>
      </w:pPr>
      <w:r>
        <w:rPr>
          <w:bCs/>
          <w:color w:val="auto"/>
          <w:shd w:val="clear" w:color="auto" w:fill="auto"/>
        </w:rPr>
        <w:t>（1）</w:t>
      </w:r>
      <w:r>
        <w:rPr>
          <w:color w:val="auto"/>
          <w:kern w:val="0"/>
          <w:shd w:val="clear" w:color="auto" w:fill="auto"/>
        </w:rPr>
        <w:t>码头挖掘、打桩等工程施工将造成码头前沿局部水域范围内SS浓度增高，</w:t>
      </w:r>
      <w:r>
        <w:rPr>
          <w:bCs/>
          <w:color w:val="auto"/>
          <w:shd w:val="clear" w:color="auto" w:fill="auto"/>
        </w:rPr>
        <w:t>污染水体，施工时应将水下施工</w:t>
      </w:r>
      <w:r>
        <w:rPr>
          <w:rFonts w:hint="eastAsia"/>
          <w:bCs/>
          <w:color w:val="auto"/>
          <w:shd w:val="clear" w:color="auto" w:fill="auto"/>
          <w:lang w:eastAsia="zh-CN"/>
        </w:rPr>
        <w:t>范围用围堰或围帘</w:t>
      </w:r>
      <w:r>
        <w:rPr>
          <w:bCs/>
          <w:color w:val="auto"/>
          <w:shd w:val="clear" w:color="auto" w:fill="auto"/>
        </w:rPr>
        <w:t>围住，减少扰动范围，</w:t>
      </w:r>
      <w:r>
        <w:rPr>
          <w:color w:val="auto"/>
          <w:kern w:val="0"/>
          <w:shd w:val="clear" w:color="auto" w:fill="auto"/>
        </w:rPr>
        <w:t>但影响</w:t>
      </w:r>
      <w:r>
        <w:rPr>
          <w:bCs/>
          <w:color w:val="auto"/>
          <w:shd w:val="clear" w:color="auto" w:fill="auto"/>
        </w:rPr>
        <w:t>是暂时的、有限的，随着施工期的结束，这种影响也随之结束。</w:t>
      </w:r>
    </w:p>
    <w:p>
      <w:pPr>
        <w:pStyle w:val="13"/>
        <w:spacing w:line="360" w:lineRule="auto"/>
        <w:ind w:firstLine="480" w:firstLineChars="200"/>
        <w:rPr>
          <w:rFonts w:ascii="Times New Roman" w:hAnsi="Times New Roman" w:eastAsia="宋体" w:cs="Times New Roman"/>
          <w:color w:val="auto"/>
          <w:kern w:val="0"/>
          <w:sz w:val="24"/>
          <w:szCs w:val="24"/>
          <w:shd w:val="clear" w:color="auto" w:fill="auto"/>
          <w:lang w:val="en-US" w:eastAsia="zh-CN" w:bidi="ar-SA"/>
        </w:rPr>
      </w:pPr>
      <w:r>
        <w:rPr>
          <w:rFonts w:hint="eastAsia"/>
          <w:bCs/>
          <w:color w:val="auto"/>
          <w:shd w:val="clear" w:color="auto" w:fill="auto"/>
          <w:lang w:val="en-US" w:eastAsia="zh-CN"/>
        </w:rPr>
        <w:t>（2）</w:t>
      </w:r>
      <w:r>
        <w:rPr>
          <w:bCs/>
          <w:color w:val="auto"/>
          <w:shd w:val="clear" w:color="auto" w:fill="auto"/>
          <w:lang w:val="en-US" w:eastAsia="zh-CN"/>
        </w:rPr>
        <w:t>施工队伍的生活营地</w:t>
      </w:r>
      <w:r>
        <w:rPr>
          <w:rFonts w:hint="eastAsia"/>
          <w:bCs/>
          <w:color w:val="auto"/>
          <w:shd w:val="clear" w:color="auto" w:fill="auto"/>
          <w:lang w:val="en-US" w:eastAsia="zh-CN"/>
        </w:rPr>
        <w:t>可</w:t>
      </w:r>
      <w:r>
        <w:rPr>
          <w:bCs/>
          <w:color w:val="auto"/>
          <w:shd w:val="clear" w:color="auto" w:fill="auto"/>
          <w:lang w:val="en-US" w:eastAsia="zh-CN"/>
        </w:rPr>
        <w:t>建设临时</w:t>
      </w:r>
      <w:r>
        <w:rPr>
          <w:rFonts w:hint="eastAsia"/>
          <w:bCs/>
          <w:color w:val="auto"/>
          <w:shd w:val="clear" w:color="auto" w:fill="auto"/>
          <w:lang w:val="en-US" w:eastAsia="zh-CN"/>
        </w:rPr>
        <w:t>旱厕</w:t>
      </w:r>
      <w:r>
        <w:rPr>
          <w:bCs/>
          <w:color w:val="auto"/>
          <w:shd w:val="clear" w:color="auto" w:fill="auto"/>
          <w:lang w:val="en-US" w:eastAsia="zh-CN"/>
        </w:rPr>
        <w:t>与</w:t>
      </w:r>
      <w:r>
        <w:rPr>
          <w:rFonts w:hint="eastAsia"/>
          <w:bCs/>
          <w:color w:val="auto"/>
          <w:shd w:val="clear" w:color="auto" w:fill="auto"/>
          <w:lang w:val="en-US" w:eastAsia="zh-CN"/>
        </w:rPr>
        <w:t>临时化粪池</w:t>
      </w:r>
      <w:r>
        <w:rPr>
          <w:bCs/>
          <w:color w:val="auto"/>
          <w:shd w:val="clear" w:color="auto" w:fill="auto"/>
          <w:lang w:val="en-US" w:eastAsia="zh-CN"/>
        </w:rPr>
        <w:t>，</w:t>
      </w:r>
      <w:r>
        <w:rPr>
          <w:rFonts w:hint="eastAsia"/>
          <w:bCs/>
          <w:color w:val="auto"/>
          <w:shd w:val="clear" w:color="auto" w:fill="auto"/>
          <w:lang w:val="en-US" w:eastAsia="zh-CN"/>
        </w:rPr>
        <w:t>化粪池</w:t>
      </w:r>
      <w:r>
        <w:rPr>
          <w:rFonts w:hint="eastAsia"/>
          <w:bCs/>
          <w:color w:val="auto"/>
          <w:shd w:val="clear" w:color="auto" w:fill="auto"/>
        </w:rPr>
        <w:t>预处理后</w:t>
      </w:r>
      <w:r>
        <w:rPr>
          <w:rFonts w:hint="eastAsia"/>
          <w:bCs/>
          <w:color w:val="auto"/>
          <w:shd w:val="clear" w:color="auto" w:fill="auto"/>
          <w:lang w:val="en-US" w:eastAsia="zh-CN"/>
        </w:rPr>
        <w:t>定期由清掏车外运至相关接收处理单位。</w:t>
      </w:r>
    </w:p>
    <w:p>
      <w:pPr>
        <w:pStyle w:val="14"/>
        <w:spacing w:line="360" w:lineRule="auto"/>
        <w:ind w:firstLine="480" w:firstLineChars="200"/>
        <w:rPr>
          <w:rFonts w:ascii="Times New Roman" w:hAnsi="Times New Roman"/>
          <w:bCs/>
          <w:color w:val="auto"/>
          <w:sz w:val="24"/>
          <w:szCs w:val="24"/>
          <w:shd w:val="clear" w:color="auto" w:fill="auto"/>
        </w:rPr>
      </w:pPr>
      <w:r>
        <w:rPr>
          <w:rFonts w:hint="eastAsia" w:ascii="Times New Roman" w:hAnsi="宋体"/>
          <w:bCs/>
          <w:color w:val="auto"/>
          <w:sz w:val="24"/>
          <w:szCs w:val="24"/>
          <w:shd w:val="clear" w:color="auto" w:fill="auto"/>
        </w:rPr>
        <w:t>（3）</w:t>
      </w:r>
      <w:r>
        <w:rPr>
          <w:rFonts w:ascii="Times New Roman" w:hAnsi="Times New Roman"/>
          <w:bCs/>
          <w:color w:val="auto"/>
          <w:sz w:val="24"/>
          <w:szCs w:val="24"/>
          <w:shd w:val="clear" w:color="auto" w:fill="auto"/>
        </w:rPr>
        <w:t>施工期的生产废水</w:t>
      </w:r>
      <w:r>
        <w:rPr>
          <w:rFonts w:hint="eastAsia" w:ascii="Times New Roman" w:hAnsi="Times New Roman"/>
          <w:bCs/>
          <w:color w:val="auto"/>
          <w:sz w:val="24"/>
          <w:szCs w:val="24"/>
          <w:shd w:val="clear" w:color="auto" w:fill="auto"/>
          <w:lang w:eastAsia="zh-CN"/>
        </w:rPr>
        <w:t>、</w:t>
      </w:r>
      <w:r>
        <w:rPr>
          <w:rFonts w:hint="eastAsia" w:ascii="Times New Roman" w:hAnsi="Times New Roman"/>
          <w:bCs/>
          <w:color w:val="auto"/>
          <w:sz w:val="24"/>
          <w:szCs w:val="24"/>
          <w:shd w:val="clear" w:color="auto" w:fill="auto"/>
          <w:lang w:val="en-US" w:eastAsia="zh-CN"/>
        </w:rPr>
        <w:t>淋溶水等</w:t>
      </w:r>
      <w:r>
        <w:rPr>
          <w:rFonts w:ascii="Times New Roman" w:hAnsi="Times New Roman"/>
          <w:bCs/>
          <w:color w:val="auto"/>
          <w:sz w:val="24"/>
          <w:szCs w:val="24"/>
          <w:shd w:val="clear" w:color="auto" w:fill="auto"/>
        </w:rPr>
        <w:t>经沉淀处理后回用；喷淋渗出水、清洗水和雨水等主要含有泥沙，没有其它污染物，经沉淀后水质较好，对地表水体影响较小。</w:t>
      </w:r>
    </w:p>
    <w:p>
      <w:pPr>
        <w:pStyle w:val="14"/>
        <w:spacing w:line="360" w:lineRule="auto"/>
        <w:ind w:firstLine="480" w:firstLineChars="200"/>
        <w:rPr>
          <w:rFonts w:hint="eastAsia" w:ascii="Times New Roman" w:hAnsi="Times New Roman"/>
          <w:bCs/>
          <w:color w:val="auto"/>
          <w:sz w:val="24"/>
          <w:szCs w:val="24"/>
          <w:shd w:val="clear" w:color="auto" w:fill="auto"/>
        </w:rPr>
      </w:pPr>
      <w:r>
        <w:rPr>
          <w:rFonts w:hint="eastAsia" w:ascii="Times New Roman" w:hAnsi="Times New Roman"/>
          <w:bCs/>
          <w:color w:val="auto"/>
          <w:sz w:val="24"/>
          <w:szCs w:val="24"/>
          <w:shd w:val="clear" w:color="auto" w:fill="auto"/>
        </w:rPr>
        <w:t>（</w:t>
      </w:r>
      <w:r>
        <w:rPr>
          <w:rFonts w:hint="eastAsia" w:ascii="Times New Roman" w:hAnsi="Times New Roman"/>
          <w:bCs/>
          <w:color w:val="auto"/>
          <w:sz w:val="24"/>
          <w:szCs w:val="24"/>
          <w:shd w:val="clear" w:color="auto" w:fill="auto"/>
          <w:lang w:val="en-US" w:eastAsia="zh-CN"/>
        </w:rPr>
        <w:t>4</w:t>
      </w:r>
      <w:r>
        <w:rPr>
          <w:rFonts w:hint="eastAsia" w:ascii="Times New Roman" w:hAnsi="Times New Roman"/>
          <w:bCs/>
          <w:color w:val="auto"/>
          <w:sz w:val="24"/>
          <w:szCs w:val="24"/>
          <w:shd w:val="clear" w:color="auto" w:fill="auto"/>
        </w:rPr>
        <w:t>）冲洗废水处理</w:t>
      </w:r>
    </w:p>
    <w:p>
      <w:pPr>
        <w:pStyle w:val="14"/>
        <w:spacing w:line="360" w:lineRule="auto"/>
        <w:ind w:firstLine="480" w:firstLineChars="200"/>
        <w:rPr>
          <w:rFonts w:hint="eastAsia" w:ascii="Times New Roman" w:hAnsi="Times New Roman"/>
          <w:bCs/>
          <w:color w:val="auto"/>
          <w:sz w:val="24"/>
          <w:szCs w:val="24"/>
          <w:shd w:val="clear" w:color="auto" w:fill="auto"/>
        </w:rPr>
      </w:pPr>
      <w:r>
        <w:rPr>
          <w:rFonts w:hint="eastAsia" w:ascii="Times New Roman" w:hAnsi="Times New Roman"/>
          <w:bCs/>
          <w:color w:val="auto"/>
          <w:sz w:val="24"/>
          <w:szCs w:val="24"/>
          <w:shd w:val="clear" w:color="auto" w:fill="auto"/>
        </w:rPr>
        <w:t>为防止地表水污染，建议在作业区施工现场设置临时废水沉淀池一座，收集施工中产生的冲洗废水，冲洗废水经沉淀池收集后，可作为施工用水的一部分重复使用。在施工过程中加强对施工人员的环境意识教育，避免废水随意排放。</w:t>
      </w:r>
    </w:p>
    <w:p>
      <w:pPr>
        <w:pStyle w:val="14"/>
        <w:spacing w:line="360" w:lineRule="auto"/>
        <w:ind w:firstLine="480" w:firstLineChars="200"/>
        <w:rPr>
          <w:rFonts w:hint="eastAsia" w:ascii="Times New Roman" w:hAnsi="Times New Roman"/>
          <w:bCs/>
          <w:color w:val="auto"/>
          <w:sz w:val="24"/>
          <w:szCs w:val="24"/>
          <w:shd w:val="clear" w:color="auto" w:fill="auto"/>
        </w:rPr>
      </w:pPr>
      <w:r>
        <w:rPr>
          <w:rFonts w:hint="eastAsia" w:ascii="Times New Roman" w:hAnsi="Times New Roman"/>
          <w:bCs/>
          <w:color w:val="auto"/>
          <w:sz w:val="24"/>
          <w:szCs w:val="24"/>
          <w:shd w:val="clear" w:color="auto" w:fill="auto"/>
        </w:rPr>
        <w:t>（</w:t>
      </w:r>
      <w:r>
        <w:rPr>
          <w:rFonts w:hint="eastAsia" w:ascii="Times New Roman" w:hAnsi="Times New Roman"/>
          <w:bCs/>
          <w:color w:val="auto"/>
          <w:sz w:val="24"/>
          <w:szCs w:val="24"/>
          <w:shd w:val="clear" w:color="auto" w:fill="auto"/>
          <w:lang w:val="en-US" w:eastAsia="zh-CN"/>
        </w:rPr>
        <w:t>5</w:t>
      </w:r>
      <w:r>
        <w:rPr>
          <w:rFonts w:hint="eastAsia" w:ascii="Times New Roman" w:hAnsi="Times New Roman"/>
          <w:bCs/>
          <w:color w:val="auto"/>
          <w:sz w:val="24"/>
          <w:szCs w:val="24"/>
          <w:shd w:val="clear" w:color="auto" w:fill="auto"/>
        </w:rPr>
        <w:t>）</w:t>
      </w:r>
      <w:r>
        <w:rPr>
          <w:rFonts w:hint="eastAsia" w:ascii="Times New Roman" w:hAnsi="Times New Roman"/>
          <w:bCs/>
          <w:color w:val="auto"/>
          <w:sz w:val="24"/>
          <w:szCs w:val="24"/>
          <w:shd w:val="clear" w:color="auto" w:fill="auto"/>
          <w:lang w:eastAsia="zh-CN"/>
        </w:rPr>
        <w:t>抛泥区</w:t>
      </w:r>
      <w:r>
        <w:rPr>
          <w:rFonts w:hint="eastAsia" w:ascii="Times New Roman" w:hAnsi="Times New Roman"/>
          <w:bCs/>
          <w:color w:val="auto"/>
          <w:sz w:val="24"/>
          <w:szCs w:val="24"/>
          <w:shd w:val="clear" w:color="auto" w:fill="auto"/>
        </w:rPr>
        <w:t>产生的余水</w:t>
      </w:r>
    </w:p>
    <w:p>
      <w:pPr>
        <w:pStyle w:val="14"/>
        <w:spacing w:line="360" w:lineRule="auto"/>
        <w:ind w:firstLine="480" w:firstLineChars="200"/>
        <w:rPr>
          <w:rFonts w:hint="eastAsia" w:ascii="Times New Roman" w:hAnsi="Times New Roman"/>
          <w:bCs/>
          <w:color w:val="auto"/>
          <w:sz w:val="24"/>
          <w:szCs w:val="24"/>
          <w:shd w:val="clear" w:color="auto" w:fill="auto"/>
        </w:rPr>
      </w:pPr>
      <w:r>
        <w:rPr>
          <w:rFonts w:hint="eastAsia" w:ascii="Times New Roman" w:hAnsi="Times New Roman"/>
          <w:bCs/>
          <w:color w:val="auto"/>
          <w:sz w:val="24"/>
          <w:szCs w:val="24"/>
          <w:shd w:val="clear" w:color="auto" w:fill="auto"/>
        </w:rPr>
        <w:t>为防止</w:t>
      </w:r>
      <w:r>
        <w:rPr>
          <w:rFonts w:hint="eastAsia" w:ascii="Times New Roman" w:hAnsi="Times New Roman"/>
          <w:bCs/>
          <w:color w:val="auto"/>
          <w:sz w:val="24"/>
          <w:szCs w:val="24"/>
          <w:shd w:val="clear" w:color="auto" w:fill="auto"/>
          <w:lang w:eastAsia="zh-CN"/>
        </w:rPr>
        <w:t>抛泥区</w:t>
      </w:r>
      <w:r>
        <w:rPr>
          <w:rFonts w:hint="eastAsia" w:ascii="Times New Roman" w:hAnsi="Times New Roman"/>
          <w:bCs/>
          <w:color w:val="auto"/>
          <w:sz w:val="24"/>
          <w:szCs w:val="24"/>
          <w:shd w:val="clear" w:color="auto" w:fill="auto"/>
        </w:rPr>
        <w:t>余水污染地表水，</w:t>
      </w:r>
      <w:r>
        <w:rPr>
          <w:rFonts w:hint="eastAsia" w:ascii="Times New Roman" w:hAnsi="Times New Roman"/>
          <w:bCs/>
          <w:color w:val="auto"/>
          <w:sz w:val="24"/>
          <w:szCs w:val="24"/>
          <w:shd w:val="clear" w:color="auto" w:fill="auto"/>
          <w:lang w:eastAsia="zh-CN"/>
        </w:rPr>
        <w:t>抛泥区</w:t>
      </w:r>
      <w:r>
        <w:rPr>
          <w:rFonts w:hint="eastAsia" w:ascii="Times New Roman" w:hAnsi="Times New Roman"/>
          <w:bCs/>
          <w:color w:val="auto"/>
          <w:sz w:val="24"/>
          <w:szCs w:val="24"/>
          <w:shd w:val="clear" w:color="auto" w:fill="auto"/>
        </w:rPr>
        <w:t>余水应经沉淀池沉淀后排放，如余水中的SS 值超标时，可在泥浆进入围堰处适当投加絮凝剂促沉，以控制余水水质。</w:t>
      </w:r>
    </w:p>
    <w:p>
      <w:pPr>
        <w:pStyle w:val="14"/>
        <w:spacing w:line="360" w:lineRule="auto"/>
        <w:ind w:firstLine="480" w:firstLineChars="200"/>
        <w:rPr>
          <w:rFonts w:hint="eastAsia" w:ascii="Times New Roman" w:hAnsi="Times New Roman" w:eastAsia="宋体"/>
          <w:bCs/>
          <w:color w:val="auto"/>
          <w:sz w:val="24"/>
          <w:szCs w:val="24"/>
          <w:shd w:val="clear" w:color="auto" w:fill="auto"/>
          <w:lang w:eastAsia="zh-CN"/>
        </w:rPr>
      </w:pPr>
      <w:r>
        <w:rPr>
          <w:rFonts w:hint="eastAsia" w:ascii="Times New Roman" w:hAnsi="Times New Roman"/>
          <w:bCs/>
          <w:color w:val="auto"/>
          <w:sz w:val="24"/>
          <w:szCs w:val="24"/>
          <w:shd w:val="clear" w:color="auto" w:fill="auto"/>
          <w:lang w:eastAsia="zh-CN"/>
        </w:rPr>
        <w:t>（</w:t>
      </w:r>
      <w:r>
        <w:rPr>
          <w:rFonts w:hint="eastAsia" w:ascii="Times New Roman" w:hAnsi="Times New Roman"/>
          <w:bCs/>
          <w:color w:val="auto"/>
          <w:sz w:val="24"/>
          <w:szCs w:val="24"/>
          <w:shd w:val="clear" w:color="auto" w:fill="auto"/>
          <w:lang w:val="en-US" w:eastAsia="zh-CN"/>
        </w:rPr>
        <w:t>6</w:t>
      </w:r>
      <w:r>
        <w:rPr>
          <w:rFonts w:hint="eastAsia" w:ascii="Times New Roman" w:hAnsi="Times New Roman"/>
          <w:bCs/>
          <w:color w:val="auto"/>
          <w:sz w:val="24"/>
          <w:szCs w:val="24"/>
          <w:shd w:val="clear" w:color="auto" w:fill="auto"/>
          <w:lang w:eastAsia="zh-CN"/>
        </w:rPr>
        <w:t>）</w:t>
      </w:r>
      <w:r>
        <w:rPr>
          <w:rFonts w:hint="eastAsia" w:ascii="Times New Roman" w:hAnsi="Times New Roman"/>
          <w:bCs/>
          <w:color w:val="auto"/>
          <w:sz w:val="24"/>
          <w:szCs w:val="24"/>
          <w:shd w:val="clear" w:color="auto" w:fill="auto"/>
        </w:rPr>
        <w:t>严格管理施工船舶和施工机械。码头水域不得排放船舶生产废水及生活污水，确需排放的，经自备的油水分离器进行隔油处理后交由海事部门认可的有资质单位接收处理。</w:t>
      </w:r>
    </w:p>
    <w:p>
      <w:pPr>
        <w:pStyle w:val="5"/>
        <w:rPr>
          <w:color w:val="auto"/>
          <w:shd w:val="clear" w:color="auto" w:fill="auto"/>
        </w:rPr>
      </w:pPr>
      <w:r>
        <w:rPr>
          <w:rFonts w:hint="eastAsia"/>
          <w:color w:val="auto"/>
          <w:shd w:val="clear" w:color="auto" w:fill="auto"/>
          <w:lang w:val="en-US" w:eastAsia="zh-CN"/>
        </w:rPr>
        <w:t>6</w:t>
      </w:r>
      <w:r>
        <w:rPr>
          <w:rFonts w:hint="eastAsia"/>
          <w:color w:val="auto"/>
          <w:shd w:val="clear" w:color="auto" w:fill="auto"/>
        </w:rPr>
        <w:t>.1.3 施工期声环境污染防治措施</w:t>
      </w:r>
    </w:p>
    <w:p>
      <w:pPr>
        <w:ind w:firstLine="480"/>
        <w:jc w:val="left"/>
        <w:rPr>
          <w:rFonts w:cs="Times New Roman"/>
          <w:color w:val="auto"/>
          <w:kern w:val="0"/>
          <w:shd w:val="clear" w:color="auto" w:fill="auto"/>
        </w:rPr>
      </w:pPr>
      <w:r>
        <w:rPr>
          <w:rFonts w:cs="Times New Roman"/>
          <w:color w:val="auto"/>
          <w:kern w:val="0"/>
          <w:shd w:val="clear" w:color="auto" w:fill="auto"/>
        </w:rPr>
        <w:t>在作业区施工过程中，施工噪声污染问题是不可避免的，可采取以下措施尽量减轻施工噪声对周边声环境的影响。</w:t>
      </w:r>
    </w:p>
    <w:p>
      <w:pPr>
        <w:ind w:firstLine="480"/>
        <w:jc w:val="left"/>
        <w:rPr>
          <w:rFonts w:cs="Times New Roman"/>
          <w:color w:val="auto"/>
          <w:kern w:val="0"/>
          <w:shd w:val="clear" w:color="auto" w:fill="auto"/>
        </w:rPr>
      </w:pPr>
      <w:r>
        <w:rPr>
          <w:rFonts w:cs="Times New Roman"/>
          <w:color w:val="auto"/>
          <w:kern w:val="0"/>
          <w:shd w:val="clear" w:color="auto" w:fill="auto"/>
        </w:rPr>
        <w:t>（1）在施工过程中，施工单位应严格执行《建筑施工场界环境噪声排放标准》（GB12523—2011）的有关规定，避免施工扰民事件的发生，同时在施工过程中施工单位应设专人对设备进行定期保养和维护，并负责对现场工作人员进行培训，严格按操作规范使用各类机械。</w:t>
      </w:r>
    </w:p>
    <w:p>
      <w:pPr>
        <w:ind w:firstLine="480"/>
        <w:jc w:val="left"/>
        <w:rPr>
          <w:rFonts w:cs="Times New Roman"/>
          <w:color w:val="auto"/>
          <w:kern w:val="0"/>
          <w:shd w:val="clear" w:color="auto" w:fill="auto"/>
        </w:rPr>
      </w:pPr>
      <w:r>
        <w:rPr>
          <w:rFonts w:cs="Times New Roman"/>
          <w:color w:val="auto"/>
          <w:kern w:val="0"/>
          <w:shd w:val="clear" w:color="auto" w:fill="auto"/>
        </w:rPr>
        <w:t>（2）施工机械产生的噪声往往具有突发、无规则、不连续和高强度等特点，施工单位应采取合理安排施工机械操作时间的方法加以缓解，并减少同时作业的高噪施工机械数量，尽可能减轻声源叠加影响。</w:t>
      </w:r>
    </w:p>
    <w:p>
      <w:pPr>
        <w:ind w:firstLine="480"/>
        <w:jc w:val="left"/>
        <w:rPr>
          <w:rFonts w:cs="Times New Roman"/>
          <w:color w:val="auto"/>
          <w:kern w:val="0"/>
          <w:shd w:val="clear" w:color="auto" w:fill="auto"/>
        </w:rPr>
      </w:pPr>
      <w:r>
        <w:rPr>
          <w:rFonts w:cs="Times New Roman"/>
          <w:color w:val="auto"/>
          <w:kern w:val="0"/>
          <w:shd w:val="clear" w:color="auto" w:fill="auto"/>
        </w:rPr>
        <w:t>（3）对于施工期间的材料运输、敲击等噪声源，要求施工单位文明施工、加强有效管理以缓解其影响。</w:t>
      </w:r>
    </w:p>
    <w:p>
      <w:pPr>
        <w:ind w:firstLine="480"/>
        <w:jc w:val="left"/>
        <w:rPr>
          <w:rFonts w:cs="Times New Roman"/>
          <w:color w:val="auto"/>
          <w:kern w:val="0"/>
          <w:shd w:val="clear" w:color="auto" w:fill="auto"/>
        </w:rPr>
      </w:pPr>
      <w:r>
        <w:rPr>
          <w:rFonts w:cs="Times New Roman"/>
          <w:color w:val="auto"/>
          <w:kern w:val="0"/>
          <w:shd w:val="clear" w:color="auto" w:fill="auto"/>
        </w:rPr>
        <w:t>（4）对于电锯等高噪声设备应采取安装消声器、隔声罩等降噪措施，应尽量选择低噪声施工方式和设备，尽量避开夜间和中午施工时段，如必须进行夜间施工，应禁止高噪声作业行为。</w:t>
      </w:r>
    </w:p>
    <w:p>
      <w:pPr>
        <w:ind w:firstLine="480"/>
        <w:jc w:val="left"/>
        <w:rPr>
          <w:color w:val="auto"/>
          <w:shd w:val="clear" w:color="auto" w:fill="auto"/>
        </w:rPr>
      </w:pPr>
      <w:r>
        <w:rPr>
          <w:rFonts w:hint="eastAsia" w:cs="Times New Roman"/>
          <w:color w:val="auto"/>
          <w:kern w:val="0"/>
          <w:shd w:val="clear" w:color="auto" w:fill="auto"/>
        </w:rPr>
        <w:t>（5）</w:t>
      </w:r>
      <w:r>
        <w:rPr>
          <w:snapToGrid w:val="0"/>
          <w:color w:val="auto"/>
          <w:kern w:val="0"/>
          <w:shd w:val="clear" w:color="auto" w:fill="auto"/>
        </w:rPr>
        <w:t>合理安排高噪声施工作业的时间，施工时在夜间（22</w:t>
      </w:r>
      <w:r>
        <w:rPr>
          <w:rFonts w:hint="eastAsia" w:ascii="宋体" w:hAnsi="宋体" w:cs="宋体"/>
          <w:snapToGrid w:val="0"/>
          <w:color w:val="auto"/>
          <w:kern w:val="0"/>
          <w:shd w:val="clear" w:color="auto" w:fill="auto"/>
        </w:rPr>
        <w:t>∶</w:t>
      </w:r>
      <w:r>
        <w:rPr>
          <w:snapToGrid w:val="0"/>
          <w:color w:val="auto"/>
          <w:kern w:val="0"/>
          <w:shd w:val="clear" w:color="auto" w:fill="auto"/>
        </w:rPr>
        <w:t>00-06</w:t>
      </w:r>
      <w:r>
        <w:rPr>
          <w:rFonts w:hint="eastAsia" w:ascii="宋体" w:hAnsi="宋体" w:cs="宋体"/>
          <w:snapToGrid w:val="0"/>
          <w:color w:val="auto"/>
          <w:kern w:val="0"/>
          <w:shd w:val="clear" w:color="auto" w:fill="auto"/>
        </w:rPr>
        <w:t>∶</w:t>
      </w:r>
      <w:r>
        <w:rPr>
          <w:snapToGrid w:val="0"/>
          <w:color w:val="auto"/>
          <w:kern w:val="0"/>
          <w:shd w:val="clear" w:color="auto" w:fill="auto"/>
        </w:rPr>
        <w:t>00）应禁止施工，尽可能减少对周围环境的影响。特殊情况需连续施工的，做好周围群众的工作，并报工地所在区或市环保局批准后方可在指定日期内施工。</w:t>
      </w:r>
    </w:p>
    <w:p>
      <w:pPr>
        <w:pStyle w:val="5"/>
        <w:rPr>
          <w:color w:val="auto"/>
          <w:shd w:val="clear" w:color="auto" w:fill="auto"/>
        </w:rPr>
      </w:pPr>
      <w:r>
        <w:rPr>
          <w:rFonts w:hint="eastAsia"/>
          <w:color w:val="auto"/>
          <w:shd w:val="clear" w:color="auto" w:fill="auto"/>
          <w:lang w:val="en-US" w:eastAsia="zh-CN"/>
        </w:rPr>
        <w:t>6</w:t>
      </w:r>
      <w:r>
        <w:rPr>
          <w:rFonts w:hint="eastAsia"/>
          <w:color w:val="auto"/>
          <w:shd w:val="clear" w:color="auto" w:fill="auto"/>
        </w:rPr>
        <w:t>.1.4 施工期固体废物污染防治措施</w:t>
      </w:r>
    </w:p>
    <w:p>
      <w:pPr>
        <w:widowControl/>
        <w:ind w:firstLine="480"/>
        <w:jc w:val="left"/>
        <w:rPr>
          <w:color w:val="auto"/>
          <w:shd w:val="clear" w:color="auto" w:fill="auto"/>
        </w:rPr>
      </w:pPr>
      <w:r>
        <w:rPr>
          <w:rFonts w:hint="eastAsia"/>
          <w:color w:val="auto"/>
          <w:shd w:val="clear" w:color="auto" w:fill="auto"/>
        </w:rPr>
        <w:t>（</w:t>
      </w:r>
      <w:r>
        <w:rPr>
          <w:color w:val="auto"/>
          <w:shd w:val="clear" w:color="auto" w:fill="auto"/>
        </w:rPr>
        <w:t>1</w:t>
      </w:r>
      <w:r>
        <w:rPr>
          <w:rFonts w:hint="eastAsia"/>
          <w:color w:val="auto"/>
          <w:shd w:val="clear" w:color="auto" w:fill="auto"/>
        </w:rPr>
        <w:t>）</w:t>
      </w:r>
      <w:r>
        <w:rPr>
          <w:rFonts w:hint="eastAsia" w:cs="Times New Roman"/>
          <w:color w:val="auto"/>
          <w:shd w:val="clear" w:color="auto" w:fill="auto"/>
        </w:rPr>
        <w:t>施工产生的生活垃圾要分类集中收集，并由当地环卫部门统一清运处置。</w:t>
      </w:r>
    </w:p>
    <w:p>
      <w:pPr>
        <w:ind w:firstLine="480"/>
        <w:rPr>
          <w:color w:val="auto"/>
          <w:shd w:val="clear" w:color="auto" w:fill="auto"/>
        </w:rPr>
      </w:pPr>
      <w:r>
        <w:rPr>
          <w:rFonts w:hint="eastAsia"/>
          <w:color w:val="auto"/>
          <w:shd w:val="clear" w:color="auto" w:fill="auto"/>
        </w:rPr>
        <w:t>（</w:t>
      </w:r>
      <w:r>
        <w:rPr>
          <w:color w:val="auto"/>
          <w:shd w:val="clear" w:color="auto" w:fill="auto"/>
        </w:rPr>
        <w:t>2</w:t>
      </w:r>
      <w:r>
        <w:rPr>
          <w:rFonts w:hint="eastAsia"/>
          <w:color w:val="auto"/>
          <w:shd w:val="clear" w:color="auto" w:fill="auto"/>
        </w:rPr>
        <w:t>）施工期对施工弃土、废弃的碎砖石、砼及残渣等应就地处置作用填充地基用，如有余量应按渣土管理部门的有关规定倾倒。</w:t>
      </w:r>
    </w:p>
    <w:p>
      <w:pPr>
        <w:ind w:firstLine="480"/>
        <w:rPr>
          <w:color w:val="auto"/>
          <w:shd w:val="clear" w:color="auto" w:fill="auto"/>
        </w:rPr>
      </w:pPr>
      <w:r>
        <w:rPr>
          <w:rFonts w:hint="eastAsia"/>
          <w:color w:val="auto"/>
          <w:shd w:val="clear" w:color="auto" w:fill="auto"/>
        </w:rPr>
        <w:t>（</w:t>
      </w:r>
      <w:r>
        <w:rPr>
          <w:color w:val="auto"/>
          <w:shd w:val="clear" w:color="auto" w:fill="auto"/>
        </w:rPr>
        <w:t>3</w:t>
      </w:r>
      <w:r>
        <w:rPr>
          <w:rFonts w:hint="eastAsia"/>
          <w:color w:val="auto"/>
          <w:shd w:val="clear" w:color="auto" w:fill="auto"/>
        </w:rPr>
        <w:t>）建筑废料实行分类堆放，对于可回收的建筑废料应予以回收处理，不能利用的按有关规定处置；对包装箱和包装袋可销售给废品收购站。</w:t>
      </w:r>
    </w:p>
    <w:p>
      <w:pPr>
        <w:ind w:firstLine="480"/>
        <w:rPr>
          <w:color w:val="auto"/>
          <w:shd w:val="clear" w:color="auto" w:fill="auto"/>
        </w:rPr>
      </w:pPr>
      <w:r>
        <w:rPr>
          <w:rFonts w:hint="eastAsia"/>
          <w:color w:val="auto"/>
          <w:shd w:val="clear" w:color="auto" w:fill="auto"/>
        </w:rPr>
        <w:t>（</w:t>
      </w:r>
      <w:r>
        <w:rPr>
          <w:color w:val="auto"/>
          <w:shd w:val="clear" w:color="auto" w:fill="auto"/>
        </w:rPr>
        <w:t>4</w:t>
      </w:r>
      <w:r>
        <w:rPr>
          <w:rFonts w:hint="eastAsia"/>
          <w:color w:val="auto"/>
          <w:shd w:val="clear" w:color="auto" w:fill="auto"/>
        </w:rPr>
        <w:t>）疏浚底泥运至</w:t>
      </w:r>
      <w:r>
        <w:rPr>
          <w:rFonts w:hint="eastAsia"/>
          <w:color w:val="auto"/>
          <w:shd w:val="clear" w:color="auto" w:fill="auto"/>
          <w:lang w:eastAsia="zh-CN"/>
        </w:rPr>
        <w:t>抛泥区</w:t>
      </w:r>
      <w:r>
        <w:rPr>
          <w:rFonts w:hint="eastAsia"/>
          <w:color w:val="auto"/>
          <w:shd w:val="clear" w:color="auto" w:fill="auto"/>
        </w:rPr>
        <w:t>范围内，并在四周设置围堰；围堰设置溢流口，溢流口下游设置沉淀池处理溢流水。采取的水土保持措施包括边坡防护、截排水等措施。</w:t>
      </w:r>
    </w:p>
    <w:p>
      <w:pPr>
        <w:ind w:firstLine="480"/>
        <w:rPr>
          <w:color w:val="auto"/>
          <w:shd w:val="clear" w:color="auto" w:fill="auto"/>
        </w:rPr>
      </w:pPr>
      <w:r>
        <w:rPr>
          <w:rFonts w:hint="eastAsia"/>
          <w:color w:val="auto"/>
          <w:shd w:val="clear" w:color="auto" w:fill="auto"/>
        </w:rPr>
        <w:t>（5）施工船舶保养垃圾和生活垃圾，施工船舶保养垃圾废弃机器零件、脱落的漆皮和铁屑、船舶机械设备旁的沉积物、更新的绳索等，应进行垃圾分类，生活垃圾等一般固废委托环卫部门处置，废机油及漆皮等危险废物应交由有资质的单位处置。</w:t>
      </w:r>
    </w:p>
    <w:p>
      <w:pPr>
        <w:widowControl/>
        <w:ind w:firstLine="480"/>
        <w:jc w:val="left"/>
        <w:rPr>
          <w:color w:val="auto"/>
          <w:shd w:val="clear" w:color="auto" w:fill="auto"/>
        </w:rPr>
      </w:pPr>
      <w:r>
        <w:rPr>
          <w:rFonts w:hint="eastAsia"/>
          <w:color w:val="auto"/>
          <w:shd w:val="clear" w:color="auto" w:fill="auto"/>
        </w:rPr>
        <w:t>（6）建设工程竣工后，</w:t>
      </w:r>
      <w:r>
        <w:rPr>
          <w:rFonts w:hint="eastAsia" w:cs="Times New Roman"/>
          <w:color w:val="auto"/>
          <w:shd w:val="clear" w:color="auto" w:fill="auto"/>
        </w:rPr>
        <w:t>拆除施工区的临建设施，对施工机械停放场、块石备料场、综合仓库和办公生活区及时进行场地清理，清除建筑垃圾及各种杂物，对其周围的生活垃圾、简易厕所、污水坑必须清理平整，并用石炭酸、生石灰进行消毒，作好施工迹地恢复工作。</w:t>
      </w:r>
    </w:p>
    <w:p>
      <w:pPr>
        <w:pStyle w:val="5"/>
        <w:rPr>
          <w:color w:val="auto"/>
          <w:shd w:val="clear" w:color="auto" w:fill="auto"/>
        </w:rPr>
      </w:pPr>
      <w:r>
        <w:rPr>
          <w:rFonts w:hint="eastAsia"/>
          <w:color w:val="auto"/>
          <w:shd w:val="clear" w:color="auto" w:fill="auto"/>
          <w:lang w:val="en-US" w:eastAsia="zh-CN"/>
        </w:rPr>
        <w:t>6</w:t>
      </w:r>
      <w:r>
        <w:rPr>
          <w:rFonts w:hint="eastAsia"/>
          <w:color w:val="auto"/>
          <w:shd w:val="clear" w:color="auto" w:fill="auto"/>
        </w:rPr>
        <w:t>.1.5 施工期生态环境保护措施</w:t>
      </w:r>
    </w:p>
    <w:p>
      <w:pPr>
        <w:ind w:firstLine="480"/>
        <w:rPr>
          <w:b/>
          <w:bCs/>
          <w:color w:val="auto"/>
          <w:shd w:val="clear" w:color="auto" w:fill="auto"/>
        </w:rPr>
      </w:pPr>
      <w:r>
        <w:rPr>
          <w:b/>
          <w:bCs/>
          <w:color w:val="auto"/>
          <w:shd w:val="clear" w:color="auto" w:fill="auto"/>
        </w:rPr>
        <w:t>1、</w:t>
      </w:r>
      <w:r>
        <w:rPr>
          <w:rFonts w:hint="eastAsia"/>
          <w:b/>
          <w:bCs/>
          <w:color w:val="auto"/>
          <w:shd w:val="clear" w:color="auto" w:fill="auto"/>
        </w:rPr>
        <w:t>水土流失防治措施</w:t>
      </w:r>
    </w:p>
    <w:p>
      <w:pPr>
        <w:rPr>
          <w:color w:val="auto"/>
          <w:shd w:val="clear" w:color="auto" w:fill="auto"/>
        </w:rPr>
      </w:pPr>
      <w:r>
        <w:rPr>
          <w:rFonts w:hint="eastAsia"/>
          <w:color w:val="auto"/>
          <w:shd w:val="clear" w:color="auto" w:fill="auto"/>
        </w:rPr>
        <w:t>①</w:t>
      </w:r>
      <w:r>
        <w:rPr>
          <w:color w:val="auto"/>
          <w:shd w:val="clear" w:color="auto" w:fill="auto"/>
        </w:rPr>
        <w:t>在主体工程建设过程中，应做好水土流失的预防工作，尽量避免雨季施工，减少施工过程中造成人为的水土流失。</w:t>
      </w:r>
    </w:p>
    <w:p>
      <w:pPr>
        <w:rPr>
          <w:color w:val="auto"/>
          <w:shd w:val="clear" w:color="auto" w:fill="auto"/>
        </w:rPr>
      </w:pPr>
      <w:r>
        <w:rPr>
          <w:rFonts w:hint="eastAsia"/>
          <w:color w:val="auto"/>
          <w:shd w:val="clear" w:color="auto" w:fill="auto"/>
        </w:rPr>
        <w:t>②</w:t>
      </w:r>
      <w:r>
        <w:rPr>
          <w:color w:val="auto"/>
          <w:shd w:val="clear" w:color="auto" w:fill="auto"/>
        </w:rPr>
        <w:t>加强施工现场和施工队伍的管理，制定相关的施工现场和施工队伍的管理规定。按照</w:t>
      </w:r>
      <w:r>
        <w:rPr>
          <w:rFonts w:hint="eastAsia"/>
          <w:color w:val="auto"/>
          <w:shd w:val="clear" w:color="auto" w:fill="auto"/>
          <w:lang w:eastAsia="zh-CN"/>
        </w:rPr>
        <w:t>“</w:t>
      </w:r>
      <w:r>
        <w:rPr>
          <w:color w:val="auto"/>
          <w:shd w:val="clear" w:color="auto" w:fill="auto"/>
        </w:rPr>
        <w:t>三同时</w:t>
      </w:r>
      <w:r>
        <w:rPr>
          <w:rFonts w:hint="eastAsia"/>
          <w:color w:val="auto"/>
          <w:shd w:val="clear" w:color="auto" w:fill="auto"/>
          <w:lang w:eastAsia="zh-CN"/>
        </w:rPr>
        <w:t>”</w:t>
      </w:r>
      <w:r>
        <w:rPr>
          <w:color w:val="auto"/>
          <w:shd w:val="clear" w:color="auto" w:fill="auto"/>
        </w:rPr>
        <w:t>原则，建设单位应根据主体工程施工进展情况，及时检查和督促施工单位，落实各项水土流失防治措施，并加强监督水土保持措施落实情况，保障本项目建成后既能获得良好的经济效益，也能避免生态环境破坏。</w:t>
      </w:r>
    </w:p>
    <w:p>
      <w:pPr>
        <w:rPr>
          <w:color w:val="auto"/>
          <w:shd w:val="clear" w:color="auto" w:fill="auto"/>
        </w:rPr>
      </w:pPr>
      <w:r>
        <w:rPr>
          <w:rFonts w:hint="eastAsia"/>
          <w:color w:val="auto"/>
          <w:shd w:val="clear" w:color="auto" w:fill="auto"/>
        </w:rPr>
        <w:t>③</w:t>
      </w:r>
      <w:r>
        <w:rPr>
          <w:color w:val="auto"/>
          <w:shd w:val="clear" w:color="auto" w:fill="auto"/>
        </w:rPr>
        <w:t>水土保持工程实施过程中，应结合当地的自然地理特征和植被情况，精心选择合适的草、灌木，做到与当地景观相协调。施工等临时占地区域的绿化要根据当地的气候、土壤等条件，在当地林业（园林）部门的指导下进行绿化美化。</w:t>
      </w:r>
    </w:p>
    <w:p>
      <w:pPr>
        <w:rPr>
          <w:color w:val="auto"/>
          <w:shd w:val="clear" w:color="auto" w:fill="auto"/>
        </w:rPr>
      </w:pPr>
      <w:r>
        <w:rPr>
          <w:rFonts w:hint="eastAsia"/>
          <w:color w:val="auto"/>
          <w:shd w:val="clear" w:color="auto" w:fill="auto"/>
        </w:rPr>
        <w:t>④</w:t>
      </w:r>
      <w:r>
        <w:rPr>
          <w:color w:val="auto"/>
          <w:shd w:val="clear" w:color="auto" w:fill="auto"/>
        </w:rPr>
        <w:t>施工应尽量避开雨季；基础开挖前做好导排水设施；场地回填应做到先拦后填；应合理安排施工时序，做到即挖即填，及时碾压夯实；严禁将施工废料丢入江中，应集中堆放，及时清运；工程所需物料应该堆在场地上游施工营地内，不应随意堆放；土料运输车辆必须加盖，严禁超载，并应派人及时清扫运土道路；应加强建设期间的施工组织管理。</w:t>
      </w:r>
    </w:p>
    <w:p>
      <w:pPr>
        <w:rPr>
          <w:rFonts w:hint="eastAsia"/>
          <w:color w:val="auto"/>
          <w:shd w:val="clear" w:color="auto" w:fill="auto"/>
        </w:rPr>
      </w:pPr>
      <w:r>
        <w:rPr>
          <w:rFonts w:hint="eastAsia"/>
          <w:color w:val="auto"/>
          <w:shd w:val="clear" w:color="auto" w:fill="auto"/>
        </w:rPr>
        <w:t>⑤</w:t>
      </w:r>
      <w:r>
        <w:rPr>
          <w:color w:val="auto"/>
          <w:shd w:val="clear" w:color="auto" w:fill="auto"/>
        </w:rPr>
        <w:t>临时堆土防护措施</w:t>
      </w:r>
      <w:r>
        <w:rPr>
          <w:rFonts w:hint="eastAsia"/>
          <w:color w:val="auto"/>
          <w:shd w:val="clear" w:color="auto" w:fill="auto"/>
          <w:lang w:eastAsia="zh-CN"/>
        </w:rPr>
        <w:t>：</w:t>
      </w:r>
      <w:r>
        <w:rPr>
          <w:rFonts w:hint="eastAsia"/>
          <w:color w:val="auto"/>
          <w:shd w:val="clear" w:color="auto" w:fill="auto"/>
        </w:rPr>
        <w:t>钻渣泥浆不得弃入河道，应在桩基施工场地旁设置临时沉淀池，沉淀池开挖出来的土方堆于沉淀池四周，堆体两侧边坡夯实，外侧坡脚用填土草包围护。带钻渣沉淀干化后，用沉淀池挖土填平沉淀池表面并进行平整压实，并及时绿化。</w:t>
      </w:r>
    </w:p>
    <w:p>
      <w:pPr>
        <w:rPr>
          <w:rFonts w:hint="eastAsia"/>
          <w:color w:val="auto"/>
          <w:shd w:val="clear" w:color="auto" w:fill="auto"/>
        </w:rPr>
      </w:pPr>
      <w:r>
        <w:rPr>
          <w:rFonts w:hint="eastAsia"/>
          <w:color w:val="auto"/>
          <w:shd w:val="clear" w:color="auto" w:fill="auto"/>
        </w:rPr>
        <w:t>⑥</w:t>
      </w:r>
      <w:r>
        <w:rPr>
          <w:color w:val="auto"/>
          <w:shd w:val="clear" w:color="auto" w:fill="auto"/>
        </w:rPr>
        <w:t>港区防治措施</w:t>
      </w:r>
      <w:r>
        <w:rPr>
          <w:rFonts w:hint="eastAsia"/>
          <w:color w:val="auto"/>
          <w:shd w:val="clear" w:color="auto" w:fill="auto"/>
          <w:lang w:eastAsia="zh-CN"/>
        </w:rPr>
        <w:t>：</w:t>
      </w:r>
      <w:r>
        <w:rPr>
          <w:color w:val="auto"/>
          <w:shd w:val="clear" w:color="auto" w:fill="auto"/>
        </w:rPr>
        <w:t>港区水土流失主要发生在施工期及施工准备期。施工结束后，应拆除施工临时用地上的各类建筑物，拆除后产生的建筑垃圾运至指定地点堆放，并防止产生水土流失</w:t>
      </w:r>
      <w:r>
        <w:rPr>
          <w:rFonts w:hint="eastAsia"/>
          <w:color w:val="auto"/>
          <w:shd w:val="clear" w:color="auto" w:fill="auto"/>
        </w:rPr>
        <w:t>。</w:t>
      </w:r>
    </w:p>
    <w:p>
      <w:pPr>
        <w:widowControl w:val="0"/>
        <w:spacing w:line="360" w:lineRule="auto"/>
        <w:ind w:firstLine="482" w:firstLineChars="200"/>
        <w:rPr>
          <w:rFonts w:hint="eastAsia" w:ascii="Times New Roman" w:hAnsi="Times New Roman" w:eastAsia="宋体" w:cs="Times New Roman"/>
          <w:b/>
          <w:bCs/>
          <w:color w:val="auto"/>
          <w:sz w:val="24"/>
          <w:szCs w:val="24"/>
          <w:shd w:val="clear" w:color="auto" w:fill="auto"/>
          <w:lang w:val="en-US" w:eastAsia="zh-CN" w:bidi="ar-SA"/>
        </w:rPr>
      </w:pPr>
      <w:r>
        <w:rPr>
          <w:rFonts w:hint="eastAsia" w:ascii="Times New Roman" w:hAnsi="Times New Roman" w:cs="Times New Roman"/>
          <w:b/>
          <w:bCs/>
          <w:color w:val="auto"/>
          <w:sz w:val="24"/>
          <w:szCs w:val="24"/>
          <w:shd w:val="clear" w:color="auto" w:fill="auto"/>
          <w:lang w:val="en-US" w:eastAsia="zh-CN" w:bidi="ar-SA"/>
        </w:rPr>
        <w:t>2、</w:t>
      </w:r>
      <w:r>
        <w:rPr>
          <w:rFonts w:hint="eastAsia" w:ascii="Times New Roman" w:hAnsi="Times New Roman" w:eastAsia="宋体" w:cs="Times New Roman"/>
          <w:b/>
          <w:bCs/>
          <w:color w:val="auto"/>
          <w:sz w:val="24"/>
          <w:szCs w:val="24"/>
          <w:shd w:val="clear" w:color="auto" w:fill="auto"/>
          <w:lang w:val="en-US" w:eastAsia="zh-CN" w:bidi="ar-SA"/>
        </w:rPr>
        <w:t>野生动物保护</w:t>
      </w:r>
      <w:r>
        <w:rPr>
          <w:rFonts w:hint="eastAsia" w:ascii="Times New Roman" w:hAnsi="Times New Roman" w:cs="Times New Roman"/>
          <w:b/>
          <w:bCs/>
          <w:color w:val="auto"/>
          <w:sz w:val="24"/>
          <w:szCs w:val="24"/>
          <w:shd w:val="clear" w:color="auto" w:fill="auto"/>
          <w:lang w:val="en-US" w:eastAsia="zh-CN" w:bidi="ar-SA"/>
        </w:rPr>
        <w:t>措施</w:t>
      </w:r>
    </w:p>
    <w:p>
      <w:pPr>
        <w:widowControl w:val="0"/>
        <w:spacing w:line="360" w:lineRule="auto"/>
        <w:ind w:firstLine="480" w:firstLineChars="200"/>
        <w:rPr>
          <w:rFonts w:hint="eastAsia" w:ascii="Times New Roman" w:hAnsi="Times New Roman" w:eastAsia="宋体" w:cs="Times New Roman"/>
          <w:color w:val="auto"/>
          <w:sz w:val="24"/>
          <w:szCs w:val="24"/>
          <w:shd w:val="clear" w:color="auto" w:fill="auto"/>
          <w:lang w:val="en-US" w:eastAsia="zh-CN" w:bidi="ar-SA"/>
        </w:rPr>
      </w:pPr>
      <w:r>
        <w:rPr>
          <w:rFonts w:hint="eastAsia" w:ascii="宋体" w:hAnsi="宋体" w:eastAsia="宋体" w:cs="宋体"/>
          <w:color w:val="auto"/>
          <w:sz w:val="24"/>
          <w:szCs w:val="24"/>
          <w:shd w:val="clear" w:color="auto" w:fill="auto"/>
          <w:lang w:val="en-US" w:eastAsia="zh-CN" w:bidi="ar-SA"/>
        </w:rPr>
        <w:t>①</w:t>
      </w:r>
      <w:r>
        <w:rPr>
          <w:rFonts w:hint="eastAsia" w:ascii="Times New Roman" w:hAnsi="Times New Roman" w:eastAsia="宋体" w:cs="Times New Roman"/>
          <w:color w:val="auto"/>
          <w:sz w:val="24"/>
          <w:szCs w:val="24"/>
          <w:shd w:val="clear" w:color="auto" w:fill="auto"/>
          <w:lang w:val="en-US" w:eastAsia="zh-CN" w:bidi="ar-SA"/>
        </w:rPr>
        <w:t>应优化施工方案，抓紧施工进度，尽量缩短在野生动物相对集中区域内的施工作业时间，尽量减少高噪声作业，减少对野生动物的惊扰。</w:t>
      </w:r>
    </w:p>
    <w:p>
      <w:pPr>
        <w:widowControl w:val="0"/>
        <w:spacing w:line="360" w:lineRule="auto"/>
        <w:ind w:firstLine="480" w:firstLineChars="200"/>
        <w:rPr>
          <w:rFonts w:hint="eastAsia" w:ascii="Times New Roman" w:hAnsi="Times New Roman" w:eastAsia="宋体" w:cs="Times New Roman"/>
          <w:color w:val="auto"/>
          <w:sz w:val="24"/>
          <w:szCs w:val="24"/>
          <w:shd w:val="clear" w:color="auto" w:fill="auto"/>
          <w:lang w:val="en-US" w:eastAsia="zh-CN" w:bidi="ar-SA"/>
        </w:rPr>
      </w:pPr>
      <w:r>
        <w:rPr>
          <w:rFonts w:hint="eastAsia" w:ascii="宋体" w:hAnsi="宋体" w:eastAsia="宋体" w:cs="宋体"/>
          <w:color w:val="auto"/>
          <w:sz w:val="24"/>
          <w:szCs w:val="24"/>
          <w:shd w:val="clear" w:color="auto" w:fill="auto"/>
          <w:lang w:val="en-US" w:eastAsia="zh-CN" w:bidi="ar-SA"/>
        </w:rPr>
        <w:t>②</w:t>
      </w:r>
      <w:r>
        <w:rPr>
          <w:rFonts w:hint="eastAsia" w:ascii="Times New Roman" w:hAnsi="Times New Roman" w:eastAsia="宋体" w:cs="Times New Roman"/>
          <w:color w:val="auto"/>
          <w:sz w:val="24"/>
          <w:szCs w:val="24"/>
          <w:shd w:val="clear" w:color="auto" w:fill="auto"/>
          <w:lang w:val="en-US" w:eastAsia="zh-CN" w:bidi="ar-SA"/>
        </w:rPr>
        <w:t>施工期场地周边应设置围栏或其他格挡设施，防止野生动物误入施工场地，如遇中华蟾蜍、棕背伯劳、黄鼬等省级重点保护动物，严禁伤害，未避免伤害可以适度驱赶；如遇到野生动物受到意外伤害，应立即与林业局野保部门联系，由专业人员处理。</w:t>
      </w:r>
    </w:p>
    <w:p>
      <w:pPr>
        <w:widowControl w:val="0"/>
        <w:spacing w:line="360" w:lineRule="auto"/>
        <w:ind w:firstLine="480" w:firstLineChars="200"/>
        <w:rPr>
          <w:rFonts w:hint="eastAsia" w:ascii="Times New Roman" w:hAnsi="Times New Roman" w:eastAsia="宋体" w:cs="Times New Roman"/>
          <w:color w:val="auto"/>
          <w:sz w:val="24"/>
          <w:szCs w:val="24"/>
          <w:shd w:val="clear" w:color="auto" w:fill="auto"/>
          <w:lang w:val="en-US" w:eastAsia="zh-CN" w:bidi="ar-SA"/>
        </w:rPr>
      </w:pPr>
      <w:r>
        <w:rPr>
          <w:rFonts w:hint="eastAsia" w:ascii="宋体" w:hAnsi="宋体" w:eastAsia="宋体" w:cs="宋体"/>
          <w:color w:val="auto"/>
          <w:sz w:val="24"/>
          <w:szCs w:val="24"/>
          <w:shd w:val="clear" w:color="auto" w:fill="auto"/>
          <w:lang w:val="en-US" w:eastAsia="zh-CN" w:bidi="ar-SA"/>
        </w:rPr>
        <w:t>③</w:t>
      </w:r>
      <w:r>
        <w:rPr>
          <w:rFonts w:hint="eastAsia" w:ascii="Times New Roman" w:hAnsi="Times New Roman" w:eastAsia="宋体" w:cs="Times New Roman"/>
          <w:color w:val="auto"/>
          <w:sz w:val="24"/>
          <w:szCs w:val="24"/>
          <w:shd w:val="clear" w:color="auto" w:fill="auto"/>
          <w:lang w:val="en-US" w:eastAsia="zh-CN" w:bidi="ar-SA"/>
        </w:rPr>
        <w:t>优选施工时间，避开野生动物活动的高峰时段。早晨、黄昏和晚上是野生动物活动、繁殖和觅食的高峰时段，应避免在该时段进行高噪声作业。春末至初夏是鸟类的繁殖季节，应尽量避免这段时间进行高噪声作业。</w:t>
      </w:r>
    </w:p>
    <w:p>
      <w:pPr>
        <w:widowControl w:val="0"/>
        <w:spacing w:line="360" w:lineRule="auto"/>
        <w:ind w:firstLine="480" w:firstLineChars="200"/>
        <w:rPr>
          <w:color w:val="auto"/>
          <w:shd w:val="clear" w:color="auto" w:fill="auto"/>
        </w:rPr>
      </w:pPr>
      <w:r>
        <w:rPr>
          <w:rFonts w:hint="eastAsia" w:ascii="宋体" w:hAnsi="宋体" w:eastAsia="宋体" w:cs="宋体"/>
          <w:color w:val="auto"/>
          <w:sz w:val="24"/>
          <w:szCs w:val="24"/>
          <w:shd w:val="clear" w:color="auto" w:fill="auto"/>
          <w:lang w:val="en-US" w:eastAsia="zh-CN" w:bidi="ar-SA"/>
        </w:rPr>
        <w:t>④</w:t>
      </w:r>
      <w:r>
        <w:rPr>
          <w:rFonts w:hint="eastAsia" w:ascii="Times New Roman" w:hAnsi="Times New Roman" w:eastAsia="宋体" w:cs="Times New Roman"/>
          <w:color w:val="auto"/>
          <w:sz w:val="24"/>
          <w:szCs w:val="24"/>
          <w:shd w:val="clear" w:color="auto" w:fill="auto"/>
          <w:lang w:val="en-US" w:eastAsia="zh-CN" w:bidi="ar-SA"/>
        </w:rPr>
        <w:t>项目应设置禁鸣标志牌，减少突发噪声对野生动物影响。</w:t>
      </w:r>
    </w:p>
    <w:p>
      <w:pPr>
        <w:ind w:firstLine="480"/>
        <w:rPr>
          <w:rFonts w:hint="eastAsia" w:eastAsia="宋体"/>
          <w:b/>
          <w:bCs/>
          <w:color w:val="auto"/>
          <w:shd w:val="clear" w:color="auto" w:fill="auto"/>
          <w:lang w:val="en-US" w:eastAsia="zh-CN"/>
        </w:rPr>
      </w:pPr>
      <w:r>
        <w:rPr>
          <w:rFonts w:hint="eastAsia"/>
          <w:b/>
          <w:bCs/>
          <w:color w:val="auto"/>
          <w:shd w:val="clear" w:color="auto" w:fill="auto"/>
          <w:lang w:val="en-US" w:eastAsia="zh-CN"/>
        </w:rPr>
        <w:t>3</w:t>
      </w:r>
      <w:r>
        <w:rPr>
          <w:b/>
          <w:bCs/>
          <w:color w:val="auto"/>
          <w:shd w:val="clear" w:color="auto" w:fill="auto"/>
        </w:rPr>
        <w:t>、水生生态环境</w:t>
      </w:r>
      <w:r>
        <w:rPr>
          <w:rFonts w:hint="eastAsia"/>
          <w:b/>
          <w:bCs/>
          <w:color w:val="auto"/>
          <w:shd w:val="clear" w:color="auto" w:fill="auto"/>
          <w:lang w:val="en-US" w:eastAsia="zh-CN"/>
        </w:rPr>
        <w:t>影响减缓措施</w:t>
      </w:r>
    </w:p>
    <w:p>
      <w:pPr>
        <w:ind w:firstLine="480"/>
        <w:rPr>
          <w:color w:val="auto"/>
          <w:shd w:val="clear" w:color="auto" w:fill="auto"/>
        </w:rPr>
      </w:pPr>
      <w:r>
        <w:rPr>
          <w:rFonts w:hint="eastAsia" w:ascii="宋体" w:hAnsi="宋体" w:eastAsia="宋体" w:cs="宋体"/>
          <w:color w:val="auto"/>
          <w:shd w:val="clear" w:color="auto" w:fill="auto"/>
        </w:rPr>
        <w:t>①</w:t>
      </w:r>
      <w:r>
        <w:rPr>
          <w:color w:val="auto"/>
          <w:shd w:val="clear" w:color="auto" w:fill="auto"/>
        </w:rPr>
        <w:t>加强施工期环境管理加强科学管理，在确保施工质量前提下提高施工进度以尽量缩短水下作业时间，加强对设备的管理与维修保养，杜绝泄露石油类物质以及所运送的建筑材料等，减少对水域污染的可能性；水上平台工作人员的生活污水及生活垃圾不允许直接排放或抛弃，划定施工作业区，禁止非施工船舶驶入，对施工船舶的作业、锚泊以及来往运输航行采取安全保障措施，避免事故对水生生态的影响。</w:t>
      </w:r>
    </w:p>
    <w:p>
      <w:pPr>
        <w:ind w:firstLine="480"/>
        <w:rPr>
          <w:color w:val="auto"/>
          <w:shd w:val="clear" w:color="auto" w:fill="auto"/>
        </w:rPr>
      </w:pPr>
      <w:r>
        <w:rPr>
          <w:rFonts w:hint="eastAsia" w:ascii="宋体" w:hAnsi="宋体" w:eastAsia="宋体" w:cs="宋体"/>
          <w:color w:val="auto"/>
          <w:shd w:val="clear" w:color="auto" w:fill="auto"/>
        </w:rPr>
        <w:t>②</w:t>
      </w:r>
      <w:r>
        <w:rPr>
          <w:color w:val="auto"/>
          <w:shd w:val="clear" w:color="auto" w:fill="auto"/>
        </w:rPr>
        <w:t>对施工人员及船员加强宣传教育，对施工人员、包括运输物料的船员进行保护珍稀野生动物重要性的教育，提高每个职工的环境意识，自觉爱护和保护珍稀野生动物。一旦发现有珍稀野生动物游至附近一带活动，应立即暂时停止施工。而船舶一方面应按规定减速从而降低噪声强度，另一方面还需要减少汽笛鸣叫次数等。</w:t>
      </w:r>
    </w:p>
    <w:p>
      <w:pPr>
        <w:ind w:firstLine="480"/>
        <w:rPr>
          <w:color w:val="auto"/>
          <w:shd w:val="clear" w:color="auto" w:fill="auto"/>
        </w:rPr>
      </w:pPr>
      <w:r>
        <w:rPr>
          <w:rFonts w:hint="eastAsia" w:ascii="宋体" w:hAnsi="宋体" w:eastAsia="宋体" w:cs="宋体"/>
          <w:color w:val="auto"/>
          <w:shd w:val="clear" w:color="auto" w:fill="auto"/>
        </w:rPr>
        <w:t>③</w:t>
      </w:r>
      <w:r>
        <w:rPr>
          <w:color w:val="auto"/>
          <w:shd w:val="clear" w:color="auto" w:fill="auto"/>
        </w:rPr>
        <w:t>港池水下开挖施工严格按照《疏浚工程技术规范》进行施工设计和施工作业，最大限度地控制水下施工作业对底泥的搅动范围和强度，减少悬浮泥</w:t>
      </w:r>
      <w:r>
        <w:rPr>
          <w:rFonts w:hint="eastAsia"/>
          <w:color w:val="auto"/>
          <w:shd w:val="clear" w:color="auto" w:fill="auto"/>
          <w:lang w:val="en-US" w:eastAsia="zh-CN"/>
        </w:rPr>
        <w:t>沙</w:t>
      </w:r>
      <w:r>
        <w:rPr>
          <w:color w:val="auto"/>
          <w:shd w:val="clear" w:color="auto" w:fill="auto"/>
        </w:rPr>
        <w:t>的发生量。严格控制益流口的溢流泥浆入河量和悬浮物的浓度。必要时将水下施工部位用围堰围住，减少扰动范围，但影响是暂时的、有限的，随着施工期的结束，这种影响也随之结束。</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default" w:ascii="Times New Roman" w:hAnsi="Times New Roman" w:eastAsia="宋体" w:cs="Times New Roman"/>
          <w:b/>
          <w:bCs/>
          <w:color w:val="auto"/>
          <w:sz w:val="24"/>
          <w:szCs w:val="24"/>
          <w:shd w:val="clear" w:color="auto" w:fill="auto"/>
        </w:rPr>
      </w:pPr>
      <w:r>
        <w:rPr>
          <w:rFonts w:hint="eastAsia" w:cs="Times New Roman"/>
          <w:b/>
          <w:bCs/>
          <w:color w:val="auto"/>
          <w:sz w:val="24"/>
          <w:szCs w:val="24"/>
          <w:shd w:val="clear" w:color="auto" w:fill="auto"/>
          <w:lang w:val="en-US" w:eastAsia="zh-CN"/>
        </w:rPr>
        <w:t>4、</w:t>
      </w:r>
      <w:r>
        <w:rPr>
          <w:rFonts w:hint="default" w:ascii="Times New Roman" w:hAnsi="Times New Roman" w:eastAsia="宋体" w:cs="Times New Roman"/>
          <w:b/>
          <w:bCs/>
          <w:color w:val="auto"/>
          <w:sz w:val="24"/>
          <w:szCs w:val="24"/>
          <w:shd w:val="clear" w:color="auto" w:fill="auto"/>
        </w:rPr>
        <w:t>临时用地</w:t>
      </w:r>
      <w:r>
        <w:rPr>
          <w:rFonts w:hint="eastAsia" w:ascii="Times New Roman" w:hAnsi="Times New Roman" w:cs="Times New Roman"/>
          <w:b/>
          <w:bCs/>
          <w:color w:val="auto"/>
          <w:sz w:val="24"/>
          <w:szCs w:val="24"/>
          <w:shd w:val="clear" w:color="auto" w:fill="auto"/>
          <w:lang w:val="en-US" w:eastAsia="zh-CN"/>
        </w:rPr>
        <w:t>防护与</w:t>
      </w:r>
      <w:r>
        <w:rPr>
          <w:rFonts w:hint="default" w:ascii="Times New Roman" w:hAnsi="Times New Roman" w:eastAsia="宋体" w:cs="Times New Roman"/>
          <w:b/>
          <w:bCs/>
          <w:color w:val="auto"/>
          <w:sz w:val="24"/>
          <w:szCs w:val="24"/>
          <w:shd w:val="clear" w:color="auto" w:fill="auto"/>
        </w:rPr>
        <w:t>恢复措施</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Times New Roman" w:hAnsi="Times New Roman" w:eastAsia="宋体" w:cs="Times New Roman"/>
          <w:color w:val="auto"/>
          <w:sz w:val="24"/>
          <w:szCs w:val="24"/>
          <w:shd w:val="clear" w:color="auto" w:fill="auto"/>
          <w:lang w:val="en-US" w:eastAsia="zh-CN"/>
        </w:rPr>
      </w:pPr>
      <w:r>
        <w:rPr>
          <w:rFonts w:hint="eastAsia" w:ascii="Times New Roman" w:hAnsi="Times New Roman" w:eastAsia="宋体" w:cs="Times New Roman"/>
          <w:color w:val="auto"/>
          <w:sz w:val="24"/>
          <w:szCs w:val="24"/>
          <w:shd w:val="clear" w:color="auto" w:fill="auto"/>
          <w:lang w:val="en-US" w:eastAsia="zh-CN"/>
        </w:rPr>
        <w:t>本项目</w:t>
      </w:r>
      <w:r>
        <w:rPr>
          <w:rFonts w:hint="eastAsia" w:ascii="Times New Roman" w:hAnsi="Times New Roman" w:eastAsia="宋体" w:cs="Times New Roman"/>
          <w:color w:val="auto"/>
          <w:sz w:val="24"/>
          <w:szCs w:val="24"/>
          <w:shd w:val="clear" w:color="auto" w:fill="auto"/>
          <w:lang w:val="en-US" w:eastAsia="zh-CN" w:bidi="ar-SA"/>
        </w:rPr>
        <w:t>除</w:t>
      </w:r>
      <w:r>
        <w:rPr>
          <w:rFonts w:hint="eastAsia" w:ascii="Times New Roman" w:hAnsi="Times New Roman" w:cs="Times New Roman"/>
          <w:color w:val="auto"/>
          <w:sz w:val="24"/>
          <w:szCs w:val="24"/>
          <w:shd w:val="clear" w:color="auto" w:fill="auto"/>
          <w:lang w:val="en-US" w:eastAsia="zh-CN" w:bidi="ar-SA"/>
        </w:rPr>
        <w:t>弃</w:t>
      </w:r>
      <w:r>
        <w:rPr>
          <w:rFonts w:hint="eastAsia" w:ascii="Times New Roman" w:hAnsi="Times New Roman" w:eastAsia="宋体" w:cs="Times New Roman"/>
          <w:color w:val="auto"/>
          <w:sz w:val="24"/>
          <w:szCs w:val="24"/>
          <w:shd w:val="clear" w:color="auto" w:fill="auto"/>
          <w:lang w:val="en-US" w:eastAsia="zh-CN" w:bidi="ar-SA"/>
        </w:rPr>
        <w:t>土场</w:t>
      </w:r>
      <w:r>
        <w:rPr>
          <w:rFonts w:hint="eastAsia" w:ascii="Times New Roman" w:hAnsi="Times New Roman" w:cs="Times New Roman"/>
          <w:color w:val="auto"/>
          <w:sz w:val="24"/>
          <w:szCs w:val="24"/>
          <w:shd w:val="clear" w:color="auto" w:fill="auto"/>
          <w:lang w:val="en-US" w:eastAsia="zh-CN" w:bidi="ar-SA"/>
        </w:rPr>
        <w:t>区</w:t>
      </w:r>
      <w:r>
        <w:rPr>
          <w:rFonts w:hint="eastAsia" w:ascii="Times New Roman" w:hAnsi="Times New Roman" w:eastAsia="宋体" w:cs="Times New Roman"/>
          <w:color w:val="auto"/>
          <w:sz w:val="24"/>
          <w:szCs w:val="24"/>
          <w:shd w:val="clear" w:color="auto" w:fill="auto"/>
          <w:lang w:val="en-US" w:eastAsia="zh-CN" w:bidi="ar-SA"/>
        </w:rPr>
        <w:t>外，施工期占用的施工便道、施工</w:t>
      </w:r>
      <w:r>
        <w:rPr>
          <w:rFonts w:hint="eastAsia" w:ascii="Times New Roman" w:hAnsi="Times New Roman" w:cs="Times New Roman"/>
          <w:color w:val="auto"/>
          <w:sz w:val="24"/>
          <w:szCs w:val="24"/>
          <w:shd w:val="clear" w:color="auto" w:fill="auto"/>
          <w:lang w:val="en-US" w:eastAsia="zh-CN" w:bidi="ar-SA"/>
        </w:rPr>
        <w:t>营地、物料堆场</w:t>
      </w:r>
      <w:r>
        <w:rPr>
          <w:rFonts w:hint="eastAsia" w:ascii="Times New Roman" w:hAnsi="Times New Roman" w:eastAsia="宋体" w:cs="Times New Roman"/>
          <w:color w:val="auto"/>
          <w:sz w:val="24"/>
          <w:szCs w:val="24"/>
          <w:shd w:val="clear" w:color="auto" w:fill="auto"/>
          <w:lang w:val="en-US" w:eastAsia="zh-CN" w:bidi="ar-SA"/>
        </w:rPr>
        <w:t>等临时用地</w:t>
      </w:r>
      <w:r>
        <w:rPr>
          <w:rFonts w:hint="eastAsia" w:ascii="Times New Roman" w:hAnsi="Times New Roman" w:eastAsia="宋体" w:cs="Times New Roman"/>
          <w:color w:val="auto"/>
          <w:sz w:val="24"/>
          <w:szCs w:val="24"/>
          <w:shd w:val="clear" w:color="auto" w:fill="auto"/>
          <w:lang w:val="en-US" w:eastAsia="zh-CN"/>
        </w:rPr>
        <w:t>均位于项目永久占地内。施工结束后，</w:t>
      </w:r>
      <w:r>
        <w:rPr>
          <w:rFonts w:hint="eastAsia" w:cs="Times New Roman"/>
          <w:color w:val="auto"/>
          <w:sz w:val="24"/>
          <w:szCs w:val="24"/>
          <w:shd w:val="clear" w:color="auto" w:fill="auto"/>
          <w:lang w:val="en-US" w:eastAsia="zh-CN"/>
        </w:rPr>
        <w:t>应</w:t>
      </w:r>
      <w:r>
        <w:rPr>
          <w:rFonts w:hint="eastAsia" w:ascii="Times New Roman" w:hAnsi="Times New Roman" w:eastAsia="宋体" w:cs="Times New Roman"/>
          <w:color w:val="auto"/>
          <w:sz w:val="24"/>
          <w:szCs w:val="24"/>
          <w:shd w:val="clear" w:color="auto" w:fill="auto"/>
          <w:lang w:val="en-US" w:eastAsia="zh-CN"/>
        </w:rPr>
        <w:t>按照今后用地的功能进行恢复。</w:t>
      </w:r>
    </w:p>
    <w:p>
      <w:pPr>
        <w:rPr>
          <w:color w:val="auto"/>
          <w:shd w:val="clear" w:color="auto" w:fill="auto"/>
        </w:rPr>
      </w:pPr>
      <w:r>
        <w:rPr>
          <w:rFonts w:hint="eastAsia" w:ascii="Times New Roman" w:hAnsi="Times New Roman" w:cs="Times New Roman"/>
          <w:color w:val="auto"/>
          <w:sz w:val="24"/>
          <w:szCs w:val="24"/>
          <w:shd w:val="clear" w:color="auto" w:fill="auto"/>
          <w:lang w:val="en-US" w:eastAsia="zh-CN" w:bidi="ar-SA"/>
        </w:rPr>
        <w:t>本项目弃</w:t>
      </w:r>
      <w:r>
        <w:rPr>
          <w:rFonts w:hint="eastAsia" w:ascii="Times New Roman" w:hAnsi="Times New Roman" w:eastAsia="宋体" w:cs="Times New Roman"/>
          <w:color w:val="auto"/>
          <w:sz w:val="24"/>
          <w:szCs w:val="24"/>
          <w:shd w:val="clear" w:color="auto" w:fill="auto"/>
          <w:lang w:val="en-US" w:eastAsia="zh-CN" w:bidi="ar-SA"/>
        </w:rPr>
        <w:t>土场</w:t>
      </w:r>
      <w:r>
        <w:rPr>
          <w:rFonts w:hint="eastAsia" w:ascii="Times New Roman" w:hAnsi="Times New Roman" w:cs="Times New Roman"/>
          <w:color w:val="auto"/>
          <w:sz w:val="24"/>
          <w:szCs w:val="24"/>
          <w:shd w:val="clear" w:color="auto" w:fill="auto"/>
          <w:lang w:val="en-US" w:eastAsia="zh-CN" w:bidi="ar-SA"/>
        </w:rPr>
        <w:t>区属于临时用地，其</w:t>
      </w:r>
      <w:r>
        <w:rPr>
          <w:color w:val="auto"/>
          <w:shd w:val="clear" w:color="auto" w:fill="auto"/>
        </w:rPr>
        <w:t>现状</w:t>
      </w:r>
      <w:r>
        <w:rPr>
          <w:rFonts w:hint="eastAsia"/>
          <w:color w:val="auto"/>
          <w:shd w:val="clear" w:color="auto" w:fill="auto"/>
        </w:rPr>
        <w:t>为坑塘水面</w:t>
      </w:r>
      <w:r>
        <w:rPr>
          <w:rFonts w:hint="eastAsia"/>
          <w:color w:val="auto"/>
          <w:shd w:val="clear" w:color="auto" w:fill="auto"/>
          <w:lang w:eastAsia="zh-CN"/>
        </w:rPr>
        <w:t>。</w:t>
      </w:r>
      <w:r>
        <w:rPr>
          <w:rFonts w:hint="eastAsia"/>
          <w:color w:val="auto"/>
          <w:shd w:val="clear" w:color="auto" w:fill="auto"/>
        </w:rPr>
        <w:t>本</w:t>
      </w:r>
      <w:r>
        <w:rPr>
          <w:rFonts w:hint="eastAsia"/>
          <w:color w:val="auto"/>
          <w:shd w:val="clear" w:color="auto" w:fill="auto"/>
          <w:lang w:val="en-US" w:eastAsia="zh-CN"/>
        </w:rPr>
        <w:t>评价</w:t>
      </w:r>
      <w:r>
        <w:rPr>
          <w:rFonts w:hint="eastAsia"/>
          <w:color w:val="auto"/>
          <w:shd w:val="clear" w:color="auto" w:fill="auto"/>
        </w:rPr>
        <w:t>建议弃土结束后将弃土场区整体复</w:t>
      </w:r>
      <w:r>
        <w:rPr>
          <w:rFonts w:hint="eastAsia"/>
          <w:color w:val="auto"/>
          <w:shd w:val="clear" w:color="auto" w:fill="auto"/>
          <w:lang w:eastAsia="zh-CN"/>
        </w:rPr>
        <w:t>绿</w:t>
      </w:r>
      <w:r>
        <w:rPr>
          <w:color w:val="auto"/>
          <w:shd w:val="clear" w:color="auto" w:fill="auto"/>
        </w:rPr>
        <w:t>。待弃土结束后，将</w:t>
      </w:r>
      <w:r>
        <w:rPr>
          <w:rFonts w:hint="eastAsia"/>
          <w:color w:val="auto"/>
          <w:shd w:val="clear" w:color="auto" w:fill="auto"/>
        </w:rPr>
        <w:t>后方陆域区剥离表土全部</w:t>
      </w:r>
      <w:r>
        <w:rPr>
          <w:color w:val="auto"/>
          <w:shd w:val="clear" w:color="auto" w:fill="auto"/>
        </w:rPr>
        <w:t>回覆至弃土</w:t>
      </w:r>
      <w:r>
        <w:rPr>
          <w:rFonts w:hint="eastAsia"/>
          <w:color w:val="auto"/>
          <w:shd w:val="clear" w:color="auto" w:fill="auto"/>
        </w:rPr>
        <w:t>场</w:t>
      </w:r>
      <w:r>
        <w:rPr>
          <w:color w:val="auto"/>
          <w:shd w:val="clear" w:color="auto" w:fill="auto"/>
        </w:rPr>
        <w:t>区表层，进行土地整治，使其土质能够满足</w:t>
      </w:r>
      <w:r>
        <w:rPr>
          <w:rFonts w:hint="eastAsia"/>
          <w:color w:val="auto"/>
          <w:shd w:val="clear" w:color="auto" w:fill="auto"/>
        </w:rPr>
        <w:t>复</w:t>
      </w:r>
      <w:r>
        <w:rPr>
          <w:rFonts w:hint="eastAsia"/>
          <w:color w:val="auto"/>
          <w:shd w:val="clear" w:color="auto" w:fill="auto"/>
          <w:lang w:eastAsia="zh-CN"/>
        </w:rPr>
        <w:t>绿</w:t>
      </w:r>
      <w:r>
        <w:rPr>
          <w:color w:val="auto"/>
          <w:shd w:val="clear" w:color="auto" w:fill="auto"/>
        </w:rPr>
        <w:t>的基本要求。</w:t>
      </w:r>
    </w:p>
    <w:p>
      <w:pPr>
        <w:pStyle w:val="4"/>
        <w:spacing w:before="156" w:after="156"/>
        <w:rPr>
          <w:color w:val="auto"/>
          <w:shd w:val="clear" w:color="auto" w:fill="auto"/>
        </w:rPr>
      </w:pPr>
      <w:bookmarkStart w:id="394" w:name="_Toc21956_WPSOffice_Level2"/>
      <w:bookmarkStart w:id="395" w:name="_Toc20538_WPSOffice_Level2"/>
      <w:bookmarkStart w:id="396" w:name="_Toc11957"/>
      <w:r>
        <w:rPr>
          <w:rFonts w:hint="eastAsia"/>
          <w:color w:val="auto"/>
          <w:shd w:val="clear" w:color="auto" w:fill="auto"/>
          <w:lang w:val="en-US" w:eastAsia="zh-CN"/>
        </w:rPr>
        <w:t>6</w:t>
      </w:r>
      <w:r>
        <w:rPr>
          <w:rFonts w:hint="eastAsia"/>
          <w:color w:val="auto"/>
          <w:shd w:val="clear" w:color="auto" w:fill="auto"/>
        </w:rPr>
        <w:t>.2 营运期环境保护措施</w:t>
      </w:r>
      <w:bookmarkEnd w:id="394"/>
      <w:bookmarkEnd w:id="395"/>
      <w:bookmarkEnd w:id="396"/>
    </w:p>
    <w:p>
      <w:pPr>
        <w:pStyle w:val="5"/>
        <w:rPr>
          <w:color w:val="auto"/>
          <w:shd w:val="clear" w:color="auto" w:fill="auto"/>
        </w:rPr>
      </w:pPr>
      <w:r>
        <w:rPr>
          <w:rFonts w:hint="eastAsia"/>
          <w:color w:val="auto"/>
          <w:shd w:val="clear" w:color="auto" w:fill="auto"/>
          <w:lang w:val="en-US" w:eastAsia="zh-CN"/>
        </w:rPr>
        <w:t>6</w:t>
      </w:r>
      <w:r>
        <w:rPr>
          <w:rFonts w:hint="eastAsia"/>
          <w:color w:val="auto"/>
          <w:shd w:val="clear" w:color="auto" w:fill="auto"/>
        </w:rPr>
        <w:t>.2.1 营运期大气环境保护措施</w:t>
      </w:r>
    </w:p>
    <w:p>
      <w:pPr>
        <w:ind w:firstLine="480"/>
        <w:rPr>
          <w:color w:val="auto"/>
          <w:shd w:val="clear" w:color="auto" w:fill="auto"/>
        </w:rPr>
      </w:pPr>
      <w:r>
        <w:rPr>
          <w:color w:val="auto"/>
          <w:shd w:val="clear" w:color="auto" w:fill="auto"/>
        </w:rPr>
        <w:t>工程营运期间码头大气污染物排放量较少，对大气环境的影响不明显。但为保证环境空气的质量，应采取如下措施：</w:t>
      </w:r>
    </w:p>
    <w:p>
      <w:pPr>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1</w:t>
      </w:r>
      <w:r>
        <w:rPr>
          <w:rFonts w:hint="eastAsia"/>
          <w:color w:val="auto"/>
          <w:shd w:val="clear" w:color="auto" w:fill="auto"/>
        </w:rPr>
        <w:t>）</w:t>
      </w:r>
      <w:r>
        <w:rPr>
          <w:color w:val="auto"/>
          <w:shd w:val="clear" w:color="auto" w:fill="auto"/>
        </w:rPr>
        <w:t>本项目散货为</w:t>
      </w:r>
      <w:r>
        <w:rPr>
          <w:rFonts w:hint="eastAsia"/>
          <w:color w:val="auto"/>
          <w:shd w:val="clear" w:color="auto" w:fill="auto"/>
        </w:rPr>
        <w:t>矿建材料（</w:t>
      </w:r>
      <w:r>
        <w:rPr>
          <w:rFonts w:hint="eastAsia"/>
          <w:color w:val="auto"/>
          <w:shd w:val="clear" w:color="auto" w:fill="auto"/>
          <w:lang w:eastAsia="zh-CN"/>
        </w:rPr>
        <w:t>黄砂</w:t>
      </w:r>
      <w:r>
        <w:rPr>
          <w:rFonts w:hint="eastAsia"/>
          <w:color w:val="auto"/>
          <w:shd w:val="clear" w:color="auto" w:fill="auto"/>
        </w:rPr>
        <w:t>、碎石）</w:t>
      </w:r>
      <w:r>
        <w:rPr>
          <w:color w:val="auto"/>
          <w:shd w:val="clear" w:color="auto" w:fill="auto"/>
        </w:rPr>
        <w:t>，起尘量较小，容易起尘的过程主要为装卸过程和干燥大风天</w:t>
      </w:r>
      <w:r>
        <w:rPr>
          <w:rFonts w:hint="eastAsia" w:ascii="Times New Roman" w:hAnsi="Times New Roman" w:cs="Times New Roman"/>
          <w:color w:val="auto"/>
          <w:shd w:val="clear" w:color="auto" w:fill="auto"/>
        </w:rPr>
        <w:t>气，</w:t>
      </w:r>
      <w:r>
        <w:rPr>
          <w:rFonts w:hint="eastAsia" w:ascii="Times New Roman" w:hAnsi="Times New Roman" w:cs="Times New Roman"/>
          <w:color w:val="auto"/>
          <w:shd w:val="clear" w:color="auto" w:fill="auto"/>
          <w:lang w:eastAsia="zh-CN"/>
        </w:rPr>
        <w:t>要求</w:t>
      </w:r>
      <w:r>
        <w:rPr>
          <w:rFonts w:hint="default" w:ascii="Times New Roman" w:hAnsi="Times New Roman" w:cs="Times New Roman"/>
          <w:color w:val="auto"/>
          <w:shd w:val="clear" w:color="auto" w:fill="auto"/>
        </w:rPr>
        <w:t>装卸作业点设置喷雾抑尘装置，减少粉尘对大气的污染及对周边村民的影响。</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w:t>
      </w:r>
      <w:r>
        <w:rPr>
          <w:color w:val="auto"/>
          <w:shd w:val="clear" w:color="auto" w:fill="auto"/>
        </w:rPr>
        <w:t>设备选型时应优先选择废气排放量少的环保型高效装卸机械和运输车辆。</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3</w:t>
      </w:r>
      <w:r>
        <w:rPr>
          <w:rFonts w:hint="eastAsia"/>
          <w:color w:val="auto"/>
          <w:shd w:val="clear" w:color="auto" w:fill="auto"/>
        </w:rPr>
        <w:t>）</w:t>
      </w:r>
      <w:r>
        <w:rPr>
          <w:color w:val="auto"/>
          <w:shd w:val="clear" w:color="auto" w:fill="auto"/>
        </w:rPr>
        <w:t>加强机械、车辆的保养、维修，使其保持正常运行，减少污染物的排放。</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4</w:t>
      </w:r>
      <w:r>
        <w:rPr>
          <w:rFonts w:hint="eastAsia"/>
          <w:color w:val="auto"/>
          <w:shd w:val="clear" w:color="auto" w:fill="auto"/>
        </w:rPr>
        <w:t>）</w:t>
      </w:r>
      <w:r>
        <w:rPr>
          <w:color w:val="auto"/>
          <w:shd w:val="clear" w:color="auto" w:fill="auto"/>
        </w:rPr>
        <w:t>使用合格的燃料油，在燃柴油机械的燃料油中添加助燃剂，使其充分燃烧，减少尾气中污染物的排放量。</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5</w:t>
      </w:r>
      <w:r>
        <w:rPr>
          <w:rFonts w:hint="eastAsia"/>
          <w:color w:val="auto"/>
          <w:shd w:val="clear" w:color="auto" w:fill="auto"/>
        </w:rPr>
        <w:t>）</w:t>
      </w:r>
      <w:r>
        <w:rPr>
          <w:color w:val="auto"/>
          <w:shd w:val="clear" w:color="auto" w:fill="auto"/>
        </w:rPr>
        <w:t>疏导好场内交通，减少机械、车辆的怠速行驶时间，以减少污染物的排放。</w:t>
      </w:r>
    </w:p>
    <w:p>
      <w:pPr>
        <w:ind w:firstLine="480"/>
        <w:rPr>
          <w:rFonts w:hint="eastAsia" w:eastAsia="宋体"/>
          <w:color w:val="auto"/>
          <w:shd w:val="clear" w:color="auto" w:fill="auto"/>
          <w:lang w:eastAsia="zh-CN"/>
        </w:rPr>
      </w:pPr>
      <w:r>
        <w:rPr>
          <w:rFonts w:hint="eastAsia"/>
          <w:color w:val="auto"/>
          <w:shd w:val="clear" w:color="auto" w:fill="auto"/>
        </w:rPr>
        <w:t>（</w:t>
      </w:r>
      <w:r>
        <w:rPr>
          <w:rFonts w:hint="eastAsia"/>
          <w:color w:val="auto"/>
          <w:shd w:val="clear" w:color="auto" w:fill="auto"/>
          <w:lang w:val="en-US" w:eastAsia="zh-CN"/>
        </w:rPr>
        <w:t>6</w:t>
      </w:r>
      <w:r>
        <w:rPr>
          <w:rFonts w:hint="eastAsia"/>
          <w:color w:val="auto"/>
          <w:shd w:val="clear" w:color="auto" w:fill="auto"/>
        </w:rPr>
        <w:t>）港区内</w:t>
      </w:r>
      <w:r>
        <w:rPr>
          <w:rFonts w:hint="eastAsia"/>
          <w:color w:val="auto"/>
          <w:shd w:val="clear" w:color="auto" w:fill="auto"/>
          <w:lang w:val="en-US" w:eastAsia="zh-CN"/>
        </w:rPr>
        <w:t>运输道路需硬化，</w:t>
      </w:r>
      <w:r>
        <w:rPr>
          <w:color w:val="auto"/>
          <w:shd w:val="clear" w:color="auto" w:fill="auto"/>
        </w:rPr>
        <w:t>对道路、码头平台等处要及时清扫，配套洒水车</w:t>
      </w:r>
      <w:r>
        <w:rPr>
          <w:rFonts w:hint="eastAsia"/>
          <w:color w:val="auto"/>
          <w:shd w:val="clear" w:color="auto" w:fill="auto"/>
          <w:lang w:eastAsia="zh-CN"/>
        </w:rPr>
        <w:t>，</w:t>
      </w:r>
      <w:r>
        <w:rPr>
          <w:color w:val="auto"/>
          <w:shd w:val="clear" w:color="auto" w:fill="auto"/>
        </w:rPr>
        <w:t>及时喷洒，减少车辆扬尘</w:t>
      </w:r>
      <w:r>
        <w:rPr>
          <w:rFonts w:hint="eastAsia"/>
          <w:color w:val="auto"/>
          <w:shd w:val="clear" w:color="auto" w:fill="auto"/>
          <w:lang w:eastAsia="zh-CN"/>
        </w:rPr>
        <w:t>。</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7</w:t>
      </w:r>
      <w:r>
        <w:rPr>
          <w:rFonts w:hint="eastAsia"/>
          <w:color w:val="auto"/>
          <w:shd w:val="clear" w:color="auto" w:fill="auto"/>
        </w:rPr>
        <w:t>）</w:t>
      </w:r>
      <w:r>
        <w:rPr>
          <w:color w:val="auto"/>
          <w:shd w:val="clear" w:color="auto" w:fill="auto"/>
        </w:rPr>
        <w:t>港区外围及空地种植高大乔木，充分绿化，发挥绿化植物吸烟滞尘和美化环境的作用。</w:t>
      </w:r>
    </w:p>
    <w:p>
      <w:pPr>
        <w:pStyle w:val="5"/>
        <w:rPr>
          <w:color w:val="auto"/>
          <w:highlight w:val="none"/>
          <w:shd w:val="clear" w:color="auto" w:fill="auto"/>
        </w:rPr>
      </w:pPr>
      <w:r>
        <w:rPr>
          <w:rFonts w:hint="eastAsia"/>
          <w:color w:val="auto"/>
          <w:highlight w:val="none"/>
          <w:shd w:val="clear" w:color="auto" w:fill="auto"/>
          <w:lang w:val="en-US" w:eastAsia="zh-CN"/>
        </w:rPr>
        <w:t>6</w:t>
      </w:r>
      <w:r>
        <w:rPr>
          <w:rFonts w:hint="eastAsia"/>
          <w:color w:val="auto"/>
          <w:highlight w:val="none"/>
          <w:shd w:val="clear" w:color="auto" w:fill="auto"/>
        </w:rPr>
        <w:t>.2.2 营运期地表水环境保护措施</w:t>
      </w:r>
    </w:p>
    <w:p>
      <w:pPr>
        <w:pStyle w:val="6"/>
        <w:rPr>
          <w:rFonts w:hint="eastAsia"/>
          <w:color w:val="auto"/>
          <w:shd w:val="clear" w:color="auto" w:fill="auto"/>
        </w:rPr>
      </w:pPr>
      <w:r>
        <w:rPr>
          <w:rFonts w:hint="eastAsia"/>
          <w:color w:val="auto"/>
          <w:shd w:val="clear" w:color="auto" w:fill="auto"/>
          <w:lang w:val="en-US" w:eastAsia="zh-CN"/>
        </w:rPr>
        <w:t>6</w:t>
      </w:r>
      <w:r>
        <w:rPr>
          <w:rFonts w:hint="eastAsia"/>
          <w:color w:val="auto"/>
          <w:shd w:val="clear" w:color="auto" w:fill="auto"/>
        </w:rPr>
        <w:t>.2.2.1 港区</w:t>
      </w:r>
      <w:r>
        <w:rPr>
          <w:rFonts w:hint="eastAsia"/>
          <w:color w:val="auto"/>
          <w:shd w:val="clear" w:color="auto" w:fill="auto"/>
          <w:lang w:eastAsia="zh-CN"/>
        </w:rPr>
        <w:t>、</w:t>
      </w:r>
      <w:r>
        <w:rPr>
          <w:rFonts w:hint="eastAsia"/>
          <w:color w:val="auto"/>
          <w:shd w:val="clear" w:color="auto" w:fill="auto"/>
          <w:lang w:val="en-US" w:eastAsia="zh-CN"/>
        </w:rPr>
        <w:t>陆域</w:t>
      </w:r>
      <w:r>
        <w:rPr>
          <w:rFonts w:hint="eastAsia"/>
          <w:color w:val="auto"/>
          <w:shd w:val="clear" w:color="auto" w:fill="auto"/>
        </w:rPr>
        <w:t>生活污水</w:t>
      </w:r>
    </w:p>
    <w:p>
      <w:pPr>
        <w:ind w:firstLine="480"/>
        <w:rPr>
          <w:color w:val="auto"/>
          <w:shd w:val="clear" w:color="auto" w:fill="auto"/>
        </w:rPr>
      </w:pPr>
      <w:r>
        <w:rPr>
          <w:rFonts w:hint="eastAsia"/>
          <w:color w:val="auto"/>
          <w:shd w:val="clear" w:color="auto" w:fill="auto"/>
        </w:rPr>
        <w:t>港区</w:t>
      </w:r>
      <w:r>
        <w:rPr>
          <w:rFonts w:hint="eastAsia"/>
          <w:color w:val="auto"/>
          <w:shd w:val="clear" w:color="auto" w:fill="auto"/>
          <w:lang w:eastAsia="zh-CN"/>
        </w:rPr>
        <w:t>、</w:t>
      </w:r>
      <w:r>
        <w:rPr>
          <w:rFonts w:hint="eastAsia"/>
          <w:color w:val="auto"/>
          <w:shd w:val="clear" w:color="auto" w:fill="auto"/>
          <w:lang w:val="en-US" w:eastAsia="zh-CN"/>
        </w:rPr>
        <w:t>陆域</w:t>
      </w:r>
      <w:r>
        <w:rPr>
          <w:rFonts w:hint="eastAsia"/>
          <w:color w:val="auto"/>
          <w:shd w:val="clear" w:color="auto" w:fill="auto"/>
        </w:rPr>
        <w:t>生活污水发生量为</w:t>
      </w:r>
      <w:r>
        <w:rPr>
          <w:rFonts w:hint="eastAsia"/>
          <w:color w:val="auto"/>
          <w:shd w:val="clear" w:color="auto" w:fill="auto"/>
          <w:lang w:val="en-US" w:eastAsia="zh-CN"/>
        </w:rPr>
        <w:t>553</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/a，主要污染因子为COD、BOD</w:t>
      </w:r>
      <w:r>
        <w:rPr>
          <w:rFonts w:hint="eastAsia"/>
          <w:color w:val="auto"/>
          <w:shd w:val="clear" w:color="auto" w:fill="auto"/>
          <w:vertAlign w:val="subscript"/>
        </w:rPr>
        <w:t>5</w:t>
      </w:r>
      <w:r>
        <w:rPr>
          <w:rFonts w:hint="eastAsia"/>
          <w:color w:val="auto"/>
          <w:shd w:val="clear" w:color="auto" w:fill="auto"/>
        </w:rPr>
        <w:t>、NH</w:t>
      </w:r>
      <w:r>
        <w:rPr>
          <w:rFonts w:hint="eastAsia"/>
          <w:color w:val="auto"/>
          <w:shd w:val="clear" w:color="auto" w:fill="auto"/>
          <w:vertAlign w:val="subscript"/>
        </w:rPr>
        <w:t>3</w:t>
      </w:r>
      <w:r>
        <w:rPr>
          <w:rFonts w:hint="eastAsia"/>
          <w:color w:val="auto"/>
          <w:shd w:val="clear" w:color="auto" w:fill="auto"/>
        </w:rPr>
        <w:t>-N和</w:t>
      </w:r>
      <w:r>
        <w:rPr>
          <w:color w:val="auto"/>
          <w:shd w:val="clear" w:color="auto" w:fill="auto"/>
        </w:rPr>
        <w:t>S</w:t>
      </w:r>
      <w:r>
        <w:rPr>
          <w:rFonts w:hint="eastAsia"/>
          <w:color w:val="auto"/>
          <w:shd w:val="clear" w:color="auto" w:fill="auto"/>
        </w:rPr>
        <w:t>S等，港区污水由移动厕所收集储存，定期由清掏车外运至相关接收处理单位。</w:t>
      </w:r>
    </w:p>
    <w:p>
      <w:pPr>
        <w:pStyle w:val="6"/>
        <w:rPr>
          <w:rFonts w:hint="eastAsia"/>
          <w:color w:val="auto"/>
          <w:shd w:val="clear" w:color="auto" w:fill="auto"/>
          <w:lang w:val="en-US" w:eastAsia="zh-CN"/>
        </w:rPr>
      </w:pPr>
      <w:r>
        <w:rPr>
          <w:rFonts w:hint="eastAsia"/>
          <w:color w:val="auto"/>
          <w:shd w:val="clear" w:color="auto" w:fill="auto"/>
          <w:lang w:val="en-US" w:eastAsia="zh-CN"/>
        </w:rPr>
        <w:t>6.2.2.2 流动机械冲洗废水</w:t>
      </w:r>
    </w:p>
    <w:p>
      <w:pPr>
        <w:pStyle w:val="2"/>
        <w:ind w:firstLine="480"/>
        <w:rPr>
          <w:color w:val="auto"/>
          <w:shd w:val="clear" w:color="auto" w:fill="auto"/>
        </w:rPr>
      </w:pPr>
      <w:r>
        <w:rPr>
          <w:rFonts w:hint="eastAsia"/>
          <w:color w:val="auto"/>
          <w:shd w:val="clear" w:color="auto" w:fill="auto"/>
        </w:rPr>
        <w:t>运输车辆等流动机械冲洗废水产生量约</w:t>
      </w:r>
      <w:r>
        <w:rPr>
          <w:rFonts w:hint="eastAsia"/>
          <w:color w:val="auto"/>
          <w:shd w:val="clear" w:color="auto" w:fill="auto"/>
          <w:lang w:val="en-US" w:eastAsia="zh-CN"/>
        </w:rPr>
        <w:t>2110.08</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rFonts w:hint="eastAsia"/>
          <w:color w:val="auto"/>
          <w:shd w:val="clear" w:color="auto" w:fill="auto"/>
        </w:rPr>
        <w:t>/a，</w:t>
      </w:r>
      <w:r>
        <w:rPr>
          <w:color w:val="auto"/>
          <w:kern w:val="0"/>
          <w:szCs w:val="21"/>
          <w:shd w:val="clear" w:color="auto" w:fill="auto"/>
        </w:rPr>
        <w:t>主要污染物为SS和石油类，浓度分别为</w:t>
      </w:r>
      <w:r>
        <w:rPr>
          <w:rFonts w:hint="eastAsia"/>
          <w:color w:val="auto"/>
          <w:kern w:val="0"/>
          <w:szCs w:val="21"/>
          <w:shd w:val="clear" w:color="auto" w:fill="auto"/>
        </w:rPr>
        <w:t>200</w:t>
      </w:r>
      <w:r>
        <w:rPr>
          <w:rFonts w:hint="eastAsia"/>
          <w:color w:val="auto"/>
          <w:kern w:val="0"/>
          <w:szCs w:val="21"/>
          <w:shd w:val="clear" w:color="auto" w:fill="auto"/>
          <w:lang w:eastAsia="zh-CN"/>
        </w:rPr>
        <w:t>m</w:t>
      </w:r>
      <w:r>
        <w:rPr>
          <w:color w:val="auto"/>
          <w:kern w:val="0"/>
          <w:szCs w:val="21"/>
          <w:shd w:val="clear" w:color="auto" w:fill="auto"/>
        </w:rPr>
        <w:t>g/L和</w:t>
      </w:r>
      <w:r>
        <w:rPr>
          <w:rFonts w:hint="eastAsia"/>
          <w:color w:val="auto"/>
          <w:kern w:val="0"/>
          <w:szCs w:val="21"/>
          <w:shd w:val="clear" w:color="auto" w:fill="auto"/>
        </w:rPr>
        <w:t>50</w:t>
      </w:r>
      <w:r>
        <w:rPr>
          <w:rFonts w:hint="eastAsia"/>
          <w:color w:val="auto"/>
          <w:kern w:val="0"/>
          <w:szCs w:val="21"/>
          <w:shd w:val="clear" w:color="auto" w:fill="auto"/>
          <w:lang w:eastAsia="zh-CN"/>
        </w:rPr>
        <w:t>m</w:t>
      </w:r>
      <w:r>
        <w:rPr>
          <w:color w:val="auto"/>
          <w:kern w:val="0"/>
          <w:szCs w:val="21"/>
          <w:shd w:val="clear" w:color="auto" w:fill="auto"/>
        </w:rPr>
        <w:t>g/L</w:t>
      </w:r>
      <w:r>
        <w:rPr>
          <w:rFonts w:hint="eastAsia"/>
          <w:color w:val="auto"/>
          <w:shd w:val="clear" w:color="auto" w:fill="auto"/>
        </w:rPr>
        <w:t>。</w:t>
      </w:r>
    </w:p>
    <w:p>
      <w:pPr>
        <w:ind w:firstLine="480"/>
        <w:rPr>
          <w:rFonts w:hint="eastAsia"/>
          <w:color w:val="auto"/>
          <w:shd w:val="clear" w:color="auto" w:fill="auto"/>
          <w:lang w:val="en-US" w:eastAsia="zh-CN"/>
        </w:rPr>
      </w:pPr>
      <w:r>
        <w:rPr>
          <w:rFonts w:hint="eastAsia"/>
          <w:color w:val="auto"/>
          <w:shd w:val="clear" w:color="auto" w:fill="auto"/>
        </w:rPr>
        <w:t>流动机械冲洗废水</w:t>
      </w:r>
      <w:r>
        <w:rPr>
          <w:rFonts w:hAnsi="宋体"/>
          <w:color w:val="auto"/>
          <w:shd w:val="clear" w:color="auto" w:fill="auto"/>
        </w:rPr>
        <w:t>经</w:t>
      </w:r>
      <w:r>
        <w:rPr>
          <w:rFonts w:hint="eastAsia" w:hAnsi="宋体"/>
          <w:color w:val="auto"/>
          <w:shd w:val="clear" w:color="auto" w:fill="auto"/>
          <w:lang w:val="en-US" w:eastAsia="zh-CN"/>
        </w:rPr>
        <w:t>1个10</w:t>
      </w:r>
      <w:r>
        <w:rPr>
          <w:rFonts w:hint="eastAsia" w:hAnsi="宋体"/>
          <w:color w:val="auto"/>
          <w:shd w:val="clear" w:color="auto" w:fill="auto"/>
          <w:vertAlign w:val="baseline"/>
          <w:lang w:val="en-US" w:eastAsia="zh-CN"/>
        </w:rPr>
        <w:t>m</w:t>
      </w:r>
      <w:r>
        <w:rPr>
          <w:rFonts w:hint="eastAsia" w:hAnsi="宋体"/>
          <w:color w:val="auto"/>
          <w:shd w:val="clear" w:color="auto" w:fill="auto"/>
          <w:vertAlign w:val="superscript"/>
          <w:lang w:val="en-US" w:eastAsia="zh-CN"/>
        </w:rPr>
        <w:t>3</w:t>
      </w:r>
      <w:r>
        <w:rPr>
          <w:rFonts w:hAnsi="宋体"/>
          <w:color w:val="auto"/>
          <w:shd w:val="clear" w:color="auto" w:fill="auto"/>
        </w:rPr>
        <w:t>隔油沉淀池</w:t>
      </w:r>
      <w:r>
        <w:rPr>
          <w:rFonts w:hint="eastAsia" w:hAnsi="宋体"/>
          <w:color w:val="auto"/>
          <w:shd w:val="clear" w:color="auto" w:fill="auto"/>
          <w:lang w:val="en-US" w:eastAsia="zh-CN"/>
        </w:rPr>
        <w:t>处理</w:t>
      </w:r>
      <w:r>
        <w:rPr>
          <w:rFonts w:hAnsi="宋体"/>
          <w:color w:val="auto"/>
          <w:shd w:val="clear" w:color="auto" w:fill="auto"/>
        </w:rPr>
        <w:t>后</w:t>
      </w:r>
      <w:r>
        <w:rPr>
          <w:rFonts w:hint="eastAsia" w:hAnsi="宋体"/>
          <w:color w:val="auto"/>
          <w:shd w:val="clear" w:color="auto" w:fill="auto"/>
        </w:rPr>
        <w:t>，</w:t>
      </w:r>
      <w:r>
        <w:rPr>
          <w:rFonts w:hint="eastAsia" w:hAnsi="宋体"/>
          <w:color w:val="auto"/>
          <w:shd w:val="clear" w:color="auto" w:fill="auto"/>
          <w:lang w:eastAsia="zh-CN"/>
        </w:rPr>
        <w:t>循环使用</w:t>
      </w:r>
      <w:r>
        <w:rPr>
          <w:rFonts w:hint="eastAsia" w:hAnsi="宋体"/>
          <w:color w:val="auto"/>
          <w:shd w:val="clear" w:color="auto" w:fill="auto"/>
        </w:rPr>
        <w:t>，</w:t>
      </w:r>
      <w:r>
        <w:rPr>
          <w:rFonts w:hint="eastAsia" w:hAnsi="宋体"/>
          <w:color w:val="auto"/>
          <w:shd w:val="clear" w:color="auto" w:fill="auto"/>
          <w:lang w:eastAsia="zh-CN"/>
        </w:rPr>
        <w:t>不外排</w:t>
      </w:r>
      <w:r>
        <w:rPr>
          <w:rFonts w:hAnsi="宋体"/>
          <w:color w:val="auto"/>
          <w:shd w:val="clear" w:color="auto" w:fill="auto"/>
        </w:rPr>
        <w:t>。</w:t>
      </w:r>
    </w:p>
    <w:p>
      <w:pPr>
        <w:pStyle w:val="6"/>
        <w:rPr>
          <w:rFonts w:hint="eastAsia"/>
          <w:color w:val="auto"/>
          <w:shd w:val="clear" w:color="auto" w:fill="auto"/>
        </w:rPr>
      </w:pPr>
      <w:r>
        <w:rPr>
          <w:rFonts w:hint="eastAsia"/>
          <w:color w:val="auto"/>
          <w:shd w:val="clear" w:color="auto" w:fill="auto"/>
          <w:lang w:val="en-US" w:eastAsia="zh-CN"/>
        </w:rPr>
        <w:t>6.</w:t>
      </w:r>
      <w:r>
        <w:rPr>
          <w:rFonts w:hint="eastAsia"/>
          <w:color w:val="auto"/>
          <w:shd w:val="clear" w:color="auto" w:fill="auto"/>
        </w:rPr>
        <w:t>2.2.</w:t>
      </w:r>
      <w:r>
        <w:rPr>
          <w:rFonts w:hint="eastAsia"/>
          <w:color w:val="auto"/>
          <w:shd w:val="clear" w:color="auto" w:fill="auto"/>
          <w:lang w:val="en-US" w:eastAsia="zh-CN"/>
        </w:rPr>
        <w:t>3</w:t>
      </w:r>
      <w:r>
        <w:rPr>
          <w:rFonts w:hint="eastAsia"/>
          <w:color w:val="auto"/>
          <w:shd w:val="clear" w:color="auto" w:fill="auto"/>
        </w:rPr>
        <w:t xml:space="preserve"> 码头面冲洗水、初期雨水</w:t>
      </w:r>
    </w:p>
    <w:p>
      <w:pPr>
        <w:ind w:firstLine="480"/>
        <w:rPr>
          <w:color w:val="auto"/>
          <w:shd w:val="clear" w:color="auto" w:fill="auto"/>
        </w:rPr>
      </w:pPr>
      <w:r>
        <w:rPr>
          <w:rFonts w:hint="eastAsia"/>
          <w:color w:val="auto"/>
          <w:shd w:val="clear" w:color="auto" w:fill="auto"/>
        </w:rPr>
        <w:t>本项目码头装卸作业过程中，在码头平台洒落有少量粉尘，清扫后对码头面进行冲洗，产生冲洗废水量约为</w:t>
      </w:r>
      <w:r>
        <w:rPr>
          <w:rFonts w:hint="eastAsia"/>
          <w:color w:val="auto"/>
          <w:shd w:val="clear" w:color="auto" w:fill="auto"/>
          <w:lang w:val="en-US" w:eastAsia="zh-CN"/>
        </w:rPr>
        <w:t>5592.67</w:t>
      </w:r>
      <w:r>
        <w:rPr>
          <w:rFonts w:hint="eastAsia"/>
          <w:color w:val="auto"/>
          <w:shd w:val="clear" w:color="auto" w:fill="auto"/>
          <w:vertAlign w:val="baseline"/>
          <w:lang w:eastAsia="zh-CN"/>
        </w:rPr>
        <w:t>m</w:t>
      </w:r>
      <w:r>
        <w:rPr>
          <w:rFonts w:hint="eastAsia"/>
          <w:color w:val="auto"/>
          <w:shd w:val="clear" w:color="auto" w:fill="auto"/>
          <w:vertAlign w:val="superscript"/>
          <w:lang w:eastAsia="zh-CN"/>
        </w:rPr>
        <w:t>3</w:t>
      </w:r>
      <w:r>
        <w:rPr>
          <w:color w:val="auto"/>
          <w:shd w:val="clear" w:color="auto" w:fill="auto"/>
        </w:rPr>
        <w:t>/a</w:t>
      </w:r>
      <w:r>
        <w:rPr>
          <w:rFonts w:hint="eastAsia"/>
          <w:color w:val="auto"/>
          <w:shd w:val="clear" w:color="auto" w:fill="auto"/>
        </w:rPr>
        <w:t>，</w:t>
      </w:r>
      <w:r>
        <w:rPr>
          <w:color w:val="auto"/>
          <w:shd w:val="clear" w:color="auto" w:fill="auto"/>
        </w:rPr>
        <w:t>SS</w:t>
      </w:r>
      <w:r>
        <w:rPr>
          <w:rFonts w:hint="eastAsia"/>
          <w:color w:val="auto"/>
          <w:shd w:val="clear" w:color="auto" w:fill="auto"/>
        </w:rPr>
        <w:t>浓度为2</w:t>
      </w:r>
      <w:r>
        <w:rPr>
          <w:color w:val="auto"/>
          <w:shd w:val="clear" w:color="auto" w:fill="auto"/>
        </w:rPr>
        <w:t>000</w:t>
      </w:r>
      <w:r>
        <w:rPr>
          <w:rFonts w:hint="eastAsia"/>
          <w:color w:val="auto"/>
          <w:shd w:val="clear" w:color="auto" w:fill="auto"/>
          <w:lang w:eastAsia="zh-CN"/>
        </w:rPr>
        <w:t>m</w:t>
      </w:r>
      <w:r>
        <w:rPr>
          <w:color w:val="auto"/>
          <w:shd w:val="clear" w:color="auto" w:fill="auto"/>
        </w:rPr>
        <w:t>g/L</w:t>
      </w:r>
      <w:r>
        <w:rPr>
          <w:rFonts w:hint="eastAsia"/>
          <w:color w:val="auto"/>
          <w:shd w:val="clear" w:color="auto" w:fill="auto"/>
        </w:rPr>
        <w:t>。</w:t>
      </w:r>
    </w:p>
    <w:p>
      <w:pPr>
        <w:ind w:firstLine="480"/>
        <w:rPr>
          <w:color w:val="auto"/>
          <w:shd w:val="clear" w:color="auto" w:fill="auto"/>
        </w:rPr>
      </w:pPr>
      <w:r>
        <w:rPr>
          <w:rFonts w:hint="eastAsia"/>
          <w:color w:val="auto"/>
          <w:shd w:val="clear" w:color="auto" w:fill="auto"/>
        </w:rPr>
        <w:t>码头面冲洗废水和初期雨水采用排水明沟收集，排入</w:t>
      </w:r>
      <w:r>
        <w:rPr>
          <w:rFonts w:hint="eastAsia"/>
          <w:color w:val="auto"/>
          <w:shd w:val="clear" w:color="auto" w:fill="auto"/>
          <w:lang w:eastAsia="zh-CN"/>
        </w:rPr>
        <w:t>三级</w:t>
      </w:r>
      <w:r>
        <w:rPr>
          <w:rFonts w:hint="eastAsia"/>
          <w:color w:val="auto"/>
          <w:shd w:val="clear" w:color="auto" w:fill="auto"/>
        </w:rPr>
        <w:t>沉淀池处理后，可去除大部分悬浮物，全部回用于</w:t>
      </w:r>
      <w:r>
        <w:rPr>
          <w:rFonts w:hint="eastAsia"/>
          <w:color w:val="auto"/>
          <w:shd w:val="clear" w:color="auto" w:fill="auto"/>
          <w:lang w:val="en-US" w:eastAsia="zh-CN"/>
        </w:rPr>
        <w:t>港区</w:t>
      </w:r>
      <w:r>
        <w:rPr>
          <w:rFonts w:hint="eastAsia"/>
          <w:color w:val="auto"/>
          <w:shd w:val="clear" w:color="auto" w:fill="auto"/>
        </w:rPr>
        <w:t>洒水抑尘等，不外排，不会对</w:t>
      </w:r>
      <w:r>
        <w:rPr>
          <w:rFonts w:hint="eastAsia"/>
          <w:color w:val="auto"/>
          <w:shd w:val="clear" w:color="auto" w:fill="auto"/>
          <w:lang w:eastAsia="zh-CN"/>
        </w:rPr>
        <w:t>沙颍河</w:t>
      </w:r>
      <w:r>
        <w:rPr>
          <w:rFonts w:hint="eastAsia"/>
          <w:color w:val="auto"/>
          <w:shd w:val="clear" w:color="auto" w:fill="auto"/>
        </w:rPr>
        <w:t>水环境造成影响。</w:t>
      </w:r>
    </w:p>
    <w:p>
      <w:pPr>
        <w:pStyle w:val="6"/>
        <w:rPr>
          <w:rFonts w:hint="eastAsia"/>
          <w:color w:val="auto"/>
          <w:highlight w:val="none"/>
          <w:shd w:val="clear" w:color="auto" w:fill="auto"/>
        </w:rPr>
      </w:pPr>
      <w:r>
        <w:rPr>
          <w:rFonts w:hint="eastAsia"/>
          <w:color w:val="auto"/>
          <w:highlight w:val="none"/>
          <w:shd w:val="clear" w:color="auto" w:fill="auto"/>
          <w:lang w:val="en-US" w:eastAsia="zh-CN"/>
        </w:rPr>
        <w:t>6</w:t>
      </w:r>
      <w:r>
        <w:rPr>
          <w:color w:val="auto"/>
          <w:highlight w:val="none"/>
          <w:shd w:val="clear" w:color="auto" w:fill="auto"/>
        </w:rPr>
        <w:t>.2.2.</w:t>
      </w:r>
      <w:r>
        <w:rPr>
          <w:rFonts w:hint="eastAsia"/>
          <w:color w:val="auto"/>
          <w:highlight w:val="none"/>
          <w:shd w:val="clear" w:color="auto" w:fill="auto"/>
          <w:lang w:val="en-US" w:eastAsia="zh-CN"/>
        </w:rPr>
        <w:t>4</w:t>
      </w:r>
      <w:r>
        <w:rPr>
          <w:rFonts w:hint="eastAsia"/>
          <w:color w:val="auto"/>
          <w:highlight w:val="none"/>
          <w:shd w:val="clear" w:color="auto" w:fill="auto"/>
        </w:rPr>
        <w:t xml:space="preserve"> 船舶生活污水、舱底油污水</w:t>
      </w:r>
    </w:p>
    <w:p>
      <w:pPr>
        <w:ind w:firstLine="480"/>
        <w:rPr>
          <w:color w:val="auto"/>
          <w:shd w:val="clear" w:color="auto" w:fill="auto"/>
        </w:rPr>
      </w:pPr>
      <w:r>
        <w:rPr>
          <w:rFonts w:hint="eastAsia"/>
          <w:color w:val="auto"/>
          <w:shd w:val="clear" w:color="auto" w:fill="auto"/>
        </w:rPr>
        <w:t>根据</w:t>
      </w:r>
      <w:r>
        <w:rPr>
          <w:rFonts w:hint="eastAsia"/>
          <w:color w:val="auto"/>
          <w:spacing w:val="5"/>
          <w:shd w:val="clear" w:color="auto" w:fill="auto"/>
        </w:rPr>
        <w:t>《中华人民共和国防治船舶污染内河水域环境管理规定》</w:t>
      </w:r>
      <w:r>
        <w:rPr>
          <w:rFonts w:hint="eastAsia"/>
          <w:color w:val="auto"/>
          <w:shd w:val="clear" w:color="auto" w:fill="auto"/>
        </w:rPr>
        <w:t>等法律法规的要求，到港船舶不得直接向码头所在水域直接排放污染物。</w:t>
      </w:r>
    </w:p>
    <w:p>
      <w:pPr>
        <w:ind w:firstLine="480"/>
        <w:rPr>
          <w:color w:val="auto"/>
          <w:shd w:val="clear" w:color="auto" w:fill="auto"/>
        </w:rPr>
      </w:pPr>
      <w:r>
        <w:rPr>
          <w:rFonts w:hint="eastAsia"/>
          <w:color w:val="auto"/>
          <w:shd w:val="clear" w:color="auto" w:fill="auto"/>
        </w:rPr>
        <w:t>本项目船舶产生的油污水、生活污水由当地海事部门认可的船舶油污水回收单位接收处理，均不在码头水域排放。</w:t>
      </w:r>
    </w:p>
    <w:p>
      <w:pPr>
        <w:ind w:firstLine="480"/>
        <w:rPr>
          <w:color w:val="auto"/>
          <w:shd w:val="clear" w:color="auto" w:fill="auto"/>
        </w:rPr>
      </w:pPr>
      <w:r>
        <w:rPr>
          <w:rFonts w:hint="eastAsia"/>
          <w:color w:val="auto"/>
          <w:shd w:val="clear" w:color="auto" w:fill="auto"/>
        </w:rPr>
        <w:t>为保证到港船舶污染物不污染码头水域，建议在码头前沿醒目处设置严禁排污的警示牌，并加强与</w:t>
      </w:r>
      <w:r>
        <w:rPr>
          <w:rFonts w:hint="eastAsia"/>
          <w:color w:val="auto"/>
          <w:shd w:val="clear" w:color="auto" w:fill="auto"/>
          <w:lang w:eastAsia="zh-CN"/>
        </w:rPr>
        <w:t>太和</w:t>
      </w:r>
      <w:r>
        <w:rPr>
          <w:rFonts w:hint="eastAsia"/>
          <w:color w:val="auto"/>
          <w:shd w:val="clear" w:color="auto" w:fill="auto"/>
        </w:rPr>
        <w:t>县地方海事部门的沟通和协调，请其加强对本码头水域的监管和巡查。</w:t>
      </w:r>
    </w:p>
    <w:p>
      <w:pPr>
        <w:pStyle w:val="5"/>
        <w:rPr>
          <w:color w:val="auto"/>
          <w:shd w:val="clear" w:color="auto" w:fill="auto"/>
        </w:rPr>
      </w:pPr>
      <w:r>
        <w:rPr>
          <w:rFonts w:hint="eastAsia"/>
          <w:color w:val="auto"/>
          <w:shd w:val="clear" w:color="auto" w:fill="auto"/>
          <w:lang w:val="en-US" w:eastAsia="zh-CN"/>
        </w:rPr>
        <w:t>6</w:t>
      </w:r>
      <w:r>
        <w:rPr>
          <w:rFonts w:hint="eastAsia"/>
          <w:color w:val="auto"/>
          <w:shd w:val="clear" w:color="auto" w:fill="auto"/>
        </w:rPr>
        <w:t>.2.3 营运期声环境污染防治措施</w:t>
      </w:r>
    </w:p>
    <w:p>
      <w:pPr>
        <w:ind w:firstLine="480"/>
        <w:rPr>
          <w:color w:val="auto"/>
          <w:shd w:val="clear" w:color="auto" w:fill="auto"/>
        </w:rPr>
      </w:pPr>
      <w:r>
        <w:rPr>
          <w:rFonts w:hint="eastAsia"/>
          <w:color w:val="auto"/>
          <w:shd w:val="clear" w:color="auto" w:fill="auto"/>
        </w:rPr>
        <w:t>码头营运</w:t>
      </w:r>
      <w:r>
        <w:rPr>
          <w:rFonts w:hint="eastAsia"/>
          <w:color w:val="auto"/>
          <w:shd w:val="clear" w:color="auto" w:fill="auto"/>
          <w:lang w:eastAsia="zh-CN"/>
        </w:rPr>
        <w:t>期</w:t>
      </w:r>
      <w:r>
        <w:rPr>
          <w:rFonts w:hint="eastAsia"/>
          <w:color w:val="auto"/>
          <w:shd w:val="clear" w:color="auto" w:fill="auto"/>
        </w:rPr>
        <w:t>噪声污染主要来源于车辆、船舶的交通噪声和装卸机械的噪声。采取的防治措施如下：</w:t>
      </w:r>
    </w:p>
    <w:p>
      <w:pPr>
        <w:ind w:firstLine="480"/>
        <w:rPr>
          <w:color w:val="auto"/>
          <w:shd w:val="clear" w:color="auto" w:fill="auto"/>
        </w:rPr>
      </w:pPr>
      <w:r>
        <w:rPr>
          <w:rFonts w:hint="eastAsia"/>
          <w:color w:val="auto"/>
          <w:shd w:val="clear" w:color="auto" w:fill="auto"/>
        </w:rPr>
        <w:t>（</w:t>
      </w:r>
      <w:r>
        <w:rPr>
          <w:color w:val="auto"/>
          <w:shd w:val="clear" w:color="auto" w:fill="auto"/>
        </w:rPr>
        <w:t>1</w:t>
      </w:r>
      <w:r>
        <w:rPr>
          <w:rFonts w:hint="eastAsia"/>
          <w:color w:val="auto"/>
          <w:shd w:val="clear" w:color="auto" w:fill="auto"/>
        </w:rPr>
        <w:t>）机械设备选型要选择符合声环境标准的低噪声设备，同时采取隔声和减振措施，如设置消声器、隔声罩，安装减振垫等，降低进港汽车的鸣笛，加强机械设备的保养，减少噪声对环境的污染。</w:t>
      </w:r>
    </w:p>
    <w:p>
      <w:pPr>
        <w:ind w:firstLine="480"/>
        <w:rPr>
          <w:color w:val="auto"/>
          <w:shd w:val="clear" w:color="auto" w:fill="auto"/>
        </w:rPr>
      </w:pPr>
      <w:r>
        <w:rPr>
          <w:rFonts w:hint="eastAsia"/>
          <w:color w:val="auto"/>
          <w:shd w:val="clear" w:color="auto" w:fill="auto"/>
        </w:rPr>
        <w:t>（</w:t>
      </w:r>
      <w:r>
        <w:rPr>
          <w:color w:val="auto"/>
          <w:shd w:val="clear" w:color="auto" w:fill="auto"/>
        </w:rPr>
        <w:t>2</w:t>
      </w:r>
      <w:r>
        <w:rPr>
          <w:rFonts w:hint="eastAsia"/>
          <w:color w:val="auto"/>
          <w:shd w:val="clear" w:color="auto" w:fill="auto"/>
        </w:rPr>
        <w:t>）合理布置作业区功能区布局，噪声发生设备应尽量远离厂界。根据总平面布置方案，主要噪声源的布置基本符合上述要求，该平面布置方案在声环境保护方面可行。合理安排作业时间，尽量减少夜间作业量。</w:t>
      </w:r>
    </w:p>
    <w:p>
      <w:pPr>
        <w:ind w:firstLine="480"/>
        <w:rPr>
          <w:color w:val="auto"/>
          <w:shd w:val="clear" w:color="auto" w:fill="auto"/>
        </w:rPr>
      </w:pPr>
      <w:r>
        <w:rPr>
          <w:rFonts w:hint="eastAsia"/>
          <w:color w:val="auto"/>
          <w:shd w:val="clear" w:color="auto" w:fill="auto"/>
        </w:rPr>
        <w:t>（</w:t>
      </w:r>
      <w:r>
        <w:rPr>
          <w:color w:val="auto"/>
          <w:shd w:val="clear" w:color="auto" w:fill="auto"/>
        </w:rPr>
        <w:t>3</w:t>
      </w:r>
      <w:r>
        <w:rPr>
          <w:rFonts w:hint="eastAsia"/>
          <w:color w:val="auto"/>
          <w:shd w:val="clear" w:color="auto" w:fill="auto"/>
        </w:rPr>
        <w:t>）一般靠港后船舶只开动辅机，而主机关闭。通过加强管理，可有效降低船舶噪声强度。</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4</w:t>
      </w:r>
      <w:r>
        <w:rPr>
          <w:rFonts w:hint="eastAsia"/>
          <w:color w:val="auto"/>
          <w:shd w:val="clear" w:color="auto" w:fill="auto"/>
        </w:rPr>
        <w:t>）结合扬尘污染防治措施，在作业区厂界尽量种植密实型多行复合植被，尽量增加项目噪声的衰减量。</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5</w:t>
      </w:r>
      <w:r>
        <w:rPr>
          <w:rFonts w:hint="eastAsia"/>
          <w:color w:val="auto"/>
          <w:shd w:val="clear" w:color="auto" w:fill="auto"/>
        </w:rPr>
        <w:t>）对</w:t>
      </w:r>
      <w:r>
        <w:rPr>
          <w:rFonts w:hint="eastAsia"/>
          <w:color w:val="auto"/>
          <w:shd w:val="clear" w:color="auto" w:fill="auto"/>
          <w:lang w:eastAsia="zh-CN"/>
        </w:rPr>
        <w:t>固定吊</w:t>
      </w:r>
      <w:r>
        <w:rPr>
          <w:rFonts w:hint="eastAsia"/>
          <w:color w:val="auto"/>
          <w:shd w:val="clear" w:color="auto" w:fill="auto"/>
        </w:rPr>
        <w:t>等高噪声设备采取吸声、隔声</w:t>
      </w:r>
      <w:r>
        <w:rPr>
          <w:rFonts w:hint="eastAsia"/>
          <w:color w:val="auto"/>
          <w:shd w:val="clear" w:color="auto" w:fill="auto"/>
          <w:lang w:eastAsia="zh-CN"/>
        </w:rPr>
        <w:t>、减震</w:t>
      </w:r>
      <w:r>
        <w:rPr>
          <w:rFonts w:hint="eastAsia"/>
          <w:color w:val="auto"/>
          <w:shd w:val="clear" w:color="auto" w:fill="auto"/>
        </w:rPr>
        <w:t>等措施。在夜间，工作设备的数量尽量控制在</w:t>
      </w:r>
      <w:r>
        <w:rPr>
          <w:color w:val="auto"/>
          <w:shd w:val="clear" w:color="auto" w:fill="auto"/>
        </w:rPr>
        <w:t>50%</w:t>
      </w:r>
      <w:r>
        <w:rPr>
          <w:rFonts w:hint="eastAsia"/>
          <w:color w:val="auto"/>
          <w:shd w:val="clear" w:color="auto" w:fill="auto"/>
          <w:lang w:eastAsia="zh-CN"/>
        </w:rPr>
        <w:t>内</w:t>
      </w:r>
      <w:r>
        <w:rPr>
          <w:rFonts w:hint="eastAsia"/>
          <w:color w:val="auto"/>
          <w:shd w:val="clear" w:color="auto" w:fill="auto"/>
        </w:rPr>
        <w:t>进行装卸作业。</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6）</w:t>
      </w:r>
      <w:r>
        <w:rPr>
          <w:rFonts w:hint="eastAsia"/>
          <w:color w:val="auto"/>
          <w:shd w:val="clear" w:color="auto" w:fill="auto"/>
        </w:rPr>
        <w:t>保持码头道路通畅，合理疏导车辆，控制鸣笛次数，保持路面平整，尽量减小噪声的产生频率和强度。</w:t>
      </w:r>
    </w:p>
    <w:p>
      <w:pPr>
        <w:ind w:firstLine="480"/>
        <w:rPr>
          <w:color w:val="auto"/>
          <w:shd w:val="clear" w:color="auto" w:fill="auto"/>
        </w:rPr>
      </w:pPr>
      <w:r>
        <w:rPr>
          <w:rFonts w:hint="eastAsia"/>
          <w:color w:val="auto"/>
          <w:shd w:val="clear" w:color="auto" w:fill="auto"/>
        </w:rPr>
        <w:t>（</w:t>
      </w:r>
      <w:r>
        <w:rPr>
          <w:rFonts w:hint="eastAsia"/>
          <w:color w:val="auto"/>
          <w:shd w:val="clear" w:color="auto" w:fill="auto"/>
          <w:lang w:val="en-US" w:eastAsia="zh-CN"/>
        </w:rPr>
        <w:t>7</w:t>
      </w:r>
      <w:r>
        <w:rPr>
          <w:rFonts w:hint="eastAsia"/>
          <w:color w:val="auto"/>
          <w:shd w:val="clear" w:color="auto" w:fill="auto"/>
        </w:rPr>
        <w:t>）建议在非停车功能区设立</w:t>
      </w:r>
      <w:r>
        <w:rPr>
          <w:color w:val="auto"/>
          <w:shd w:val="clear" w:color="auto" w:fill="auto"/>
        </w:rPr>
        <w:t>“</w:t>
      </w:r>
      <w:r>
        <w:rPr>
          <w:rFonts w:hint="eastAsia"/>
          <w:color w:val="auto"/>
          <w:shd w:val="clear" w:color="auto" w:fill="auto"/>
        </w:rPr>
        <w:t>禁止泊车</w:t>
      </w:r>
      <w:r>
        <w:rPr>
          <w:color w:val="auto"/>
          <w:shd w:val="clear" w:color="auto" w:fill="auto"/>
        </w:rPr>
        <w:t>”</w:t>
      </w:r>
      <w:r>
        <w:rPr>
          <w:rFonts w:hint="eastAsia"/>
          <w:color w:val="auto"/>
          <w:shd w:val="clear" w:color="auto" w:fill="auto"/>
        </w:rPr>
        <w:t>、</w:t>
      </w:r>
      <w:r>
        <w:rPr>
          <w:color w:val="auto"/>
          <w:shd w:val="clear" w:color="auto" w:fill="auto"/>
        </w:rPr>
        <w:t>“</w:t>
      </w:r>
      <w:r>
        <w:rPr>
          <w:rFonts w:hint="eastAsia"/>
          <w:color w:val="auto"/>
          <w:shd w:val="clear" w:color="auto" w:fill="auto"/>
        </w:rPr>
        <w:t>禁鸣喇叭</w:t>
      </w:r>
      <w:r>
        <w:rPr>
          <w:color w:val="auto"/>
          <w:shd w:val="clear" w:color="auto" w:fill="auto"/>
        </w:rPr>
        <w:t>”</w:t>
      </w:r>
      <w:r>
        <w:rPr>
          <w:rFonts w:hint="eastAsia"/>
          <w:color w:val="auto"/>
          <w:shd w:val="clear" w:color="auto" w:fill="auto"/>
        </w:rPr>
        <w:t>等指示牌，严禁乱鸣高音喇叭滋扰居民，严禁违章泊车。多设路牌警告不许鸣喇叭，严抓惩罚。加强对货柜车司机对交通法规的学习，提高司机的道德素质，做到自我教育，自我管理。</w:t>
      </w:r>
    </w:p>
    <w:p>
      <w:pPr>
        <w:pStyle w:val="5"/>
        <w:rPr>
          <w:color w:val="auto"/>
          <w:shd w:val="clear" w:color="auto" w:fill="auto"/>
        </w:rPr>
      </w:pPr>
      <w:r>
        <w:rPr>
          <w:rFonts w:hint="eastAsia"/>
          <w:color w:val="auto"/>
          <w:shd w:val="clear" w:color="auto" w:fill="auto"/>
          <w:lang w:val="en-US" w:eastAsia="zh-CN"/>
        </w:rPr>
        <w:t>6</w:t>
      </w:r>
      <w:r>
        <w:rPr>
          <w:rFonts w:hint="eastAsia"/>
          <w:color w:val="auto"/>
          <w:shd w:val="clear" w:color="auto" w:fill="auto"/>
        </w:rPr>
        <w:t>.2.4 营运期固体废物污染防治措施</w:t>
      </w:r>
    </w:p>
    <w:p>
      <w:pPr>
        <w:ind w:firstLine="480"/>
        <w:rPr>
          <w:color w:val="auto"/>
          <w:shd w:val="clear" w:color="auto" w:fill="auto"/>
        </w:rPr>
      </w:pPr>
      <w:r>
        <w:rPr>
          <w:rFonts w:hint="eastAsia"/>
          <w:color w:val="auto"/>
          <w:shd w:val="clear" w:color="auto" w:fill="auto"/>
        </w:rPr>
        <w:t>码头营运后的固体废物主要为船舶垃圾和陆域垃圾两部分。拟采取的治理措施如下：</w:t>
      </w:r>
    </w:p>
    <w:p>
      <w:pPr>
        <w:ind w:firstLine="480"/>
        <w:rPr>
          <w:color w:val="auto"/>
          <w:shd w:val="clear" w:color="auto" w:fill="auto"/>
        </w:rPr>
      </w:pPr>
      <w:r>
        <w:rPr>
          <w:rFonts w:hint="eastAsia"/>
          <w:color w:val="auto"/>
          <w:shd w:val="clear" w:color="auto" w:fill="auto"/>
        </w:rPr>
        <w:t>（1）船舶垃圾主要为船员生活垃圾及维修废弃物。生活垃圾主要是食物残渣、卫生清扫物、废旧包装袋、瓶罐等。维修废弃物主要是甲板垃圾、废气纱布、脱落的漆渣及废弃工具零件等。船舶垃圾由海事部门</w:t>
      </w:r>
      <w:r>
        <w:rPr>
          <w:rFonts w:hint="eastAsia"/>
          <w:color w:val="auto"/>
          <w:shd w:val="clear" w:color="auto" w:fill="auto"/>
          <w:lang w:eastAsia="zh-CN"/>
        </w:rPr>
        <w:t>认定的有资质单位</w:t>
      </w:r>
      <w:r>
        <w:rPr>
          <w:rFonts w:hint="eastAsia"/>
          <w:color w:val="auto"/>
          <w:shd w:val="clear" w:color="auto" w:fill="auto"/>
        </w:rPr>
        <w:t>接收处置。</w:t>
      </w:r>
    </w:p>
    <w:p>
      <w:pPr>
        <w:ind w:firstLine="480"/>
        <w:rPr>
          <w:color w:val="auto"/>
          <w:shd w:val="clear" w:color="auto" w:fill="auto"/>
        </w:rPr>
      </w:pPr>
      <w:r>
        <w:rPr>
          <w:rFonts w:hint="eastAsia"/>
          <w:color w:val="auto"/>
          <w:shd w:val="clear" w:color="auto" w:fill="auto"/>
        </w:rPr>
        <w:t>（2）陆域垃圾主要为</w:t>
      </w:r>
      <w:r>
        <w:rPr>
          <w:rFonts w:hint="eastAsia"/>
          <w:color w:val="auto"/>
          <w:shd w:val="clear" w:color="auto" w:fill="auto"/>
          <w:lang w:eastAsia="zh-CN"/>
        </w:rPr>
        <w:t>港区</w:t>
      </w:r>
      <w:r>
        <w:rPr>
          <w:rFonts w:hint="eastAsia"/>
          <w:color w:val="auto"/>
          <w:shd w:val="clear" w:color="auto" w:fill="auto"/>
        </w:rPr>
        <w:t>生活垃圾、</w:t>
      </w:r>
      <w:r>
        <w:rPr>
          <w:rFonts w:hint="eastAsia"/>
          <w:color w:val="auto"/>
          <w:shd w:val="clear" w:color="auto" w:fill="auto"/>
          <w:lang w:eastAsia="zh-CN"/>
        </w:rPr>
        <w:t>沉淀池</w:t>
      </w:r>
      <w:r>
        <w:rPr>
          <w:rFonts w:hint="eastAsia"/>
          <w:color w:val="auto"/>
          <w:shd w:val="clear" w:color="auto" w:fill="auto"/>
        </w:rPr>
        <w:t>污泥、</w:t>
      </w:r>
      <w:r>
        <w:rPr>
          <w:rFonts w:hint="eastAsia"/>
          <w:color w:val="auto"/>
          <w:shd w:val="clear" w:color="auto" w:fill="auto"/>
          <w:lang w:eastAsia="zh-CN"/>
        </w:rPr>
        <w:t>隔油沉淀池浮油</w:t>
      </w:r>
      <w:r>
        <w:rPr>
          <w:rFonts w:hint="eastAsia"/>
          <w:color w:val="auto"/>
          <w:shd w:val="clear" w:color="auto" w:fill="auto"/>
        </w:rPr>
        <w:t>及货种带来的固废。其中</w:t>
      </w:r>
      <w:r>
        <w:rPr>
          <w:rFonts w:hint="eastAsia"/>
          <w:color w:val="auto"/>
          <w:shd w:val="clear" w:color="auto" w:fill="auto"/>
          <w:lang w:eastAsia="zh-CN"/>
        </w:rPr>
        <w:t>港区</w:t>
      </w:r>
      <w:r>
        <w:rPr>
          <w:rFonts w:hint="eastAsia"/>
          <w:color w:val="auto"/>
          <w:shd w:val="clear" w:color="auto" w:fill="auto"/>
        </w:rPr>
        <w:t>生活垃圾、</w:t>
      </w:r>
      <w:r>
        <w:rPr>
          <w:rFonts w:hint="eastAsia"/>
          <w:color w:val="auto"/>
          <w:shd w:val="clear" w:color="auto" w:fill="auto"/>
          <w:lang w:eastAsia="zh-CN"/>
        </w:rPr>
        <w:t>沉淀池</w:t>
      </w:r>
      <w:r>
        <w:rPr>
          <w:rFonts w:hint="eastAsia"/>
          <w:color w:val="auto"/>
          <w:shd w:val="clear" w:color="auto" w:fill="auto"/>
        </w:rPr>
        <w:t>污泥及货种带来的固废交由市政环卫部门处理；</w:t>
      </w:r>
      <w:r>
        <w:rPr>
          <w:rFonts w:hint="eastAsia"/>
          <w:color w:val="auto"/>
          <w:shd w:val="clear" w:color="auto" w:fill="auto"/>
          <w:lang w:eastAsia="zh-CN"/>
        </w:rPr>
        <w:t>隔油沉淀池浮油</w:t>
      </w:r>
      <w:r>
        <w:rPr>
          <w:rFonts w:hint="eastAsia"/>
          <w:color w:val="auto"/>
          <w:shd w:val="clear" w:color="auto" w:fill="auto"/>
        </w:rPr>
        <w:t>委托有资质的单位接收处理。</w:t>
      </w:r>
    </w:p>
    <w:p>
      <w:pPr>
        <w:pStyle w:val="5"/>
        <w:rPr>
          <w:color w:val="auto"/>
          <w:shd w:val="clear" w:color="auto" w:fill="auto"/>
        </w:rPr>
      </w:pPr>
      <w:r>
        <w:rPr>
          <w:rFonts w:hint="eastAsia"/>
          <w:color w:val="auto"/>
          <w:shd w:val="clear" w:color="auto" w:fill="auto"/>
          <w:lang w:val="en-US" w:eastAsia="zh-CN"/>
        </w:rPr>
        <w:t>6</w:t>
      </w:r>
      <w:r>
        <w:rPr>
          <w:rFonts w:hint="eastAsia"/>
          <w:color w:val="auto"/>
          <w:shd w:val="clear" w:color="auto" w:fill="auto"/>
        </w:rPr>
        <w:t>.2.5 营运期生态环境保护措施</w:t>
      </w:r>
    </w:p>
    <w:p>
      <w:pPr>
        <w:ind w:firstLine="480"/>
        <w:rPr>
          <w:color w:val="auto"/>
          <w:shd w:val="clear" w:color="auto" w:fill="auto"/>
        </w:rPr>
      </w:pPr>
      <w:r>
        <w:rPr>
          <w:color w:val="auto"/>
          <w:shd w:val="clear" w:color="auto" w:fill="auto"/>
        </w:rPr>
        <w:t>（1）在港区岸线处、道路两侧种植绿色植物，生产和生活辅助区之间、场界处设置绿化带，场界处设置宽度2</w:t>
      </w:r>
      <w:r>
        <w:rPr>
          <w:rFonts w:hint="eastAsia"/>
          <w:color w:val="auto"/>
          <w:shd w:val="clear" w:color="auto" w:fill="auto"/>
          <w:lang w:eastAsia="zh-CN"/>
        </w:rPr>
        <w:t>m</w:t>
      </w:r>
      <w:r>
        <w:rPr>
          <w:color w:val="auto"/>
          <w:shd w:val="clear" w:color="auto" w:fill="auto"/>
        </w:rPr>
        <w:t>左右的灌木隔离带，大堤内外侧空余地可栽植乔木等，可以补偿项目建设造成的生物量损伤。</w:t>
      </w:r>
    </w:p>
    <w:p>
      <w:pPr>
        <w:ind w:firstLine="480"/>
        <w:rPr>
          <w:color w:val="auto"/>
          <w:shd w:val="clear" w:color="auto" w:fill="auto"/>
        </w:rPr>
      </w:pPr>
      <w:r>
        <w:rPr>
          <w:color w:val="auto"/>
          <w:shd w:val="clear" w:color="auto" w:fill="auto"/>
        </w:rPr>
        <w:t>（2）港口管理部门可对进出船只提出限速行驶，如发现有珍稀野生动物，设法避让或停驶，避免惊扰和伤害珍稀野生水生动物。</w:t>
      </w:r>
    </w:p>
    <w:p>
      <w:pPr>
        <w:ind w:firstLine="480"/>
        <w:rPr>
          <w:color w:val="auto"/>
          <w:shd w:val="clear" w:color="auto" w:fill="auto"/>
        </w:rPr>
      </w:pPr>
      <w:r>
        <w:rPr>
          <w:color w:val="auto"/>
          <w:shd w:val="clear" w:color="auto" w:fill="auto"/>
        </w:rPr>
        <w:t>（3）港区建设单位应严格遵守国家和地方有关水土保持法律、法规，并按照拟建项目水土保持实施方案认真组织实施，遵从“三同时”原则。</w:t>
      </w:r>
    </w:p>
    <w:p>
      <w:pPr>
        <w:pStyle w:val="40"/>
        <w:rPr>
          <w:color w:val="auto"/>
          <w:shd w:val="clear" w:color="auto" w:fill="auto"/>
        </w:rPr>
      </w:pPr>
    </w:p>
    <w:p>
      <w:pPr>
        <w:pStyle w:val="3"/>
        <w:spacing w:before="156" w:after="156"/>
        <w:rPr>
          <w:color w:val="auto"/>
          <w:shd w:val="clear" w:color="auto" w:fill="auto"/>
          <w:lang w:val="en-US"/>
        </w:rPr>
      </w:pPr>
      <w:bookmarkStart w:id="397" w:name="_Toc19552_WPSOffice_Level1"/>
      <w:bookmarkStart w:id="398" w:name="_Toc19427_WPSOffice_Level1"/>
      <w:bookmarkStart w:id="399" w:name="_Toc4592"/>
      <w:r>
        <w:rPr>
          <w:rFonts w:hint="eastAsia"/>
          <w:color w:val="auto"/>
          <w:shd w:val="clear" w:color="auto" w:fill="auto"/>
        </w:rPr>
        <w:t>第</w:t>
      </w:r>
      <w:r>
        <w:rPr>
          <w:rFonts w:hint="eastAsia"/>
          <w:color w:val="auto"/>
          <w:shd w:val="clear" w:color="auto" w:fill="auto"/>
          <w:lang w:val="en-US" w:eastAsia="zh-CN"/>
        </w:rPr>
        <w:t>7</w:t>
      </w:r>
      <w:r>
        <w:rPr>
          <w:rFonts w:hint="eastAsia"/>
          <w:color w:val="auto"/>
          <w:shd w:val="clear" w:color="auto" w:fill="auto"/>
        </w:rPr>
        <w:t>章 环境管理与</w:t>
      </w:r>
      <w:bookmarkEnd w:id="397"/>
      <w:bookmarkEnd w:id="398"/>
      <w:r>
        <w:rPr>
          <w:rFonts w:hint="eastAsia"/>
          <w:color w:val="auto"/>
          <w:shd w:val="clear" w:color="auto" w:fill="auto"/>
          <w:lang w:val="en-US" w:eastAsia="zh-CN"/>
        </w:rPr>
        <w:t>监测计划</w:t>
      </w:r>
      <w:bookmarkEnd w:id="399"/>
    </w:p>
    <w:p>
      <w:pPr>
        <w:ind w:firstLine="480"/>
        <w:rPr>
          <w:color w:val="auto"/>
          <w:szCs w:val="32"/>
          <w:shd w:val="clear" w:color="auto" w:fill="auto"/>
        </w:rPr>
      </w:pPr>
      <w:r>
        <w:rPr>
          <w:color w:val="auto"/>
          <w:shd w:val="clear" w:color="auto" w:fill="auto"/>
        </w:rPr>
        <w:t>拟建项目在建设期和营运期均对周围环境产生一定影响。为减轻或消除这些不利影响，需要建立环境保护管理机构，制定环境监测计划，及时掌握项目的施工或运行所造成的环境影响程度，了解环境保护措施所获得的效益，以便进行必要的调整与补充。根据环境监测结果，可以验证环境影响评价的科学性以及为环境影响回顾性评价提供系统性资料，准确地把握项目建设产生的环境效益。</w:t>
      </w:r>
    </w:p>
    <w:p>
      <w:pPr>
        <w:pStyle w:val="4"/>
        <w:rPr>
          <w:rFonts w:hint="eastAsia"/>
          <w:color w:val="auto"/>
          <w:shd w:val="clear" w:color="auto" w:fill="auto"/>
        </w:rPr>
      </w:pPr>
      <w:bookmarkStart w:id="400" w:name="_Toc14748"/>
      <w:bookmarkStart w:id="401" w:name="_Toc25901"/>
      <w:r>
        <w:rPr>
          <w:rFonts w:hint="eastAsia"/>
          <w:color w:val="auto"/>
          <w:shd w:val="clear" w:color="auto" w:fill="auto"/>
          <w:lang w:val="en-US" w:eastAsia="zh-CN"/>
        </w:rPr>
        <w:t>7.1</w:t>
      </w:r>
      <w:r>
        <w:rPr>
          <w:rFonts w:hint="eastAsia"/>
          <w:color w:val="auto"/>
          <w:shd w:val="clear" w:color="auto" w:fill="auto"/>
        </w:rPr>
        <w:t>环境管理计划</w:t>
      </w:r>
      <w:bookmarkEnd w:id="400"/>
      <w:bookmarkEnd w:id="401"/>
    </w:p>
    <w:p>
      <w:pPr>
        <w:pStyle w:val="5"/>
        <w:rPr>
          <w:color w:val="auto"/>
          <w:shd w:val="clear" w:color="auto" w:fill="auto"/>
        </w:rPr>
      </w:pPr>
      <w:bookmarkStart w:id="402" w:name="_Toc191360166"/>
      <w:bookmarkStart w:id="403" w:name="_Toc316642128"/>
      <w:bookmarkStart w:id="404" w:name="_Toc182636203"/>
      <w:bookmarkStart w:id="405" w:name="_Toc191359918"/>
      <w:r>
        <w:rPr>
          <w:rFonts w:hint="eastAsia"/>
          <w:color w:val="auto"/>
          <w:shd w:val="clear" w:color="auto" w:fill="auto"/>
          <w:lang w:val="en-US" w:eastAsia="zh-CN"/>
        </w:rPr>
        <w:t>7</w:t>
      </w:r>
      <w:r>
        <w:rPr>
          <w:color w:val="auto"/>
          <w:shd w:val="clear" w:color="auto" w:fill="auto"/>
        </w:rPr>
        <w:t>.</w:t>
      </w:r>
      <w:r>
        <w:rPr>
          <w:rFonts w:hint="eastAsia"/>
          <w:color w:val="auto"/>
          <w:shd w:val="clear" w:color="auto" w:fill="auto"/>
          <w:lang w:val="en-US" w:eastAsia="zh-CN"/>
        </w:rPr>
        <w:t>1.1</w:t>
      </w:r>
      <w:r>
        <w:rPr>
          <w:color w:val="auto"/>
          <w:shd w:val="clear" w:color="auto" w:fill="auto"/>
        </w:rPr>
        <w:t>环境管理机构的设置</w:t>
      </w:r>
      <w:bookmarkEnd w:id="402"/>
      <w:bookmarkEnd w:id="403"/>
      <w:bookmarkEnd w:id="404"/>
      <w:bookmarkEnd w:id="405"/>
    </w:p>
    <w:p>
      <w:pPr>
        <w:tabs>
          <w:tab w:val="left" w:pos="2982"/>
          <w:tab w:val="left" w:pos="3906"/>
        </w:tabs>
        <w:autoSpaceDE w:val="0"/>
        <w:autoSpaceDN w:val="0"/>
        <w:ind w:firstLine="480"/>
        <w:rPr>
          <w:color w:val="auto"/>
          <w:shd w:val="clear" w:color="auto" w:fill="auto"/>
        </w:rPr>
      </w:pPr>
      <w:r>
        <w:rPr>
          <w:rFonts w:hAnsi="宋体"/>
          <w:color w:val="auto"/>
          <w:shd w:val="clear" w:color="auto" w:fill="auto"/>
        </w:rPr>
        <w:t>本工程虽然</w:t>
      </w:r>
      <w:r>
        <w:rPr>
          <w:color w:val="auto"/>
          <w:shd w:val="clear" w:color="auto" w:fill="auto"/>
        </w:rPr>
        <w:t>“</w:t>
      </w:r>
      <w:r>
        <w:rPr>
          <w:rFonts w:hAnsi="宋体"/>
          <w:color w:val="auto"/>
          <w:shd w:val="clear" w:color="auto" w:fill="auto"/>
        </w:rPr>
        <w:t>三废</w:t>
      </w:r>
      <w:r>
        <w:rPr>
          <w:color w:val="auto"/>
          <w:shd w:val="clear" w:color="auto" w:fill="auto"/>
        </w:rPr>
        <w:t>”</w:t>
      </w:r>
      <w:r>
        <w:rPr>
          <w:rFonts w:hAnsi="宋体"/>
          <w:color w:val="auto"/>
          <w:shd w:val="clear" w:color="auto" w:fill="auto"/>
        </w:rPr>
        <w:t>产生和排放量相对较小，但产生的</w:t>
      </w:r>
      <w:r>
        <w:rPr>
          <w:color w:val="auto"/>
          <w:shd w:val="clear" w:color="auto" w:fill="auto"/>
        </w:rPr>
        <w:t>“</w:t>
      </w:r>
      <w:r>
        <w:rPr>
          <w:rFonts w:hAnsi="宋体"/>
          <w:color w:val="auto"/>
          <w:shd w:val="clear" w:color="auto" w:fill="auto"/>
        </w:rPr>
        <w:t>三废</w:t>
      </w:r>
      <w:r>
        <w:rPr>
          <w:color w:val="auto"/>
          <w:shd w:val="clear" w:color="auto" w:fill="auto"/>
        </w:rPr>
        <w:t>”</w:t>
      </w:r>
      <w:r>
        <w:rPr>
          <w:rFonts w:hAnsi="宋体"/>
          <w:color w:val="auto"/>
          <w:shd w:val="clear" w:color="auto" w:fill="auto"/>
        </w:rPr>
        <w:t>如果不能得到有效控制，仍会对环境造成不同程度的影响。因此建议在公司内设立环保科，配备专职人员</w:t>
      </w:r>
      <w:r>
        <w:rPr>
          <w:rFonts w:hint="eastAsia"/>
          <w:color w:val="auto"/>
          <w:shd w:val="clear" w:color="auto" w:fill="auto"/>
          <w:lang w:val="en-US" w:eastAsia="zh-CN"/>
        </w:rPr>
        <w:t>1</w:t>
      </w:r>
      <w:r>
        <w:rPr>
          <w:rFonts w:hAnsi="宋体"/>
          <w:color w:val="auto"/>
          <w:shd w:val="clear" w:color="auto" w:fill="auto"/>
        </w:rPr>
        <w:t>～</w:t>
      </w:r>
      <w:r>
        <w:rPr>
          <w:rFonts w:hint="eastAsia"/>
          <w:color w:val="auto"/>
          <w:shd w:val="clear" w:color="auto" w:fill="auto"/>
          <w:lang w:val="en-US" w:eastAsia="zh-CN"/>
        </w:rPr>
        <w:t>2</w:t>
      </w:r>
      <w:r>
        <w:rPr>
          <w:rFonts w:hAnsi="宋体"/>
          <w:color w:val="auto"/>
          <w:shd w:val="clear" w:color="auto" w:fill="auto"/>
        </w:rPr>
        <w:t>名。在公司领导层，则由一名副总经理或总工程师主管环境保护工作。环保科的主要职责为：</w:t>
      </w:r>
    </w:p>
    <w:p>
      <w:pPr>
        <w:tabs>
          <w:tab w:val="left" w:pos="2982"/>
          <w:tab w:val="left" w:pos="3906"/>
        </w:tabs>
        <w:autoSpaceDE w:val="0"/>
        <w:autoSpaceDN w:val="0"/>
        <w:ind w:firstLine="480"/>
        <w:rPr>
          <w:color w:val="auto"/>
          <w:shd w:val="clear" w:color="auto" w:fill="auto"/>
        </w:rPr>
      </w:pPr>
      <w:r>
        <w:rPr>
          <w:rFonts w:hAnsi="宋体"/>
          <w:color w:val="auto"/>
          <w:shd w:val="clear" w:color="auto" w:fill="auto"/>
        </w:rPr>
        <w:t>（</w:t>
      </w:r>
      <w:r>
        <w:rPr>
          <w:color w:val="auto"/>
          <w:shd w:val="clear" w:color="auto" w:fill="auto"/>
        </w:rPr>
        <w:t>1</w:t>
      </w:r>
      <w:r>
        <w:rPr>
          <w:rFonts w:hAnsi="宋体"/>
          <w:color w:val="auto"/>
          <w:shd w:val="clear" w:color="auto" w:fill="auto"/>
        </w:rPr>
        <w:t>）组织企业贯彻执行国家和地方政府的环保法规、方针和政策；</w:t>
      </w:r>
    </w:p>
    <w:p>
      <w:pPr>
        <w:tabs>
          <w:tab w:val="left" w:pos="2982"/>
          <w:tab w:val="left" w:pos="3906"/>
        </w:tabs>
        <w:autoSpaceDE w:val="0"/>
        <w:autoSpaceDN w:val="0"/>
        <w:ind w:firstLine="480"/>
        <w:rPr>
          <w:color w:val="auto"/>
          <w:shd w:val="clear" w:color="auto" w:fill="auto"/>
        </w:rPr>
      </w:pPr>
      <w:r>
        <w:rPr>
          <w:rFonts w:hAnsi="宋体"/>
          <w:color w:val="auto"/>
          <w:shd w:val="clear" w:color="auto" w:fill="auto"/>
        </w:rPr>
        <w:t>（</w:t>
      </w:r>
      <w:r>
        <w:rPr>
          <w:color w:val="auto"/>
          <w:shd w:val="clear" w:color="auto" w:fill="auto"/>
        </w:rPr>
        <w:t>2</w:t>
      </w:r>
      <w:r>
        <w:rPr>
          <w:rFonts w:hAnsi="宋体"/>
          <w:color w:val="auto"/>
          <w:shd w:val="clear" w:color="auto" w:fill="auto"/>
        </w:rPr>
        <w:t>）组织制定并执行本公司的环境管理制度；</w:t>
      </w:r>
    </w:p>
    <w:p>
      <w:pPr>
        <w:tabs>
          <w:tab w:val="left" w:pos="2982"/>
          <w:tab w:val="left" w:pos="3906"/>
        </w:tabs>
        <w:autoSpaceDE w:val="0"/>
        <w:autoSpaceDN w:val="0"/>
        <w:ind w:firstLine="480"/>
        <w:rPr>
          <w:color w:val="auto"/>
          <w:shd w:val="clear" w:color="auto" w:fill="auto"/>
        </w:rPr>
      </w:pPr>
      <w:r>
        <w:rPr>
          <w:rFonts w:hAnsi="宋体"/>
          <w:color w:val="auto"/>
          <w:shd w:val="clear" w:color="auto" w:fill="auto"/>
        </w:rPr>
        <w:t>（</w:t>
      </w:r>
      <w:r>
        <w:rPr>
          <w:color w:val="auto"/>
          <w:shd w:val="clear" w:color="auto" w:fill="auto"/>
        </w:rPr>
        <w:t>3</w:t>
      </w:r>
      <w:r>
        <w:rPr>
          <w:rFonts w:hAnsi="宋体"/>
          <w:color w:val="auto"/>
          <w:shd w:val="clear" w:color="auto" w:fill="auto"/>
        </w:rPr>
        <w:t>）执行</w:t>
      </w:r>
      <w:r>
        <w:rPr>
          <w:rFonts w:hint="eastAsia" w:hAnsi="宋体"/>
          <w:color w:val="auto"/>
          <w:shd w:val="clear" w:color="auto" w:fill="auto"/>
        </w:rPr>
        <w:t>企业</w:t>
      </w:r>
      <w:r>
        <w:rPr>
          <w:rFonts w:hAnsi="宋体"/>
          <w:color w:val="auto"/>
          <w:shd w:val="clear" w:color="auto" w:fill="auto"/>
        </w:rPr>
        <w:t>主管领导的各项有关环境保护工作指令，接受安徽省环保厅、市环保局的检查监督，定期与不定期地上报各项管理工作的执行情况，为区域环境整体控制服务。</w:t>
      </w:r>
    </w:p>
    <w:p>
      <w:pPr>
        <w:tabs>
          <w:tab w:val="left" w:pos="2982"/>
          <w:tab w:val="left" w:pos="3906"/>
        </w:tabs>
        <w:autoSpaceDE w:val="0"/>
        <w:autoSpaceDN w:val="0"/>
        <w:ind w:firstLine="480"/>
        <w:rPr>
          <w:color w:val="auto"/>
          <w:shd w:val="clear" w:color="auto" w:fill="auto"/>
        </w:rPr>
      </w:pPr>
      <w:r>
        <w:rPr>
          <w:rFonts w:hAnsi="宋体"/>
          <w:color w:val="auto"/>
          <w:shd w:val="clear" w:color="auto" w:fill="auto"/>
        </w:rPr>
        <w:t>（</w:t>
      </w:r>
      <w:r>
        <w:rPr>
          <w:color w:val="auto"/>
          <w:shd w:val="clear" w:color="auto" w:fill="auto"/>
        </w:rPr>
        <w:t>4</w:t>
      </w:r>
      <w:r>
        <w:rPr>
          <w:rFonts w:hAnsi="宋体"/>
          <w:color w:val="auto"/>
          <w:shd w:val="clear" w:color="auto" w:fill="auto"/>
        </w:rPr>
        <w:t>）负责各项环保设施的生产管理和监控工作；</w:t>
      </w:r>
    </w:p>
    <w:p>
      <w:pPr>
        <w:tabs>
          <w:tab w:val="left" w:pos="2982"/>
          <w:tab w:val="left" w:pos="3906"/>
        </w:tabs>
        <w:autoSpaceDE w:val="0"/>
        <w:autoSpaceDN w:val="0"/>
        <w:ind w:firstLine="480"/>
        <w:rPr>
          <w:color w:val="auto"/>
          <w:shd w:val="clear" w:color="auto" w:fill="auto"/>
        </w:rPr>
      </w:pPr>
      <w:r>
        <w:rPr>
          <w:rFonts w:hAnsi="宋体"/>
          <w:color w:val="auto"/>
          <w:shd w:val="clear" w:color="auto" w:fill="auto"/>
        </w:rPr>
        <w:t>（</w:t>
      </w:r>
      <w:r>
        <w:rPr>
          <w:color w:val="auto"/>
          <w:shd w:val="clear" w:color="auto" w:fill="auto"/>
        </w:rPr>
        <w:t>5</w:t>
      </w:r>
      <w:r>
        <w:rPr>
          <w:rFonts w:hAnsi="宋体"/>
          <w:color w:val="auto"/>
          <w:shd w:val="clear" w:color="auto" w:fill="auto"/>
        </w:rPr>
        <w:t>）负责环保设施事故与环境污染事故的处理；</w:t>
      </w:r>
    </w:p>
    <w:p>
      <w:pPr>
        <w:tabs>
          <w:tab w:val="left" w:pos="2982"/>
          <w:tab w:val="left" w:pos="3906"/>
        </w:tabs>
        <w:autoSpaceDE w:val="0"/>
        <w:autoSpaceDN w:val="0"/>
        <w:ind w:firstLine="480"/>
        <w:rPr>
          <w:color w:val="auto"/>
          <w:shd w:val="clear" w:color="auto" w:fill="auto"/>
        </w:rPr>
      </w:pPr>
      <w:r>
        <w:rPr>
          <w:rFonts w:hAnsi="宋体"/>
          <w:color w:val="auto"/>
          <w:shd w:val="clear" w:color="auto" w:fill="auto"/>
        </w:rPr>
        <w:t>（</w:t>
      </w:r>
      <w:r>
        <w:rPr>
          <w:color w:val="auto"/>
          <w:shd w:val="clear" w:color="auto" w:fill="auto"/>
        </w:rPr>
        <w:t>6</w:t>
      </w:r>
      <w:r>
        <w:rPr>
          <w:rFonts w:hAnsi="宋体"/>
          <w:color w:val="auto"/>
          <w:shd w:val="clear" w:color="auto" w:fill="auto"/>
        </w:rPr>
        <w:t>）推广应用先进的环保技术和经验，促进污染的综合防治和回收利用或循环使用；</w:t>
      </w:r>
    </w:p>
    <w:p>
      <w:pPr>
        <w:tabs>
          <w:tab w:val="left" w:pos="2982"/>
          <w:tab w:val="left" w:pos="3906"/>
        </w:tabs>
        <w:autoSpaceDE w:val="0"/>
        <w:autoSpaceDN w:val="0"/>
        <w:ind w:firstLine="480"/>
        <w:rPr>
          <w:color w:val="auto"/>
          <w:shd w:val="clear" w:color="auto" w:fill="auto"/>
        </w:rPr>
      </w:pPr>
      <w:r>
        <w:rPr>
          <w:rFonts w:hAnsi="宋体"/>
          <w:color w:val="auto"/>
          <w:shd w:val="clear" w:color="auto" w:fill="auto"/>
        </w:rPr>
        <w:t>（</w:t>
      </w:r>
      <w:r>
        <w:rPr>
          <w:color w:val="auto"/>
          <w:shd w:val="clear" w:color="auto" w:fill="auto"/>
        </w:rPr>
        <w:t>7</w:t>
      </w:r>
      <w:r>
        <w:rPr>
          <w:rFonts w:hAnsi="宋体"/>
          <w:color w:val="auto"/>
          <w:shd w:val="clear" w:color="auto" w:fill="auto"/>
        </w:rPr>
        <w:t>）组织开展环境保护宣传和教育，强化员工的环境意识。</w:t>
      </w:r>
    </w:p>
    <w:p>
      <w:pPr>
        <w:pStyle w:val="5"/>
        <w:rPr>
          <w:rFonts w:hint="eastAsia"/>
          <w:color w:val="auto"/>
          <w:shd w:val="clear" w:color="auto" w:fill="auto"/>
          <w:lang w:val="en-US" w:eastAsia="zh-CN"/>
        </w:rPr>
      </w:pPr>
      <w:bookmarkStart w:id="406" w:name="_Toc316642129"/>
      <w:bookmarkStart w:id="407" w:name="_Toc233391482"/>
      <w:r>
        <w:rPr>
          <w:rFonts w:hint="eastAsia"/>
          <w:color w:val="auto"/>
          <w:shd w:val="clear" w:color="auto" w:fill="auto"/>
          <w:lang w:val="en-US" w:eastAsia="zh-CN"/>
        </w:rPr>
        <w:t>7</w:t>
      </w:r>
      <w:r>
        <w:rPr>
          <w:color w:val="auto"/>
          <w:shd w:val="clear" w:color="auto" w:fill="auto"/>
        </w:rPr>
        <w:t>.</w:t>
      </w:r>
      <w:r>
        <w:rPr>
          <w:rFonts w:hint="eastAsia"/>
          <w:color w:val="auto"/>
          <w:shd w:val="clear" w:color="auto" w:fill="auto"/>
          <w:lang w:val="en-US" w:eastAsia="zh-CN"/>
        </w:rPr>
        <w:t>1.2</w:t>
      </w:r>
      <w:r>
        <w:rPr>
          <w:color w:val="auto"/>
          <w:shd w:val="clear" w:color="auto" w:fill="auto"/>
        </w:rPr>
        <w:t xml:space="preserve"> 施工期的环境管理</w:t>
      </w:r>
      <w:bookmarkEnd w:id="406"/>
      <w:bookmarkEnd w:id="407"/>
      <w:r>
        <w:rPr>
          <w:rFonts w:hint="eastAsia"/>
          <w:color w:val="auto"/>
          <w:shd w:val="clear" w:color="auto" w:fill="auto"/>
          <w:lang w:val="en-US" w:eastAsia="zh-CN"/>
        </w:rPr>
        <w:t>措施</w:t>
      </w:r>
    </w:p>
    <w:p>
      <w:pPr>
        <w:tabs>
          <w:tab w:val="left" w:pos="2982"/>
          <w:tab w:val="left" w:pos="3906"/>
        </w:tabs>
        <w:autoSpaceDE w:val="0"/>
        <w:autoSpaceDN w:val="0"/>
        <w:spacing w:line="440" w:lineRule="exact"/>
        <w:ind w:firstLine="480"/>
        <w:rPr>
          <w:color w:val="auto"/>
          <w:shd w:val="clear" w:color="auto" w:fill="auto"/>
        </w:rPr>
      </w:pPr>
      <w:r>
        <w:rPr>
          <w:rFonts w:hAnsi="宋体"/>
          <w:color w:val="auto"/>
          <w:shd w:val="clear" w:color="auto" w:fill="auto"/>
        </w:rPr>
        <w:t>施工期的环境管理包括项目的前期阶段管理、施工中的管理和竣工验收阶段的管理。</w:t>
      </w:r>
    </w:p>
    <w:p>
      <w:pPr>
        <w:pStyle w:val="6"/>
        <w:rPr>
          <w:color w:val="auto"/>
          <w:shd w:val="clear" w:color="auto" w:fill="auto"/>
        </w:rPr>
      </w:pPr>
      <w:bookmarkStart w:id="408" w:name="_Toc304712892"/>
      <w:bookmarkStart w:id="409" w:name="_Toc233391483"/>
      <w:bookmarkStart w:id="410" w:name="_Toc304683893"/>
      <w:bookmarkStart w:id="411" w:name="_Toc312204496"/>
      <w:bookmarkStart w:id="412" w:name="_Toc316642130"/>
      <w:r>
        <w:rPr>
          <w:rFonts w:hint="eastAsia"/>
          <w:color w:val="auto"/>
          <w:shd w:val="clear" w:color="auto" w:fill="auto"/>
          <w:lang w:val="en-US" w:eastAsia="zh-CN"/>
        </w:rPr>
        <w:t>7</w:t>
      </w:r>
      <w:r>
        <w:rPr>
          <w:rFonts w:hint="eastAsia"/>
          <w:color w:val="auto"/>
          <w:shd w:val="clear" w:color="auto" w:fill="auto"/>
        </w:rPr>
        <w:t>.</w:t>
      </w:r>
      <w:r>
        <w:rPr>
          <w:color w:val="auto"/>
          <w:shd w:val="clear" w:color="auto" w:fill="auto"/>
        </w:rPr>
        <w:t>1.2.1 项目前期阶段的环境管理</w:t>
      </w:r>
      <w:bookmarkEnd w:id="408"/>
      <w:bookmarkEnd w:id="409"/>
      <w:bookmarkEnd w:id="410"/>
      <w:bookmarkEnd w:id="411"/>
      <w:bookmarkEnd w:id="412"/>
    </w:p>
    <w:p>
      <w:pPr>
        <w:tabs>
          <w:tab w:val="left" w:pos="2982"/>
          <w:tab w:val="left" w:pos="3906"/>
        </w:tabs>
        <w:autoSpaceDE w:val="0"/>
        <w:autoSpaceDN w:val="0"/>
        <w:ind w:firstLine="480"/>
        <w:rPr>
          <w:color w:val="auto"/>
          <w:shd w:val="clear" w:color="auto" w:fill="auto"/>
        </w:rPr>
      </w:pPr>
      <w:r>
        <w:rPr>
          <w:rFonts w:hAnsi="宋体"/>
          <w:color w:val="auto"/>
          <w:shd w:val="clear" w:color="auto" w:fill="auto"/>
        </w:rPr>
        <w:t>（</w:t>
      </w:r>
      <w:r>
        <w:rPr>
          <w:color w:val="auto"/>
          <w:shd w:val="clear" w:color="auto" w:fill="auto"/>
        </w:rPr>
        <w:t>1</w:t>
      </w:r>
      <w:r>
        <w:rPr>
          <w:rFonts w:hAnsi="宋体"/>
          <w:color w:val="auto"/>
          <w:shd w:val="clear" w:color="auto" w:fill="auto"/>
        </w:rPr>
        <w:t>）可行性研究阶段</w:t>
      </w:r>
    </w:p>
    <w:p>
      <w:pPr>
        <w:tabs>
          <w:tab w:val="left" w:pos="2982"/>
          <w:tab w:val="left" w:pos="3906"/>
        </w:tabs>
        <w:autoSpaceDE w:val="0"/>
        <w:autoSpaceDN w:val="0"/>
        <w:ind w:firstLine="480"/>
        <w:rPr>
          <w:color w:val="auto"/>
          <w:shd w:val="clear" w:color="auto" w:fill="auto"/>
        </w:rPr>
      </w:pPr>
      <w:r>
        <w:rPr>
          <w:rFonts w:hint="eastAsia" w:hAnsi="宋体"/>
          <w:color w:val="auto"/>
          <w:shd w:val="clear" w:color="auto" w:fill="auto"/>
        </w:rPr>
        <w:t>拟建</w:t>
      </w:r>
      <w:r>
        <w:rPr>
          <w:rFonts w:hAnsi="宋体"/>
          <w:color w:val="auto"/>
          <w:shd w:val="clear" w:color="auto" w:fill="auto"/>
        </w:rPr>
        <w:t>工程应按规定委托有资质的单位编制该项目的环境影响报告书，由环保主管部门审批后，将环保措施纳入可研报告。</w:t>
      </w:r>
    </w:p>
    <w:p>
      <w:pPr>
        <w:tabs>
          <w:tab w:val="left" w:pos="2982"/>
          <w:tab w:val="left" w:pos="3906"/>
        </w:tabs>
        <w:autoSpaceDE w:val="0"/>
        <w:autoSpaceDN w:val="0"/>
        <w:ind w:firstLine="480"/>
        <w:rPr>
          <w:color w:val="auto"/>
          <w:shd w:val="clear" w:color="auto" w:fill="auto"/>
        </w:rPr>
      </w:pPr>
      <w:r>
        <w:rPr>
          <w:rFonts w:hAnsi="宋体"/>
          <w:color w:val="auto"/>
          <w:shd w:val="clear" w:color="auto" w:fill="auto"/>
        </w:rPr>
        <w:t>（</w:t>
      </w:r>
      <w:r>
        <w:rPr>
          <w:color w:val="auto"/>
          <w:shd w:val="clear" w:color="auto" w:fill="auto"/>
        </w:rPr>
        <w:t>2</w:t>
      </w:r>
      <w:r>
        <w:rPr>
          <w:rFonts w:hAnsi="宋体"/>
          <w:color w:val="auto"/>
          <w:shd w:val="clear" w:color="auto" w:fill="auto"/>
        </w:rPr>
        <w:t>）设计阶段</w:t>
      </w:r>
    </w:p>
    <w:p>
      <w:pPr>
        <w:tabs>
          <w:tab w:val="left" w:pos="2982"/>
          <w:tab w:val="left" w:pos="3906"/>
        </w:tabs>
        <w:autoSpaceDE w:val="0"/>
        <w:autoSpaceDN w:val="0"/>
        <w:ind w:firstLine="480"/>
        <w:rPr>
          <w:color w:val="auto"/>
          <w:shd w:val="clear" w:color="auto" w:fill="auto"/>
        </w:rPr>
      </w:pPr>
      <w:r>
        <w:rPr>
          <w:rFonts w:hint="eastAsia" w:hAnsi="宋体"/>
          <w:color w:val="auto"/>
          <w:shd w:val="clear" w:color="auto" w:fill="auto"/>
        </w:rPr>
        <w:t>拟建</w:t>
      </w:r>
      <w:r>
        <w:rPr>
          <w:rFonts w:hAnsi="宋体"/>
          <w:color w:val="auto"/>
          <w:shd w:val="clear" w:color="auto" w:fill="auto"/>
        </w:rPr>
        <w:t>工程应要求设计单位把环境影响报告书中提出的环保措施纳入设计中，与主体设施同时设计。在投资概算中，要把环保措施运行费用留足。</w:t>
      </w:r>
    </w:p>
    <w:p>
      <w:pPr>
        <w:tabs>
          <w:tab w:val="left" w:pos="2982"/>
          <w:tab w:val="left" w:pos="3906"/>
        </w:tabs>
        <w:autoSpaceDE w:val="0"/>
        <w:autoSpaceDN w:val="0"/>
        <w:ind w:firstLine="480"/>
        <w:rPr>
          <w:color w:val="auto"/>
          <w:shd w:val="clear" w:color="auto" w:fill="auto"/>
        </w:rPr>
      </w:pPr>
      <w:r>
        <w:rPr>
          <w:rFonts w:hAnsi="宋体"/>
          <w:color w:val="auto"/>
          <w:shd w:val="clear" w:color="auto" w:fill="auto"/>
        </w:rPr>
        <w:t>（</w:t>
      </w:r>
      <w:r>
        <w:rPr>
          <w:color w:val="auto"/>
          <w:shd w:val="clear" w:color="auto" w:fill="auto"/>
        </w:rPr>
        <w:t>3</w:t>
      </w:r>
      <w:r>
        <w:rPr>
          <w:rFonts w:hAnsi="宋体"/>
          <w:color w:val="auto"/>
          <w:shd w:val="clear" w:color="auto" w:fill="auto"/>
        </w:rPr>
        <w:t>）招标阶段</w:t>
      </w:r>
    </w:p>
    <w:p>
      <w:pPr>
        <w:tabs>
          <w:tab w:val="left" w:pos="2982"/>
          <w:tab w:val="left" w:pos="3906"/>
        </w:tabs>
        <w:autoSpaceDE w:val="0"/>
        <w:autoSpaceDN w:val="0"/>
        <w:ind w:firstLine="480"/>
        <w:rPr>
          <w:color w:val="auto"/>
          <w:shd w:val="clear" w:color="auto" w:fill="auto"/>
        </w:rPr>
      </w:pPr>
      <w:r>
        <w:rPr>
          <w:rFonts w:hint="eastAsia" w:hAnsi="宋体"/>
          <w:color w:val="auto"/>
          <w:shd w:val="clear" w:color="auto" w:fill="auto"/>
        </w:rPr>
        <w:t>拟建</w:t>
      </w:r>
      <w:r>
        <w:rPr>
          <w:rFonts w:hAnsi="宋体"/>
          <w:color w:val="auto"/>
          <w:shd w:val="clear" w:color="auto" w:fill="auto"/>
        </w:rPr>
        <w:t>工程应根据环评报告书的要求和建议，提出工程施工时的环境保护措施的要求和管理规定，纳入招标要求，要求承包商在标书中要有相应的环保措施内容，并要求承包商在中标后提出较详细的实施计划，确保环保措施在施工时的实施。</w:t>
      </w:r>
    </w:p>
    <w:p>
      <w:pPr>
        <w:pStyle w:val="6"/>
        <w:rPr>
          <w:color w:val="auto"/>
          <w:shd w:val="clear" w:color="auto" w:fill="auto"/>
        </w:rPr>
      </w:pPr>
      <w:bookmarkStart w:id="413" w:name="_Toc304712893"/>
      <w:bookmarkStart w:id="414" w:name="_Toc316642131"/>
      <w:bookmarkStart w:id="415" w:name="_Toc304683894"/>
      <w:bookmarkStart w:id="416" w:name="_Toc312204497"/>
      <w:bookmarkStart w:id="417" w:name="_Toc233391484"/>
      <w:r>
        <w:rPr>
          <w:rFonts w:hint="eastAsia"/>
          <w:color w:val="auto"/>
          <w:shd w:val="clear" w:color="auto" w:fill="auto"/>
          <w:lang w:val="en-US" w:eastAsia="zh-CN"/>
        </w:rPr>
        <w:t>7</w:t>
      </w:r>
      <w:r>
        <w:rPr>
          <w:color w:val="auto"/>
          <w:shd w:val="clear" w:color="auto" w:fill="auto"/>
        </w:rPr>
        <w:t>.1.2.2 施工中的环境管理</w:t>
      </w:r>
      <w:bookmarkEnd w:id="413"/>
      <w:bookmarkEnd w:id="414"/>
      <w:bookmarkEnd w:id="415"/>
      <w:bookmarkEnd w:id="416"/>
      <w:bookmarkEnd w:id="417"/>
    </w:p>
    <w:p>
      <w:pPr>
        <w:ind w:firstLine="480"/>
        <w:rPr>
          <w:color w:val="auto"/>
          <w:shd w:val="clear" w:color="auto" w:fill="auto"/>
        </w:rPr>
      </w:pPr>
      <w:r>
        <w:rPr>
          <w:color w:val="auto"/>
          <w:shd w:val="clear" w:color="auto" w:fill="auto"/>
        </w:rPr>
        <w:t>（1）施工中的环境管理应着重于施工场所的现场检查和监督。应采取日常的、全面的检查和重点监督检查相结合。</w:t>
      </w:r>
    </w:p>
    <w:p>
      <w:pPr>
        <w:ind w:firstLine="480"/>
        <w:rPr>
          <w:color w:val="auto"/>
          <w:shd w:val="clear" w:color="auto" w:fill="auto"/>
        </w:rPr>
      </w:pPr>
      <w:r>
        <w:rPr>
          <w:color w:val="auto"/>
          <w:shd w:val="clear" w:color="auto" w:fill="auto"/>
        </w:rPr>
        <w:t>（2）施工中环境管理和监督检查的第一个重点是防止植被破坏和水土流失。应把作业区后方低洼处填筑工程中的土方区、码头工程区列入重点检查对象。其次是施工人员进驻区及施工临时占地区(料场、仓库等)。检查其是否认真实施了植被保护措施，水土保持和养护措施。对于违规施工的，应及时予以制止和警告；对于造成严重植被破坏、水土流失或其它生态破坏者，应给予处罚或追究责任。</w:t>
      </w:r>
    </w:p>
    <w:p>
      <w:pPr>
        <w:ind w:firstLine="480"/>
        <w:rPr>
          <w:color w:val="auto"/>
          <w:shd w:val="clear" w:color="auto" w:fill="auto"/>
        </w:rPr>
      </w:pPr>
      <w:r>
        <w:rPr>
          <w:color w:val="auto"/>
          <w:shd w:val="clear" w:color="auto" w:fill="auto"/>
        </w:rPr>
        <w:t>（3）施工中环境管理的监督检查的另一个重点是防止施工中的水、气、声、渣污染。检查的重点是施工的高峰期和重点施工段。检查其是否实施了有关的水、气、声、渣污染控制措施。对于违规施工的，应及时予以制止和警告；对于造成严重污染者应给予处罚和追究责任。</w:t>
      </w:r>
    </w:p>
    <w:p>
      <w:pPr>
        <w:ind w:firstLine="480"/>
        <w:rPr>
          <w:color w:val="auto"/>
          <w:shd w:val="clear" w:color="auto" w:fill="auto"/>
        </w:rPr>
      </w:pPr>
      <w:r>
        <w:rPr>
          <w:color w:val="auto"/>
          <w:shd w:val="clear" w:color="auto" w:fill="auto"/>
        </w:rPr>
        <w:t>（4）施工中，应加强对施工机械油污水的管理，严格防止油污水泄漏。其次，应加强作业区后场低洼处土方填筑工程的管理。</w:t>
      </w:r>
    </w:p>
    <w:p>
      <w:pPr>
        <w:ind w:firstLine="480"/>
        <w:rPr>
          <w:color w:val="auto"/>
          <w:shd w:val="clear" w:color="auto" w:fill="auto"/>
        </w:rPr>
      </w:pPr>
      <w:r>
        <w:rPr>
          <w:color w:val="auto"/>
          <w:shd w:val="clear" w:color="auto" w:fill="auto"/>
        </w:rPr>
        <w:t>（5）所有的检查计划、检查情况和处理情况都应当有现场的文字记录，并应及时通报给各有关部门。记录应定期汇总、归档。</w:t>
      </w:r>
    </w:p>
    <w:p>
      <w:pPr>
        <w:pStyle w:val="6"/>
        <w:rPr>
          <w:color w:val="auto"/>
          <w:shd w:val="clear" w:color="auto" w:fill="auto"/>
        </w:rPr>
      </w:pPr>
      <w:bookmarkStart w:id="418" w:name="_Toc233391485"/>
      <w:bookmarkStart w:id="419" w:name="_Toc316642132"/>
      <w:bookmarkStart w:id="420" w:name="_Toc304683895"/>
      <w:bookmarkStart w:id="421" w:name="_Toc312204498"/>
      <w:bookmarkStart w:id="422" w:name="_Toc304712894"/>
      <w:r>
        <w:rPr>
          <w:rFonts w:hint="eastAsia"/>
          <w:color w:val="auto"/>
          <w:shd w:val="clear" w:color="auto" w:fill="auto"/>
          <w:lang w:val="en-US" w:eastAsia="zh-CN"/>
        </w:rPr>
        <w:t>7</w:t>
      </w:r>
      <w:r>
        <w:rPr>
          <w:color w:val="auto"/>
          <w:shd w:val="clear" w:color="auto" w:fill="auto"/>
        </w:rPr>
        <w:t>.1.2.3 验收阶段的环境管理</w:t>
      </w:r>
      <w:bookmarkEnd w:id="418"/>
      <w:bookmarkEnd w:id="419"/>
      <w:bookmarkEnd w:id="420"/>
      <w:bookmarkEnd w:id="421"/>
      <w:bookmarkEnd w:id="422"/>
    </w:p>
    <w:p>
      <w:pPr>
        <w:ind w:firstLine="480"/>
        <w:rPr>
          <w:color w:val="auto"/>
          <w:shd w:val="clear" w:color="auto" w:fill="auto"/>
        </w:rPr>
      </w:pPr>
      <w:r>
        <w:rPr>
          <w:color w:val="auto"/>
          <w:shd w:val="clear" w:color="auto" w:fill="auto"/>
        </w:rPr>
        <w:t>（1）施工后，应对施工场所、施工人员进驻区及施工临时占地区(料场、仓库等)的清场情况进行检查。要求施工固体废物清理干净，生活垃圾清理干净，土地平整符合要求，地面上植被得以恢复，周围景观得以修复或改善。</w:t>
      </w:r>
    </w:p>
    <w:p>
      <w:pPr>
        <w:ind w:firstLine="480"/>
        <w:rPr>
          <w:color w:val="auto"/>
          <w:shd w:val="clear" w:color="auto" w:fill="auto"/>
        </w:rPr>
      </w:pPr>
      <w:r>
        <w:rPr>
          <w:color w:val="auto"/>
          <w:shd w:val="clear" w:color="auto" w:fill="auto"/>
        </w:rPr>
        <w:t>（2）配合有关部门，做好水土保持工程、绿化工程的验收工作。</w:t>
      </w:r>
    </w:p>
    <w:p>
      <w:pPr>
        <w:ind w:firstLine="480"/>
        <w:rPr>
          <w:color w:val="auto"/>
          <w:shd w:val="clear" w:color="auto" w:fill="auto"/>
        </w:rPr>
      </w:pPr>
      <w:r>
        <w:rPr>
          <w:color w:val="auto"/>
          <w:shd w:val="clear" w:color="auto" w:fill="auto"/>
        </w:rPr>
        <w:t>（3）将施工期的环境管理工作计划、工作情况、现场监督检查记录和监测记录进行汇总或统计，写成施工期的环境管理工作报告，报告报给县或市环保主管部门，并归档。</w:t>
      </w:r>
    </w:p>
    <w:p>
      <w:pPr>
        <w:ind w:firstLine="480"/>
        <w:rPr>
          <w:color w:val="auto"/>
          <w:shd w:val="clear" w:color="auto" w:fill="auto"/>
        </w:rPr>
      </w:pPr>
      <w:r>
        <w:rPr>
          <w:color w:val="auto"/>
          <w:shd w:val="clear" w:color="auto" w:fill="auto"/>
        </w:rPr>
        <w:t>（4）在环保设施试运行合格后，提请环保主管部门对项目进行环保竣工验收。验收合格后方可进入营运阶段。</w:t>
      </w:r>
    </w:p>
    <w:p>
      <w:pPr>
        <w:pStyle w:val="5"/>
        <w:rPr>
          <w:rFonts w:hint="eastAsia"/>
          <w:color w:val="auto"/>
          <w:shd w:val="clear" w:color="auto" w:fill="auto"/>
          <w:lang w:val="en-US" w:eastAsia="zh-CN"/>
        </w:rPr>
      </w:pPr>
      <w:bookmarkStart w:id="423" w:name="_Toc233391486"/>
      <w:bookmarkStart w:id="424" w:name="_Toc316642133"/>
      <w:bookmarkStart w:id="425" w:name="_Toc90830606"/>
      <w:bookmarkStart w:id="426" w:name="_Toc144557325"/>
      <w:r>
        <w:rPr>
          <w:rFonts w:hint="eastAsia"/>
          <w:color w:val="auto"/>
          <w:shd w:val="clear" w:color="auto" w:fill="auto"/>
          <w:lang w:val="en-US" w:eastAsia="zh-CN"/>
        </w:rPr>
        <w:t>7</w:t>
      </w:r>
      <w:r>
        <w:rPr>
          <w:color w:val="auto"/>
          <w:shd w:val="clear" w:color="auto" w:fill="auto"/>
        </w:rPr>
        <w:t>.1.3 营运期的环境管理</w:t>
      </w:r>
      <w:bookmarkEnd w:id="423"/>
      <w:bookmarkEnd w:id="424"/>
      <w:bookmarkEnd w:id="425"/>
      <w:bookmarkEnd w:id="426"/>
      <w:r>
        <w:rPr>
          <w:rFonts w:hint="eastAsia"/>
          <w:color w:val="auto"/>
          <w:shd w:val="clear" w:color="auto" w:fill="auto"/>
          <w:lang w:val="en-US" w:eastAsia="zh-CN"/>
        </w:rPr>
        <w:t>措施</w:t>
      </w:r>
    </w:p>
    <w:p>
      <w:pPr>
        <w:ind w:firstLine="480"/>
        <w:rPr>
          <w:color w:val="auto"/>
          <w:shd w:val="clear" w:color="auto" w:fill="auto"/>
        </w:rPr>
      </w:pPr>
      <w:r>
        <w:rPr>
          <w:color w:val="auto"/>
          <w:shd w:val="clear" w:color="auto" w:fill="auto"/>
        </w:rPr>
        <w:t>营运期的环境管理的重点是各项环境保护措施的落实，环保设施运行的管理和维护，日常的监测及污染事故的防范和应急处理。</w:t>
      </w:r>
    </w:p>
    <w:p>
      <w:pPr>
        <w:pStyle w:val="6"/>
        <w:rPr>
          <w:color w:val="auto"/>
          <w:shd w:val="clear" w:color="auto" w:fill="auto"/>
        </w:rPr>
      </w:pPr>
      <w:bookmarkStart w:id="427" w:name="_Toc233391487"/>
      <w:bookmarkStart w:id="428" w:name="_Toc316642134"/>
      <w:bookmarkStart w:id="429" w:name="_Toc304712896"/>
      <w:bookmarkStart w:id="430" w:name="_Toc312204500"/>
      <w:bookmarkStart w:id="431" w:name="_Toc304683897"/>
      <w:r>
        <w:rPr>
          <w:rFonts w:hint="eastAsia"/>
          <w:color w:val="auto"/>
          <w:shd w:val="clear" w:color="auto" w:fill="auto"/>
          <w:lang w:val="en-US" w:eastAsia="zh-CN"/>
        </w:rPr>
        <w:t>7</w:t>
      </w:r>
      <w:r>
        <w:rPr>
          <w:color w:val="auto"/>
          <w:shd w:val="clear" w:color="auto" w:fill="auto"/>
        </w:rPr>
        <w:t>.1.3.1 制度上的管理</w:t>
      </w:r>
      <w:bookmarkEnd w:id="427"/>
      <w:bookmarkEnd w:id="428"/>
      <w:bookmarkEnd w:id="429"/>
      <w:bookmarkEnd w:id="430"/>
      <w:bookmarkEnd w:id="431"/>
    </w:p>
    <w:p>
      <w:pPr>
        <w:ind w:firstLine="480"/>
        <w:rPr>
          <w:color w:val="auto"/>
          <w:shd w:val="clear" w:color="auto" w:fill="auto"/>
        </w:rPr>
      </w:pPr>
      <w:r>
        <w:rPr>
          <w:color w:val="auto"/>
          <w:shd w:val="clear" w:color="auto" w:fill="auto"/>
        </w:rPr>
        <w:t>（1）严格、认真地贯彻执行国家、省、市的有关环保法律、法规、政策和要求。</w:t>
      </w:r>
    </w:p>
    <w:p>
      <w:pPr>
        <w:ind w:firstLine="480"/>
        <w:rPr>
          <w:color w:val="auto"/>
          <w:shd w:val="clear" w:color="auto" w:fill="auto"/>
        </w:rPr>
      </w:pPr>
      <w:r>
        <w:rPr>
          <w:color w:val="auto"/>
          <w:shd w:val="clear" w:color="auto" w:fill="auto"/>
        </w:rPr>
        <w:t>（2）制定本港区的环境管理制度和各专项环境管理办法，并对其实施情况进行监督、检查。</w:t>
      </w:r>
    </w:p>
    <w:p>
      <w:pPr>
        <w:ind w:firstLine="480"/>
        <w:rPr>
          <w:color w:val="auto"/>
          <w:shd w:val="clear" w:color="auto" w:fill="auto"/>
        </w:rPr>
      </w:pPr>
      <w:r>
        <w:rPr>
          <w:color w:val="auto"/>
          <w:shd w:val="clear" w:color="auto" w:fill="auto"/>
        </w:rPr>
        <w:t>（3）制定本港区的环境保护规划和年度目标计划，组织实施，并应进行阶段性的检查、总结。</w:t>
      </w:r>
    </w:p>
    <w:p>
      <w:pPr>
        <w:ind w:firstLine="480"/>
        <w:rPr>
          <w:color w:val="auto"/>
          <w:shd w:val="clear" w:color="auto" w:fill="auto"/>
        </w:rPr>
      </w:pPr>
      <w:r>
        <w:rPr>
          <w:color w:val="auto"/>
          <w:shd w:val="clear" w:color="auto" w:fill="auto"/>
        </w:rPr>
        <w:t>（4）制定本港区各项环保目标责任制的考核指标，分解到各工段、班组，进行定量考评，使定量考核成为一项长期的制度。</w:t>
      </w:r>
    </w:p>
    <w:p>
      <w:pPr>
        <w:pStyle w:val="6"/>
        <w:rPr>
          <w:color w:val="auto"/>
          <w:shd w:val="clear" w:color="auto" w:fill="auto"/>
        </w:rPr>
      </w:pPr>
      <w:bookmarkStart w:id="432" w:name="_Toc304683898"/>
      <w:bookmarkStart w:id="433" w:name="_Toc304712897"/>
      <w:bookmarkStart w:id="434" w:name="_Toc233391488"/>
      <w:bookmarkStart w:id="435" w:name="_Toc312204501"/>
      <w:bookmarkStart w:id="436" w:name="_Toc316642135"/>
      <w:r>
        <w:rPr>
          <w:rFonts w:hint="eastAsia"/>
          <w:color w:val="auto"/>
          <w:shd w:val="clear" w:color="auto" w:fill="auto"/>
          <w:lang w:val="en-US" w:eastAsia="zh-CN"/>
        </w:rPr>
        <w:t>7</w:t>
      </w:r>
      <w:r>
        <w:rPr>
          <w:color w:val="auto"/>
          <w:shd w:val="clear" w:color="auto" w:fill="auto"/>
        </w:rPr>
        <w:t>.1.3.2 生产中的环境管理</w:t>
      </w:r>
      <w:bookmarkEnd w:id="432"/>
      <w:bookmarkEnd w:id="433"/>
      <w:bookmarkEnd w:id="434"/>
      <w:bookmarkEnd w:id="435"/>
      <w:bookmarkEnd w:id="436"/>
    </w:p>
    <w:p>
      <w:pPr>
        <w:ind w:firstLine="480"/>
        <w:rPr>
          <w:color w:val="auto"/>
          <w:shd w:val="clear" w:color="auto" w:fill="auto"/>
        </w:rPr>
      </w:pPr>
      <w:r>
        <w:rPr>
          <w:color w:val="auto"/>
          <w:shd w:val="clear" w:color="auto" w:fill="auto"/>
        </w:rPr>
        <w:t>（1）在生产工艺中，要重视技术因素对环境的影响，要采用无污染和少污染的新工艺和新技术。</w:t>
      </w:r>
    </w:p>
    <w:p>
      <w:pPr>
        <w:ind w:firstLine="480"/>
        <w:rPr>
          <w:color w:val="auto"/>
          <w:shd w:val="clear" w:color="auto" w:fill="auto"/>
        </w:rPr>
      </w:pPr>
      <w:r>
        <w:rPr>
          <w:color w:val="auto"/>
          <w:shd w:val="clear" w:color="auto" w:fill="auto"/>
        </w:rPr>
        <w:t>（2）在采用新工艺、新技术的同时，配套引进先进设备；配套引进自动化控制系统(微机控制系统等)。</w:t>
      </w:r>
    </w:p>
    <w:p>
      <w:pPr>
        <w:ind w:firstLine="480"/>
        <w:rPr>
          <w:color w:val="auto"/>
          <w:shd w:val="clear" w:color="auto" w:fill="auto"/>
        </w:rPr>
      </w:pPr>
      <w:r>
        <w:rPr>
          <w:color w:val="auto"/>
          <w:shd w:val="clear" w:color="auto" w:fill="auto"/>
        </w:rPr>
        <w:t>（3）所有的员工都应受到相应的岗位培训，使之能胜任该岗位的工作。</w:t>
      </w:r>
    </w:p>
    <w:p>
      <w:pPr>
        <w:ind w:firstLine="480"/>
        <w:rPr>
          <w:color w:val="auto"/>
          <w:shd w:val="clear" w:color="auto" w:fill="auto"/>
        </w:rPr>
      </w:pPr>
      <w:r>
        <w:rPr>
          <w:color w:val="auto"/>
          <w:shd w:val="clear" w:color="auto" w:fill="auto"/>
        </w:rPr>
        <w:t>（4）所有的岗位都应有相应的操作规程，完整的运行记录，和畅通的信息交流通道。</w:t>
      </w:r>
    </w:p>
    <w:p>
      <w:pPr>
        <w:ind w:firstLine="480"/>
        <w:rPr>
          <w:color w:val="auto"/>
          <w:shd w:val="clear" w:color="auto" w:fill="auto"/>
        </w:rPr>
      </w:pPr>
      <w:r>
        <w:rPr>
          <w:color w:val="auto"/>
          <w:shd w:val="clear" w:color="auto" w:fill="auto"/>
        </w:rPr>
        <w:t>（5）根据港区的环境保护目标考核计划，结合生产过程各环节的不同环境要求，把资源和能源消耗、资源回收利用、污染物排放量和反映环保工作水平的生产环境质量等环保指标，纳入各级生产作业计划，同其它生产指标一起组织实施和考核。</w:t>
      </w:r>
    </w:p>
    <w:p>
      <w:pPr>
        <w:ind w:firstLine="480"/>
        <w:rPr>
          <w:color w:val="auto"/>
          <w:shd w:val="clear" w:color="auto" w:fill="auto"/>
        </w:rPr>
      </w:pPr>
      <w:r>
        <w:rPr>
          <w:color w:val="auto"/>
          <w:shd w:val="clear" w:color="auto" w:fill="auto"/>
        </w:rPr>
        <w:t>（6）在布置、检查、总结生产工作时，要同时布置、检查、总结环境保护工作，要把环境保护指标落实到各工段、班组和个人。</w:t>
      </w:r>
    </w:p>
    <w:p>
      <w:pPr>
        <w:pStyle w:val="6"/>
        <w:rPr>
          <w:color w:val="auto"/>
          <w:shd w:val="clear" w:color="auto" w:fill="auto"/>
        </w:rPr>
      </w:pPr>
      <w:bookmarkStart w:id="437" w:name="_Toc304683899"/>
      <w:bookmarkStart w:id="438" w:name="_Toc191359923"/>
      <w:bookmarkStart w:id="439" w:name="_Toc304712898"/>
      <w:bookmarkStart w:id="440" w:name="_Toc191360171"/>
      <w:bookmarkStart w:id="441" w:name="_Toc182636211"/>
      <w:bookmarkStart w:id="442" w:name="_Toc312204502"/>
      <w:bookmarkStart w:id="443" w:name="_Toc191097143"/>
      <w:bookmarkStart w:id="444" w:name="_Toc316642136"/>
      <w:r>
        <w:rPr>
          <w:rFonts w:hint="eastAsia"/>
          <w:color w:val="auto"/>
          <w:shd w:val="clear" w:color="auto" w:fill="auto"/>
          <w:lang w:val="en-US" w:eastAsia="zh-CN"/>
        </w:rPr>
        <w:t>7</w:t>
      </w:r>
      <w:r>
        <w:rPr>
          <w:color w:val="auto"/>
          <w:shd w:val="clear" w:color="auto" w:fill="auto"/>
        </w:rPr>
        <w:t>.1.3.3 码头水域的环境管理</w:t>
      </w:r>
      <w:bookmarkEnd w:id="437"/>
      <w:bookmarkEnd w:id="438"/>
      <w:bookmarkEnd w:id="439"/>
      <w:bookmarkEnd w:id="440"/>
      <w:bookmarkEnd w:id="441"/>
      <w:bookmarkEnd w:id="442"/>
      <w:bookmarkEnd w:id="443"/>
      <w:bookmarkEnd w:id="444"/>
    </w:p>
    <w:p>
      <w:pPr>
        <w:ind w:firstLine="480"/>
        <w:rPr>
          <w:color w:val="auto"/>
          <w:shd w:val="clear" w:color="auto" w:fill="auto"/>
        </w:rPr>
      </w:pPr>
      <w:r>
        <w:rPr>
          <w:color w:val="auto"/>
          <w:shd w:val="clear" w:color="auto" w:fill="auto"/>
        </w:rPr>
        <w:t>（1）水域的环境管理重点是船舶污染的防治。加强对进出码头船舶的管理，严禁船舶随意向码头水域排放油污水、生活污水和生活垃圾。应加强水面巡查，发现违章，应及时纠正，严肃处理。</w:t>
      </w:r>
    </w:p>
    <w:p>
      <w:pPr>
        <w:ind w:firstLine="480"/>
        <w:rPr>
          <w:color w:val="auto"/>
          <w:shd w:val="clear" w:color="auto" w:fill="auto"/>
        </w:rPr>
      </w:pPr>
      <w:r>
        <w:rPr>
          <w:color w:val="auto"/>
          <w:shd w:val="clear" w:color="auto" w:fill="auto"/>
        </w:rPr>
        <w:t>（2）应加强对码头内船舶油污水的管理。严格防止油污水泄漏。对船舶油污水应要求经自带油水分离器处理达标后方可排放。</w:t>
      </w:r>
    </w:p>
    <w:p>
      <w:pPr>
        <w:ind w:firstLine="480"/>
        <w:rPr>
          <w:color w:val="auto"/>
          <w:shd w:val="clear" w:color="auto" w:fill="auto"/>
        </w:rPr>
      </w:pPr>
      <w:r>
        <w:rPr>
          <w:color w:val="auto"/>
          <w:shd w:val="clear" w:color="auto" w:fill="auto"/>
        </w:rPr>
        <w:t>（3）入港装卸的船舶，应要求靠泊到位，装卸作业要求文明作业，避免物料撒落入河，造成河水污染。</w:t>
      </w:r>
    </w:p>
    <w:p>
      <w:pPr>
        <w:ind w:firstLine="480"/>
        <w:rPr>
          <w:color w:val="auto"/>
          <w:shd w:val="clear" w:color="auto" w:fill="auto"/>
        </w:rPr>
      </w:pPr>
      <w:r>
        <w:rPr>
          <w:color w:val="auto"/>
          <w:shd w:val="clear" w:color="auto" w:fill="auto"/>
        </w:rPr>
        <w:t>（4）加强对进出港船舶的交通管理，避免船舶碰撞等，造成泄漏污染。</w:t>
      </w:r>
    </w:p>
    <w:p>
      <w:pPr>
        <w:ind w:firstLine="480"/>
        <w:rPr>
          <w:color w:val="auto"/>
          <w:shd w:val="clear" w:color="auto" w:fill="auto"/>
        </w:rPr>
      </w:pPr>
      <w:r>
        <w:rPr>
          <w:color w:val="auto"/>
          <w:shd w:val="clear" w:color="auto" w:fill="auto"/>
        </w:rPr>
        <w:t>（5）加强水体监控和水质监测。如发现水面上油污、垃圾，应及时清理。如发现水体异常(如变色、异味等)或水质监测数据异常，应加强监控。如发现较大的污染事故，应启动应急程序。</w:t>
      </w:r>
    </w:p>
    <w:p>
      <w:pPr>
        <w:ind w:firstLine="480"/>
        <w:rPr>
          <w:color w:val="auto"/>
          <w:shd w:val="clear" w:color="auto" w:fill="auto"/>
        </w:rPr>
      </w:pPr>
      <w:r>
        <w:rPr>
          <w:color w:val="auto"/>
          <w:shd w:val="clear" w:color="auto" w:fill="auto"/>
        </w:rPr>
        <w:t>（6）港区应配备围油栏、吸油毡、消油剂等器材，以便随时应对溢油事故。</w:t>
      </w:r>
    </w:p>
    <w:p>
      <w:pPr>
        <w:pStyle w:val="6"/>
        <w:rPr>
          <w:color w:val="auto"/>
          <w:shd w:val="clear" w:color="auto" w:fill="auto"/>
        </w:rPr>
      </w:pPr>
      <w:bookmarkStart w:id="445" w:name="_Toc191097144"/>
      <w:bookmarkStart w:id="446" w:name="_Toc304712899"/>
      <w:bookmarkStart w:id="447" w:name="_Toc191359924"/>
      <w:bookmarkStart w:id="448" w:name="_Toc304683900"/>
      <w:bookmarkStart w:id="449" w:name="_Toc316642137"/>
      <w:bookmarkStart w:id="450" w:name="_Toc182636212"/>
      <w:bookmarkStart w:id="451" w:name="_Toc312204503"/>
      <w:bookmarkStart w:id="452" w:name="_Toc191360172"/>
      <w:r>
        <w:rPr>
          <w:rFonts w:hint="eastAsia"/>
          <w:color w:val="auto"/>
          <w:shd w:val="clear" w:color="auto" w:fill="auto"/>
          <w:lang w:val="en-US" w:eastAsia="zh-CN"/>
        </w:rPr>
        <w:t>7</w:t>
      </w:r>
      <w:r>
        <w:rPr>
          <w:color w:val="auto"/>
          <w:shd w:val="clear" w:color="auto" w:fill="auto"/>
        </w:rPr>
        <w:t>.1.3.4 码头的环境管理</w:t>
      </w:r>
      <w:bookmarkEnd w:id="445"/>
      <w:bookmarkEnd w:id="446"/>
      <w:bookmarkEnd w:id="447"/>
      <w:bookmarkEnd w:id="448"/>
      <w:bookmarkEnd w:id="449"/>
      <w:bookmarkEnd w:id="450"/>
      <w:bookmarkEnd w:id="451"/>
      <w:bookmarkEnd w:id="452"/>
    </w:p>
    <w:p>
      <w:pPr>
        <w:ind w:firstLine="480"/>
        <w:rPr>
          <w:rFonts w:ascii="Times New Roman" w:hAnsi="Times New Roman" w:cs="Times New Roman"/>
          <w:color w:val="auto"/>
          <w:shd w:val="clear" w:color="auto" w:fill="auto"/>
        </w:rPr>
      </w:pPr>
      <w:r>
        <w:rPr>
          <w:color w:val="auto"/>
          <w:shd w:val="clear" w:color="auto" w:fill="auto"/>
        </w:rPr>
        <w:t>（</w:t>
      </w:r>
      <w:r>
        <w:rPr>
          <w:rFonts w:ascii="Times New Roman" w:hAnsi="Times New Roman" w:cs="Times New Roman"/>
          <w:color w:val="auto"/>
          <w:shd w:val="clear" w:color="auto" w:fill="auto"/>
        </w:rPr>
        <w:t>1）应加强管理，严格控制车辆尾气污染。应要求运输车辆必须通过尾气检测达标。</w:t>
      </w:r>
    </w:p>
    <w:p>
      <w:pPr>
        <w:ind w:firstLine="480"/>
        <w:rPr>
          <w:color w:val="auto"/>
          <w:shd w:val="clear" w:color="auto" w:fill="auto"/>
        </w:rPr>
      </w:pPr>
      <w:r>
        <w:rPr>
          <w:rFonts w:ascii="Times New Roman" w:hAnsi="Times New Roman" w:cs="Times New Roman"/>
          <w:color w:val="auto"/>
          <w:shd w:val="clear" w:color="auto" w:fill="auto"/>
        </w:rPr>
        <w:t>（2）应</w:t>
      </w:r>
      <w:r>
        <w:rPr>
          <w:color w:val="auto"/>
          <w:shd w:val="clear" w:color="auto" w:fill="auto"/>
        </w:rPr>
        <w:t>及时对港区清扫、洒水，并应定时冲洗，以保持地面清洁，减少扬尘。</w:t>
      </w:r>
    </w:p>
    <w:p>
      <w:pPr>
        <w:ind w:firstLine="480"/>
        <w:rPr>
          <w:rFonts w:ascii="Times New Roman" w:hAnsi="Times New Roman" w:cs="Times New Roman"/>
          <w:color w:val="auto"/>
          <w:shd w:val="clear" w:color="auto" w:fill="auto"/>
        </w:rPr>
      </w:pPr>
      <w:r>
        <w:rPr>
          <w:rFonts w:ascii="Times New Roman" w:hAnsi="Times New Roman" w:cs="Times New Roman"/>
          <w:color w:val="auto"/>
          <w:shd w:val="clear" w:color="auto" w:fill="auto"/>
        </w:rPr>
        <w:t>（3）应要求进出作业区车辆禁鸣喇叭或使用低音喇叭，减少噪声污染。</w:t>
      </w:r>
    </w:p>
    <w:p>
      <w:pPr>
        <w:ind w:firstLine="480"/>
        <w:rPr>
          <w:rFonts w:hint="eastAsia" w:ascii="Times New Roman" w:hAnsi="Times New Roman" w:eastAsia="宋体" w:cs="Times New Roman"/>
          <w:color w:val="auto"/>
          <w:shd w:val="clear" w:color="auto" w:fill="auto"/>
          <w:lang w:eastAsia="zh-CN"/>
        </w:rPr>
      </w:pPr>
      <w:r>
        <w:rPr>
          <w:rFonts w:hint="eastAsia" w:ascii="Times New Roman" w:hAnsi="Times New Roman" w:cs="Times New Roman"/>
          <w:color w:val="auto"/>
          <w:shd w:val="clear" w:color="auto" w:fill="auto"/>
          <w:lang w:eastAsia="zh-CN"/>
        </w:rPr>
        <w:t>（</w:t>
      </w:r>
      <w:r>
        <w:rPr>
          <w:rFonts w:hint="eastAsia" w:ascii="Times New Roman" w:hAnsi="Times New Roman" w:cs="Times New Roman"/>
          <w:color w:val="auto"/>
          <w:shd w:val="clear" w:color="auto" w:fill="auto"/>
          <w:lang w:val="en-US" w:eastAsia="zh-CN"/>
        </w:rPr>
        <w:t>4</w:t>
      </w:r>
      <w:r>
        <w:rPr>
          <w:rFonts w:hint="eastAsia" w:ascii="Times New Roman" w:hAnsi="Times New Roman" w:cs="Times New Roman"/>
          <w:color w:val="auto"/>
          <w:shd w:val="clear" w:color="auto" w:fill="auto"/>
          <w:lang w:eastAsia="zh-CN"/>
        </w:rPr>
        <w:t>）</w:t>
      </w:r>
      <w:r>
        <w:rPr>
          <w:rFonts w:hint="default" w:ascii="Times New Roman" w:hAnsi="Times New Roman" w:cs="Times New Roman"/>
          <w:color w:val="auto"/>
          <w:shd w:val="clear" w:color="auto" w:fill="auto"/>
        </w:rPr>
        <w:t>装卸作业点设置喷雾抑尘装置，减少粉尘对大气的污染及对周边村民的影响</w:t>
      </w:r>
      <w:r>
        <w:rPr>
          <w:rFonts w:hint="eastAsia" w:ascii="Times New Roman" w:hAnsi="Times New Roman" w:cs="Times New Roman"/>
          <w:color w:val="auto"/>
          <w:shd w:val="clear" w:color="auto" w:fill="auto"/>
          <w:lang w:eastAsia="zh-CN"/>
        </w:rPr>
        <w:t>。</w:t>
      </w:r>
    </w:p>
    <w:p>
      <w:pPr>
        <w:ind w:firstLine="480"/>
        <w:rPr>
          <w:color w:val="auto"/>
          <w:shd w:val="clear" w:color="auto" w:fill="auto"/>
        </w:rPr>
      </w:pPr>
      <w:r>
        <w:rPr>
          <w:color w:val="auto"/>
          <w:shd w:val="clear" w:color="auto" w:fill="auto"/>
        </w:rPr>
        <w:t>（</w:t>
      </w:r>
      <w:r>
        <w:rPr>
          <w:rFonts w:hint="eastAsia"/>
          <w:color w:val="auto"/>
          <w:shd w:val="clear" w:color="auto" w:fill="auto"/>
          <w:lang w:val="en-US" w:eastAsia="zh-CN"/>
        </w:rPr>
        <w:t>5</w:t>
      </w:r>
      <w:r>
        <w:rPr>
          <w:color w:val="auto"/>
          <w:shd w:val="clear" w:color="auto" w:fill="auto"/>
        </w:rPr>
        <w:t>）</w:t>
      </w:r>
      <w:r>
        <w:rPr>
          <w:rFonts w:hint="eastAsia"/>
          <w:color w:val="auto"/>
          <w:shd w:val="clear" w:color="auto" w:fill="auto"/>
        </w:rPr>
        <w:t>港区</w:t>
      </w:r>
      <w:r>
        <w:rPr>
          <w:rFonts w:hint="eastAsia"/>
          <w:color w:val="auto"/>
          <w:shd w:val="clear" w:color="auto" w:fill="auto"/>
          <w:lang w:eastAsia="zh-CN"/>
        </w:rPr>
        <w:t>、</w:t>
      </w:r>
      <w:r>
        <w:rPr>
          <w:rFonts w:hint="eastAsia"/>
          <w:color w:val="auto"/>
          <w:shd w:val="clear" w:color="auto" w:fill="auto"/>
          <w:lang w:val="en-US" w:eastAsia="zh-CN"/>
        </w:rPr>
        <w:t>陆域生活</w:t>
      </w:r>
      <w:r>
        <w:rPr>
          <w:rFonts w:hint="eastAsia"/>
          <w:color w:val="auto"/>
          <w:shd w:val="clear" w:color="auto" w:fill="auto"/>
        </w:rPr>
        <w:t>污水由移动厕所收集储存，定期由清掏车外运至相关接收处理单位</w:t>
      </w:r>
      <w:r>
        <w:rPr>
          <w:rFonts w:hint="eastAsia" w:eastAsia="宋体" w:cs="Times New Roman"/>
          <w:color w:val="auto"/>
          <w:sz w:val="21"/>
          <w:szCs w:val="21"/>
          <w:shd w:val="clear" w:color="auto" w:fill="auto"/>
          <w:lang w:eastAsia="zh-CN"/>
        </w:rPr>
        <w:t>；</w:t>
      </w:r>
      <w:r>
        <w:rPr>
          <w:rFonts w:hint="eastAsia"/>
          <w:color w:val="auto"/>
          <w:shd w:val="clear" w:color="auto" w:fill="auto"/>
        </w:rPr>
        <w:t>流动机械冲洗废水</w:t>
      </w:r>
      <w:r>
        <w:rPr>
          <w:rFonts w:hAnsi="宋体"/>
          <w:color w:val="auto"/>
          <w:shd w:val="clear" w:color="auto" w:fill="auto"/>
        </w:rPr>
        <w:t>经隔油沉淀池</w:t>
      </w:r>
      <w:r>
        <w:rPr>
          <w:rFonts w:hint="eastAsia" w:hAnsi="宋体"/>
          <w:color w:val="auto"/>
          <w:shd w:val="clear" w:color="auto" w:fill="auto"/>
          <w:lang w:val="en-US" w:eastAsia="zh-CN"/>
        </w:rPr>
        <w:t>处理</w:t>
      </w:r>
      <w:r>
        <w:rPr>
          <w:rFonts w:hAnsi="宋体"/>
          <w:color w:val="auto"/>
          <w:shd w:val="clear" w:color="auto" w:fill="auto"/>
        </w:rPr>
        <w:t>后</w:t>
      </w:r>
      <w:r>
        <w:rPr>
          <w:rFonts w:hint="eastAsia" w:hAnsi="宋体"/>
          <w:color w:val="auto"/>
          <w:shd w:val="clear" w:color="auto" w:fill="auto"/>
        </w:rPr>
        <w:t>，</w:t>
      </w:r>
      <w:r>
        <w:rPr>
          <w:rFonts w:hint="eastAsia" w:hAnsi="宋体"/>
          <w:color w:val="auto"/>
          <w:shd w:val="clear" w:color="auto" w:fill="auto"/>
          <w:lang w:val="en-US" w:eastAsia="zh-CN"/>
        </w:rPr>
        <w:t>循环使用，不外排；</w:t>
      </w:r>
      <w:r>
        <w:rPr>
          <w:color w:val="auto"/>
          <w:shd w:val="clear" w:color="auto" w:fill="auto"/>
        </w:rPr>
        <w:t>对港区</w:t>
      </w:r>
      <w:r>
        <w:rPr>
          <w:rFonts w:hint="eastAsia"/>
          <w:color w:val="auto"/>
          <w:shd w:val="clear" w:color="auto" w:fill="auto"/>
        </w:rPr>
        <w:t>码头面冲洗水和</w:t>
      </w:r>
      <w:r>
        <w:rPr>
          <w:color w:val="auto"/>
          <w:shd w:val="clear" w:color="auto" w:fill="auto"/>
        </w:rPr>
        <w:t>初期雨水也应收集，经沉淀后</w:t>
      </w:r>
      <w:r>
        <w:rPr>
          <w:rFonts w:hint="eastAsia"/>
          <w:color w:val="auto"/>
          <w:shd w:val="clear" w:color="auto" w:fill="auto"/>
        </w:rPr>
        <w:t>用于厂区绿化或洒水抑尘</w:t>
      </w:r>
      <w:r>
        <w:rPr>
          <w:color w:val="auto"/>
          <w:shd w:val="clear" w:color="auto" w:fill="auto"/>
        </w:rPr>
        <w:t>。</w:t>
      </w:r>
    </w:p>
    <w:p>
      <w:pPr>
        <w:ind w:firstLine="480"/>
        <w:rPr>
          <w:color w:val="auto"/>
          <w:shd w:val="clear" w:color="auto" w:fill="auto"/>
        </w:rPr>
      </w:pPr>
      <w:r>
        <w:rPr>
          <w:color w:val="auto"/>
          <w:shd w:val="clear" w:color="auto" w:fill="auto"/>
        </w:rPr>
        <w:t>（</w:t>
      </w:r>
      <w:r>
        <w:rPr>
          <w:rFonts w:hint="eastAsia"/>
          <w:color w:val="auto"/>
          <w:shd w:val="clear" w:color="auto" w:fill="auto"/>
          <w:lang w:val="en-US" w:eastAsia="zh-CN"/>
        </w:rPr>
        <w:t>6</w:t>
      </w:r>
      <w:r>
        <w:rPr>
          <w:color w:val="auto"/>
          <w:shd w:val="clear" w:color="auto" w:fill="auto"/>
        </w:rPr>
        <w:t>）港区</w:t>
      </w:r>
      <w:r>
        <w:rPr>
          <w:rFonts w:hint="eastAsia"/>
          <w:color w:val="auto"/>
          <w:shd w:val="clear" w:color="auto" w:fill="auto"/>
          <w:lang w:eastAsia="zh-CN"/>
        </w:rPr>
        <w:t>、</w:t>
      </w:r>
      <w:r>
        <w:rPr>
          <w:rFonts w:hint="eastAsia"/>
          <w:color w:val="auto"/>
          <w:shd w:val="clear" w:color="auto" w:fill="auto"/>
          <w:lang w:val="en-US" w:eastAsia="zh-CN"/>
        </w:rPr>
        <w:t>陆域</w:t>
      </w:r>
      <w:r>
        <w:rPr>
          <w:color w:val="auto"/>
          <w:shd w:val="clear" w:color="auto" w:fill="auto"/>
        </w:rPr>
        <w:t>的生活垃圾，应及时清扫，及时收集并送到垃圾转运站，然后由环卫部门清运出港区</w:t>
      </w:r>
      <w:r>
        <w:rPr>
          <w:rFonts w:hint="eastAsia"/>
          <w:color w:val="auto"/>
          <w:shd w:val="clear" w:color="auto" w:fill="auto"/>
          <w:lang w:eastAsia="zh-CN"/>
        </w:rPr>
        <w:t>、</w:t>
      </w:r>
      <w:r>
        <w:rPr>
          <w:rFonts w:hint="eastAsia"/>
          <w:color w:val="auto"/>
          <w:shd w:val="clear" w:color="auto" w:fill="auto"/>
          <w:lang w:val="en-US" w:eastAsia="zh-CN"/>
        </w:rPr>
        <w:t>陆域</w:t>
      </w:r>
      <w:r>
        <w:rPr>
          <w:color w:val="auto"/>
          <w:shd w:val="clear" w:color="auto" w:fill="auto"/>
        </w:rPr>
        <w:t>。</w:t>
      </w:r>
    </w:p>
    <w:p>
      <w:pPr>
        <w:ind w:firstLine="480"/>
        <w:rPr>
          <w:color w:val="auto"/>
          <w:shd w:val="clear" w:color="auto" w:fill="auto"/>
        </w:rPr>
      </w:pPr>
      <w:r>
        <w:rPr>
          <w:color w:val="auto"/>
          <w:shd w:val="clear" w:color="auto" w:fill="auto"/>
        </w:rPr>
        <w:t>（</w:t>
      </w:r>
      <w:r>
        <w:rPr>
          <w:rFonts w:hint="eastAsia"/>
          <w:color w:val="auto"/>
          <w:shd w:val="clear" w:color="auto" w:fill="auto"/>
          <w:lang w:val="en-US" w:eastAsia="zh-CN"/>
        </w:rPr>
        <w:t>7</w:t>
      </w:r>
      <w:r>
        <w:rPr>
          <w:color w:val="auto"/>
          <w:shd w:val="clear" w:color="auto" w:fill="auto"/>
        </w:rPr>
        <w:t>）要做好绿化的建设和维护工作。绿色植物不仅能涵养水分，保持水土，而且能挡尘降噪，调节小气候，有利于改善生态环境。绿化要及时进行，绿化面积要达标。在营运期要做好绿化花草树木的管理工作。勤浇水、勤施肥，勤治虫，勤补种和更换花草，保证绿化成功率，并不断地提高绿化的档次。</w:t>
      </w:r>
    </w:p>
    <w:p>
      <w:pPr>
        <w:pStyle w:val="6"/>
        <w:rPr>
          <w:color w:val="auto"/>
          <w:shd w:val="clear" w:color="auto" w:fill="auto"/>
        </w:rPr>
      </w:pPr>
      <w:bookmarkStart w:id="453" w:name="_Toc233391491"/>
      <w:bookmarkStart w:id="454" w:name="_Toc304683901"/>
      <w:bookmarkStart w:id="455" w:name="_Toc316642138"/>
      <w:bookmarkStart w:id="456" w:name="_Toc304712900"/>
      <w:bookmarkStart w:id="457" w:name="_Toc312204504"/>
      <w:r>
        <w:rPr>
          <w:rFonts w:hint="eastAsia"/>
          <w:color w:val="auto"/>
          <w:shd w:val="clear" w:color="auto" w:fill="auto"/>
          <w:lang w:val="en-US" w:eastAsia="zh-CN"/>
        </w:rPr>
        <w:t>7</w:t>
      </w:r>
      <w:r>
        <w:rPr>
          <w:color w:val="auto"/>
          <w:shd w:val="clear" w:color="auto" w:fill="auto"/>
        </w:rPr>
        <w:t>.1.3.5 污染事故的防范与应急处理</w:t>
      </w:r>
      <w:bookmarkEnd w:id="453"/>
      <w:bookmarkEnd w:id="454"/>
      <w:bookmarkEnd w:id="455"/>
      <w:bookmarkEnd w:id="456"/>
      <w:bookmarkEnd w:id="457"/>
    </w:p>
    <w:p>
      <w:pPr>
        <w:ind w:firstLine="480"/>
        <w:rPr>
          <w:color w:val="auto"/>
          <w:shd w:val="clear" w:color="auto" w:fill="auto"/>
        </w:rPr>
      </w:pPr>
      <w:r>
        <w:rPr>
          <w:color w:val="auto"/>
          <w:shd w:val="clear" w:color="auto" w:fill="auto"/>
        </w:rPr>
        <w:t>（1）要建立起一个有效的污染事故防范体系。首先，要建立起一套严格的日常的检查制度。有当班人员的自查，班组长的日查，各工段的月查和不定期的抽查，项目的季度检查、半年度评估小结和年度评估总结。对于自查和检查中的不符合，应及时纠正。</w:t>
      </w:r>
    </w:p>
    <w:p>
      <w:pPr>
        <w:ind w:firstLine="480"/>
        <w:rPr>
          <w:color w:val="auto"/>
          <w:shd w:val="clear" w:color="auto" w:fill="auto"/>
        </w:rPr>
      </w:pPr>
      <w:r>
        <w:rPr>
          <w:color w:val="auto"/>
          <w:shd w:val="clear" w:color="auto" w:fill="auto"/>
        </w:rPr>
        <w:t>（2）配合季度检查，对全港区环境质量状况和各环保设施运行状况进行例行的监测检查。环保科对监测结果进行分析，并提出整改意见；结果将报告领导层，并通报给港区各工段、班组。</w:t>
      </w:r>
    </w:p>
    <w:p>
      <w:pPr>
        <w:ind w:firstLine="480"/>
        <w:rPr>
          <w:color w:val="auto"/>
          <w:shd w:val="clear" w:color="auto" w:fill="auto"/>
        </w:rPr>
      </w:pPr>
      <w:r>
        <w:rPr>
          <w:color w:val="auto"/>
          <w:shd w:val="clear" w:color="auto" w:fill="auto"/>
        </w:rPr>
        <w:t>（3）加强</w:t>
      </w:r>
      <w:r>
        <w:rPr>
          <w:rFonts w:hint="eastAsia"/>
          <w:color w:val="auto"/>
          <w:shd w:val="clear" w:color="auto" w:fill="auto"/>
          <w:lang w:val="en-US" w:eastAsia="zh-CN"/>
        </w:rPr>
        <w:t>沙颍河</w:t>
      </w:r>
      <w:r>
        <w:rPr>
          <w:color w:val="auto"/>
          <w:shd w:val="clear" w:color="auto" w:fill="auto"/>
        </w:rPr>
        <w:t>水域巡查和水体监控。如发现水面上油污、垃圾，应及时清理。如发现水体异常(如变色、异味等)或水质监测数据异常，应加强监控。如发现较大的污染事故，应报告领导层，组织力量，及时采取措施，消除污染。</w:t>
      </w:r>
    </w:p>
    <w:p>
      <w:pPr>
        <w:ind w:firstLine="480"/>
        <w:rPr>
          <w:color w:val="auto"/>
          <w:shd w:val="clear" w:color="auto" w:fill="auto"/>
        </w:rPr>
      </w:pPr>
      <w:r>
        <w:rPr>
          <w:color w:val="auto"/>
          <w:shd w:val="clear" w:color="auto" w:fill="auto"/>
        </w:rPr>
        <w:t>（4）对于可能发生的突发性事故，如船舶油污大量泄漏等情况，应建立《应急准备和响应程序》。《应急程序》应组织演练，并被证明有效。并应配备足够的人力、物力资源。应保证24小时都有人值班，保证报警系统和通讯联络迅速、畅通，各种器材和交通工具可以随时到位。</w:t>
      </w:r>
    </w:p>
    <w:p>
      <w:pPr>
        <w:ind w:firstLine="480"/>
        <w:rPr>
          <w:color w:val="auto"/>
          <w:shd w:val="clear" w:color="auto" w:fill="auto"/>
        </w:rPr>
      </w:pPr>
      <w:r>
        <w:rPr>
          <w:color w:val="auto"/>
          <w:shd w:val="clear" w:color="auto" w:fill="auto"/>
        </w:rPr>
        <w:t>（5）港区应配备围油栏、吸油毡、消油剂等器材，及应急船只，以便随时应对溢油事故。在溢油事故发生时，应及时赶赴现场，迅速施放围油栏，防止溢油的扩散。立即启动《应急程序》，按预案进行补救。同时迅速报警，请求港监、海政、消防等部门支援，协力施救，减少污染和损失。</w:t>
      </w:r>
    </w:p>
    <w:p>
      <w:pPr>
        <w:ind w:firstLine="480"/>
        <w:rPr>
          <w:color w:val="auto"/>
          <w:shd w:val="clear" w:color="auto" w:fill="auto"/>
        </w:rPr>
      </w:pPr>
      <w:r>
        <w:rPr>
          <w:color w:val="auto"/>
          <w:shd w:val="clear" w:color="auto" w:fill="auto"/>
        </w:rPr>
        <w:t>（6）港区各生产和生活场所都应配备相应的消防器材，设置报警系统，一旦发生火灾可及时应对。情况紧急时，可立即启动《应急程序》，按预案进行补救。同时迅速报警，请求消防、公安等部门支援，协力施救，减少污染和损失。</w:t>
      </w:r>
    </w:p>
    <w:p>
      <w:pPr>
        <w:ind w:firstLine="480"/>
        <w:rPr>
          <w:color w:val="auto"/>
          <w:shd w:val="clear" w:color="auto" w:fill="auto"/>
        </w:rPr>
      </w:pPr>
      <w:r>
        <w:rPr>
          <w:color w:val="auto"/>
          <w:shd w:val="clear" w:color="auto" w:fill="auto"/>
        </w:rPr>
        <w:t>（7）污染事故发生后，应及时采取措施，尽量减少损失。事后应对事故进行深入调查、分析，找出原因，提出处理意见和整改措施，并形成书面报告。并报告省、市环境保护局。报告应归档。</w:t>
      </w:r>
    </w:p>
    <w:p>
      <w:pPr>
        <w:ind w:firstLine="480"/>
        <w:rPr>
          <w:color w:val="auto"/>
          <w:shd w:val="clear" w:color="auto" w:fill="auto"/>
        </w:rPr>
      </w:pPr>
      <w:r>
        <w:rPr>
          <w:color w:val="auto"/>
          <w:shd w:val="clear" w:color="auto" w:fill="auto"/>
        </w:rPr>
        <w:t>（8）认真总结，从中吸取教训。同时对港区的环境管理体系和污染防范体系进行彻底整改。</w:t>
      </w:r>
    </w:p>
    <w:p>
      <w:pPr>
        <w:pStyle w:val="4"/>
        <w:spacing w:before="156" w:after="156"/>
        <w:rPr>
          <w:rFonts w:hint="eastAsia" w:eastAsia="宋体"/>
          <w:color w:val="auto"/>
          <w:shd w:val="clear" w:color="auto" w:fill="auto"/>
          <w:lang w:val="en-US" w:eastAsia="zh-CN"/>
        </w:rPr>
      </w:pPr>
      <w:bookmarkStart w:id="458" w:name="_Toc312204506"/>
      <w:bookmarkStart w:id="459" w:name="_Toc11674_WPSOffice_Level2"/>
      <w:bookmarkStart w:id="460" w:name="_Toc316642140"/>
      <w:bookmarkStart w:id="461" w:name="_Toc20839_WPSOffice_Level2"/>
      <w:bookmarkStart w:id="462" w:name="_Toc20076"/>
      <w:r>
        <w:rPr>
          <w:rFonts w:hint="eastAsia"/>
          <w:color w:val="auto"/>
          <w:shd w:val="clear" w:color="auto" w:fill="auto"/>
          <w:lang w:val="en-US" w:eastAsia="zh-CN"/>
        </w:rPr>
        <w:t>7</w:t>
      </w:r>
      <w:r>
        <w:rPr>
          <w:color w:val="auto"/>
          <w:shd w:val="clear" w:color="auto" w:fill="auto"/>
        </w:rPr>
        <w:t>.</w:t>
      </w:r>
      <w:r>
        <w:rPr>
          <w:rFonts w:hint="eastAsia"/>
          <w:color w:val="auto"/>
          <w:shd w:val="clear" w:color="auto" w:fill="auto"/>
          <w:lang w:val="en-US" w:eastAsia="zh-CN"/>
        </w:rPr>
        <w:t>2</w:t>
      </w:r>
      <w:r>
        <w:rPr>
          <w:rFonts w:hint="eastAsia"/>
          <w:color w:val="auto"/>
          <w:shd w:val="clear" w:color="auto" w:fill="auto"/>
        </w:rPr>
        <w:t xml:space="preserve"> </w:t>
      </w:r>
      <w:r>
        <w:rPr>
          <w:color w:val="auto"/>
          <w:shd w:val="clear" w:color="auto" w:fill="auto"/>
        </w:rPr>
        <w:t>环境监测</w:t>
      </w:r>
      <w:bookmarkEnd w:id="458"/>
      <w:bookmarkEnd w:id="459"/>
      <w:bookmarkEnd w:id="460"/>
      <w:bookmarkEnd w:id="461"/>
      <w:r>
        <w:rPr>
          <w:rFonts w:hint="eastAsia"/>
          <w:color w:val="auto"/>
          <w:shd w:val="clear" w:color="auto" w:fill="auto"/>
          <w:lang w:val="en-US" w:eastAsia="zh-CN"/>
        </w:rPr>
        <w:t>计划</w:t>
      </w:r>
      <w:bookmarkEnd w:id="462"/>
    </w:p>
    <w:p>
      <w:pPr>
        <w:bidi w:val="0"/>
        <w:rPr>
          <w:color w:val="auto"/>
        </w:rPr>
      </w:pPr>
      <w:r>
        <w:rPr>
          <w:rFonts w:hint="eastAsia"/>
          <w:color w:val="auto"/>
        </w:rPr>
        <w:t>拟建</w:t>
      </w:r>
      <w:r>
        <w:rPr>
          <w:color w:val="auto"/>
        </w:rPr>
        <w:t>工程应建立并保持一套有效的环境监测工作程序和工作计划，对该港区工程施工及营运中的环境影响进行例行监测，以便能客观地评估其施工和营运活动对有关环境法律、法规遵循情况，以确认其环保措施的有效性或改进的必要性。</w:t>
      </w:r>
    </w:p>
    <w:p>
      <w:pPr>
        <w:pStyle w:val="5"/>
        <w:rPr>
          <w:color w:val="auto"/>
          <w:shd w:val="clear" w:color="auto" w:fill="auto"/>
        </w:rPr>
      </w:pPr>
      <w:bookmarkStart w:id="463" w:name="_Toc316642141"/>
      <w:bookmarkStart w:id="464" w:name="_Toc312204507"/>
      <w:r>
        <w:rPr>
          <w:rFonts w:hint="eastAsia"/>
          <w:color w:val="auto"/>
          <w:shd w:val="clear" w:color="auto" w:fill="auto"/>
          <w:lang w:val="en-US" w:eastAsia="zh-CN"/>
        </w:rPr>
        <w:t>7</w:t>
      </w:r>
      <w:r>
        <w:rPr>
          <w:color w:val="auto"/>
          <w:shd w:val="clear" w:color="auto" w:fill="auto"/>
        </w:rPr>
        <w:t>.</w:t>
      </w:r>
      <w:r>
        <w:rPr>
          <w:rFonts w:hint="eastAsia"/>
          <w:color w:val="auto"/>
          <w:shd w:val="clear" w:color="auto" w:fill="auto"/>
          <w:lang w:val="en-US" w:eastAsia="zh-CN"/>
        </w:rPr>
        <w:t>2</w:t>
      </w:r>
      <w:r>
        <w:rPr>
          <w:color w:val="auto"/>
          <w:shd w:val="clear" w:color="auto" w:fill="auto"/>
        </w:rPr>
        <w:t>.1</w:t>
      </w:r>
      <w:r>
        <w:rPr>
          <w:rFonts w:hint="eastAsia"/>
          <w:color w:val="auto"/>
          <w:shd w:val="clear" w:color="auto" w:fill="auto"/>
        </w:rPr>
        <w:t xml:space="preserve"> </w:t>
      </w:r>
      <w:r>
        <w:rPr>
          <w:color w:val="auto"/>
          <w:shd w:val="clear" w:color="auto" w:fill="auto"/>
        </w:rPr>
        <w:t>环境监测机构</w:t>
      </w:r>
      <w:bookmarkEnd w:id="463"/>
      <w:bookmarkEnd w:id="464"/>
    </w:p>
    <w:p>
      <w:pPr>
        <w:ind w:firstLine="480"/>
        <w:rPr>
          <w:color w:val="auto"/>
          <w:shd w:val="clear" w:color="auto" w:fill="auto"/>
        </w:rPr>
      </w:pPr>
      <w:r>
        <w:rPr>
          <w:color w:val="auto"/>
          <w:shd w:val="clear" w:color="auto" w:fill="auto"/>
        </w:rPr>
        <w:t>环境监测工作由</w:t>
      </w:r>
      <w:r>
        <w:rPr>
          <w:rFonts w:hint="eastAsia"/>
          <w:color w:val="auto"/>
          <w:shd w:val="clear" w:color="auto" w:fill="auto"/>
        </w:rPr>
        <w:t>建设单位</w:t>
      </w:r>
      <w:r>
        <w:rPr>
          <w:color w:val="auto"/>
          <w:shd w:val="clear" w:color="auto" w:fill="auto"/>
        </w:rPr>
        <w:t>环保科负责实施。具体的监测工作可委托市</w:t>
      </w:r>
      <w:r>
        <w:rPr>
          <w:rFonts w:hint="eastAsia"/>
          <w:color w:val="auto"/>
          <w:shd w:val="clear" w:color="auto" w:fill="auto"/>
          <w:lang w:eastAsia="zh-CN"/>
        </w:rPr>
        <w:t>（</w:t>
      </w:r>
      <w:r>
        <w:rPr>
          <w:rFonts w:hint="eastAsia"/>
          <w:color w:val="auto"/>
          <w:shd w:val="clear" w:color="auto" w:fill="auto"/>
          <w:lang w:val="en-US" w:eastAsia="zh-CN"/>
        </w:rPr>
        <w:t>县</w:t>
      </w:r>
      <w:r>
        <w:rPr>
          <w:rFonts w:hint="eastAsia"/>
          <w:color w:val="auto"/>
          <w:shd w:val="clear" w:color="auto" w:fill="auto"/>
          <w:lang w:eastAsia="zh-CN"/>
        </w:rPr>
        <w:t>）</w:t>
      </w:r>
      <w:r>
        <w:rPr>
          <w:color w:val="auto"/>
          <w:shd w:val="clear" w:color="auto" w:fill="auto"/>
        </w:rPr>
        <w:t>环境监测站或其它有资质的监测单位进行。</w:t>
      </w:r>
      <w:r>
        <w:rPr>
          <w:rFonts w:hint="eastAsia"/>
          <w:color w:val="auto"/>
          <w:shd w:val="clear" w:color="auto" w:fill="auto"/>
        </w:rPr>
        <w:t>建设单位</w:t>
      </w:r>
      <w:r>
        <w:rPr>
          <w:color w:val="auto"/>
          <w:shd w:val="clear" w:color="auto" w:fill="auto"/>
        </w:rPr>
        <w:t>环保科负责环境监测工作计划的制定，监测结果的评估和处理。</w:t>
      </w:r>
    </w:p>
    <w:p>
      <w:pPr>
        <w:pStyle w:val="5"/>
        <w:rPr>
          <w:color w:val="auto"/>
          <w:shd w:val="clear" w:color="auto" w:fill="auto"/>
        </w:rPr>
      </w:pPr>
      <w:bookmarkStart w:id="465" w:name="_Toc316642142"/>
      <w:bookmarkStart w:id="466" w:name="_Toc312204508"/>
      <w:r>
        <w:rPr>
          <w:rFonts w:hint="eastAsia"/>
          <w:color w:val="auto"/>
          <w:shd w:val="clear" w:color="auto" w:fill="auto"/>
          <w:lang w:val="en-US" w:eastAsia="zh-CN"/>
        </w:rPr>
        <w:t>7</w:t>
      </w:r>
      <w:r>
        <w:rPr>
          <w:color w:val="auto"/>
          <w:shd w:val="clear" w:color="auto" w:fill="auto"/>
        </w:rPr>
        <w:t>.</w:t>
      </w:r>
      <w:r>
        <w:rPr>
          <w:rFonts w:hint="eastAsia"/>
          <w:color w:val="auto"/>
          <w:shd w:val="clear" w:color="auto" w:fill="auto"/>
          <w:lang w:val="en-US" w:eastAsia="zh-CN"/>
        </w:rPr>
        <w:t>2</w:t>
      </w:r>
      <w:r>
        <w:rPr>
          <w:color w:val="auto"/>
          <w:shd w:val="clear" w:color="auto" w:fill="auto"/>
        </w:rPr>
        <w:t>.2</w:t>
      </w:r>
      <w:r>
        <w:rPr>
          <w:rFonts w:hint="eastAsia"/>
          <w:color w:val="auto"/>
          <w:shd w:val="clear" w:color="auto" w:fill="auto"/>
        </w:rPr>
        <w:t xml:space="preserve"> </w:t>
      </w:r>
      <w:r>
        <w:rPr>
          <w:color w:val="auto"/>
          <w:shd w:val="clear" w:color="auto" w:fill="auto"/>
        </w:rPr>
        <w:t>施工期环境监测计划</w:t>
      </w:r>
      <w:bookmarkEnd w:id="465"/>
      <w:bookmarkEnd w:id="466"/>
    </w:p>
    <w:p>
      <w:pPr>
        <w:ind w:firstLine="480"/>
        <w:rPr>
          <w:color w:val="auto"/>
          <w:shd w:val="clear" w:color="auto" w:fill="auto"/>
        </w:rPr>
      </w:pPr>
      <w:r>
        <w:rPr>
          <w:color w:val="auto"/>
          <w:shd w:val="clear" w:color="auto" w:fill="auto"/>
        </w:rPr>
        <w:t>施工中的环境影响，主要是施工中的水土流失和泥沙撒落对水体的影响，主要污染因子是SS；施工机械和施工船舶的含油废水对</w:t>
      </w:r>
      <w:r>
        <w:rPr>
          <w:rFonts w:hint="eastAsia"/>
          <w:color w:val="auto"/>
          <w:shd w:val="clear" w:color="auto" w:fill="auto"/>
          <w:lang w:eastAsia="zh-CN"/>
        </w:rPr>
        <w:t>沙颍河</w:t>
      </w:r>
      <w:r>
        <w:rPr>
          <w:color w:val="auto"/>
          <w:shd w:val="clear" w:color="auto" w:fill="auto"/>
        </w:rPr>
        <w:t>水体的污染，主要污染因子是石油类。其次，是施工噪声和施工扬尘对附近人群的影响。因此，施工期的环境监测主要是附近</w:t>
      </w:r>
      <w:r>
        <w:rPr>
          <w:rFonts w:hint="eastAsia"/>
          <w:color w:val="auto"/>
          <w:shd w:val="clear" w:color="auto" w:fill="auto"/>
          <w:lang w:eastAsia="zh-CN"/>
        </w:rPr>
        <w:t>沙颍河</w:t>
      </w:r>
      <w:r>
        <w:rPr>
          <w:color w:val="auto"/>
          <w:shd w:val="clear" w:color="auto" w:fill="auto"/>
        </w:rPr>
        <w:t>水域的水质监测及施工现场附近噪声敏感区的噪声监测。</w:t>
      </w:r>
    </w:p>
    <w:p>
      <w:pPr>
        <w:ind w:firstLine="482"/>
        <w:rPr>
          <w:b/>
          <w:bCs/>
          <w:color w:val="auto"/>
          <w:shd w:val="clear" w:color="auto" w:fill="auto"/>
        </w:rPr>
      </w:pPr>
      <w:r>
        <w:rPr>
          <w:b/>
          <w:bCs/>
          <w:color w:val="auto"/>
          <w:shd w:val="clear" w:color="auto" w:fill="auto"/>
        </w:rPr>
        <w:t>1.水质监测</w:t>
      </w:r>
    </w:p>
    <w:p>
      <w:pPr>
        <w:ind w:firstLine="480"/>
        <w:rPr>
          <w:color w:val="auto"/>
          <w:shd w:val="clear" w:color="auto" w:fill="auto"/>
        </w:rPr>
      </w:pPr>
      <w:r>
        <w:rPr>
          <w:color w:val="auto"/>
          <w:shd w:val="clear" w:color="auto" w:fill="auto"/>
        </w:rPr>
        <w:t>（1）监测点位</w:t>
      </w:r>
    </w:p>
    <w:p>
      <w:pPr>
        <w:ind w:firstLine="480"/>
        <w:rPr>
          <w:color w:val="auto"/>
          <w:shd w:val="clear" w:color="auto" w:fill="auto"/>
        </w:rPr>
      </w:pPr>
      <w:r>
        <w:rPr>
          <w:color w:val="auto"/>
          <w:shd w:val="clear" w:color="auto" w:fill="auto"/>
        </w:rPr>
        <w:t>施工期的水质监测的点位，应在每个较为集中的施工点附近水域都设置一个水质监测点位。</w:t>
      </w:r>
    </w:p>
    <w:p>
      <w:pPr>
        <w:ind w:firstLine="480"/>
        <w:rPr>
          <w:color w:val="auto"/>
          <w:shd w:val="clear" w:color="auto" w:fill="auto"/>
        </w:rPr>
      </w:pPr>
      <w:r>
        <w:rPr>
          <w:color w:val="auto"/>
          <w:shd w:val="clear" w:color="auto" w:fill="auto"/>
        </w:rPr>
        <w:t>（2）监测时间和频次</w:t>
      </w:r>
    </w:p>
    <w:p>
      <w:pPr>
        <w:ind w:firstLine="480"/>
        <w:rPr>
          <w:color w:val="auto"/>
          <w:shd w:val="clear" w:color="auto" w:fill="auto"/>
        </w:rPr>
      </w:pPr>
      <w:r>
        <w:rPr>
          <w:color w:val="auto"/>
          <w:shd w:val="clear" w:color="auto" w:fill="auto"/>
        </w:rPr>
        <w:t>一季度一次。</w:t>
      </w:r>
    </w:p>
    <w:p>
      <w:pPr>
        <w:ind w:firstLine="480"/>
        <w:rPr>
          <w:color w:val="auto"/>
          <w:shd w:val="clear" w:color="auto" w:fill="auto"/>
        </w:rPr>
      </w:pPr>
      <w:r>
        <w:rPr>
          <w:color w:val="auto"/>
          <w:shd w:val="clear" w:color="auto" w:fill="auto"/>
        </w:rPr>
        <w:t>（3）监测项目与分析方法</w:t>
      </w:r>
    </w:p>
    <w:p>
      <w:pPr>
        <w:ind w:firstLine="480"/>
        <w:rPr>
          <w:color w:val="auto"/>
          <w:shd w:val="clear" w:color="auto" w:fill="auto"/>
        </w:rPr>
      </w:pPr>
      <w:r>
        <w:rPr>
          <w:color w:val="auto"/>
          <w:shd w:val="clear" w:color="auto" w:fill="auto"/>
        </w:rPr>
        <w:t>水质监测项目为水温、pH、SS、COD、石油类等5项。</w:t>
      </w:r>
    </w:p>
    <w:p>
      <w:pPr>
        <w:ind w:firstLine="480"/>
        <w:rPr>
          <w:color w:val="auto"/>
          <w:shd w:val="clear" w:color="auto" w:fill="auto"/>
        </w:rPr>
      </w:pPr>
      <w:r>
        <w:rPr>
          <w:color w:val="auto"/>
          <w:shd w:val="clear" w:color="auto" w:fill="auto"/>
        </w:rPr>
        <w:t>水样的采集、样品保存和水质分析方法按照《地表水和污水监测技术规范》HJ/T91-2002规定的方法进行。</w:t>
      </w:r>
    </w:p>
    <w:p>
      <w:pPr>
        <w:ind w:firstLine="482"/>
        <w:rPr>
          <w:b/>
          <w:bCs/>
          <w:color w:val="auto"/>
          <w:shd w:val="clear" w:color="auto" w:fill="auto"/>
        </w:rPr>
      </w:pPr>
      <w:r>
        <w:rPr>
          <w:b/>
          <w:bCs/>
          <w:color w:val="auto"/>
          <w:shd w:val="clear" w:color="auto" w:fill="auto"/>
        </w:rPr>
        <w:t>2.大气监测</w:t>
      </w:r>
    </w:p>
    <w:p>
      <w:pPr>
        <w:ind w:firstLine="480"/>
        <w:rPr>
          <w:color w:val="auto"/>
          <w:shd w:val="clear" w:color="auto" w:fill="auto"/>
        </w:rPr>
      </w:pPr>
      <w:r>
        <w:rPr>
          <w:color w:val="auto"/>
          <w:shd w:val="clear" w:color="auto" w:fill="auto"/>
        </w:rPr>
        <w:t>（1）监测点位</w:t>
      </w:r>
    </w:p>
    <w:p>
      <w:pPr>
        <w:ind w:firstLine="480"/>
        <w:rPr>
          <w:color w:val="auto"/>
          <w:shd w:val="clear" w:color="auto" w:fill="auto"/>
        </w:rPr>
      </w:pPr>
      <w:r>
        <w:rPr>
          <w:color w:val="auto"/>
          <w:shd w:val="clear" w:color="auto" w:fill="auto"/>
        </w:rPr>
        <w:t>施工区。</w:t>
      </w:r>
    </w:p>
    <w:p>
      <w:pPr>
        <w:ind w:firstLine="480"/>
        <w:rPr>
          <w:color w:val="auto"/>
          <w:shd w:val="clear" w:color="auto" w:fill="auto"/>
        </w:rPr>
      </w:pPr>
      <w:r>
        <w:rPr>
          <w:color w:val="auto"/>
          <w:shd w:val="clear" w:color="auto" w:fill="auto"/>
        </w:rPr>
        <w:t>（2）监测时间和频次</w:t>
      </w:r>
    </w:p>
    <w:p>
      <w:pPr>
        <w:ind w:firstLine="480"/>
        <w:rPr>
          <w:color w:val="auto"/>
          <w:shd w:val="clear" w:color="auto" w:fill="auto"/>
        </w:rPr>
      </w:pPr>
      <w:r>
        <w:rPr>
          <w:color w:val="auto"/>
          <w:shd w:val="clear" w:color="auto" w:fill="auto"/>
        </w:rPr>
        <w:t>一季度一次。</w:t>
      </w:r>
    </w:p>
    <w:p>
      <w:pPr>
        <w:ind w:firstLine="480"/>
        <w:rPr>
          <w:color w:val="auto"/>
          <w:shd w:val="clear" w:color="auto" w:fill="auto"/>
        </w:rPr>
      </w:pPr>
      <w:r>
        <w:rPr>
          <w:color w:val="auto"/>
          <w:shd w:val="clear" w:color="auto" w:fill="auto"/>
        </w:rPr>
        <w:t>（3）监测项目与分析方法</w:t>
      </w:r>
    </w:p>
    <w:p>
      <w:pPr>
        <w:ind w:firstLine="480"/>
        <w:rPr>
          <w:color w:val="auto"/>
          <w:shd w:val="clear" w:color="auto" w:fill="auto"/>
        </w:rPr>
      </w:pPr>
      <w:r>
        <w:rPr>
          <w:color w:val="auto"/>
          <w:shd w:val="clear" w:color="auto" w:fill="auto"/>
        </w:rPr>
        <w:t>监测项目为</w:t>
      </w:r>
      <w:r>
        <w:rPr>
          <w:rFonts w:hint="eastAsia"/>
          <w:color w:val="auto"/>
          <w:shd w:val="clear" w:color="auto" w:fill="auto"/>
          <w:lang w:val="en-US" w:eastAsia="zh-CN"/>
        </w:rPr>
        <w:t>PM</w:t>
      </w:r>
      <w:r>
        <w:rPr>
          <w:rFonts w:hint="eastAsia"/>
          <w:color w:val="auto"/>
          <w:shd w:val="clear" w:color="auto" w:fill="auto"/>
          <w:vertAlign w:val="subscript"/>
          <w:lang w:val="en-US" w:eastAsia="zh-CN"/>
        </w:rPr>
        <w:t>10</w:t>
      </w:r>
      <w:r>
        <w:rPr>
          <w:rFonts w:hint="eastAsia"/>
          <w:color w:val="auto"/>
          <w:shd w:val="clear" w:color="auto" w:fill="auto"/>
          <w:vertAlign w:val="baseline"/>
          <w:lang w:val="en-US" w:eastAsia="zh-CN"/>
        </w:rPr>
        <w:t>、TSP</w:t>
      </w:r>
      <w:r>
        <w:rPr>
          <w:color w:val="auto"/>
          <w:shd w:val="clear" w:color="auto" w:fill="auto"/>
        </w:rPr>
        <w:t>。采样监测方法按《环境监测技术规范(大气部分)》等有关规定进行，分析方法按《环境空气质量标准》</w:t>
      </w:r>
      <w:r>
        <w:rPr>
          <w:rFonts w:hint="eastAsia"/>
          <w:color w:val="auto"/>
          <w:shd w:val="clear" w:color="auto" w:fill="auto"/>
          <w:lang w:eastAsia="zh-CN"/>
        </w:rPr>
        <w:t>（</w:t>
      </w:r>
      <w:r>
        <w:rPr>
          <w:color w:val="auto"/>
          <w:shd w:val="clear" w:color="auto" w:fill="auto"/>
        </w:rPr>
        <w:t>GB3095-1996</w:t>
      </w:r>
      <w:r>
        <w:rPr>
          <w:rFonts w:hint="eastAsia"/>
          <w:color w:val="auto"/>
          <w:shd w:val="clear" w:color="auto" w:fill="auto"/>
          <w:lang w:eastAsia="zh-CN"/>
        </w:rPr>
        <w:t>）</w:t>
      </w:r>
      <w:r>
        <w:rPr>
          <w:color w:val="auto"/>
          <w:shd w:val="clear" w:color="auto" w:fill="auto"/>
        </w:rPr>
        <w:t>中推荐的方法进行。</w:t>
      </w:r>
    </w:p>
    <w:p>
      <w:pPr>
        <w:ind w:firstLine="482"/>
        <w:rPr>
          <w:b/>
          <w:bCs/>
          <w:color w:val="auto"/>
          <w:shd w:val="clear" w:color="auto" w:fill="auto"/>
        </w:rPr>
      </w:pPr>
      <w:r>
        <w:rPr>
          <w:b/>
          <w:bCs/>
          <w:color w:val="auto"/>
          <w:shd w:val="clear" w:color="auto" w:fill="auto"/>
        </w:rPr>
        <w:t>3.噪声监测</w:t>
      </w:r>
    </w:p>
    <w:p>
      <w:pPr>
        <w:ind w:firstLine="480"/>
        <w:rPr>
          <w:color w:val="auto"/>
          <w:shd w:val="clear" w:color="auto" w:fill="auto"/>
        </w:rPr>
      </w:pPr>
      <w:r>
        <w:rPr>
          <w:color w:val="auto"/>
          <w:shd w:val="clear" w:color="auto" w:fill="auto"/>
        </w:rPr>
        <w:t>施工期的噪声监测，主要是对于施工现场附近噪声敏感区的噪声进行监测。检查的重点是施工的高峰期和重点施工段。</w:t>
      </w:r>
    </w:p>
    <w:p>
      <w:pPr>
        <w:ind w:firstLine="480"/>
        <w:rPr>
          <w:color w:val="auto"/>
          <w:shd w:val="clear" w:color="auto" w:fill="auto"/>
        </w:rPr>
      </w:pPr>
      <w:r>
        <w:rPr>
          <w:color w:val="auto"/>
          <w:shd w:val="clear" w:color="auto" w:fill="auto"/>
        </w:rPr>
        <w:t>（1）监测点位</w:t>
      </w:r>
    </w:p>
    <w:p>
      <w:pPr>
        <w:ind w:firstLine="480"/>
        <w:rPr>
          <w:color w:val="auto"/>
          <w:shd w:val="clear" w:color="auto" w:fill="auto"/>
        </w:rPr>
      </w:pPr>
      <w:r>
        <w:rPr>
          <w:color w:val="auto"/>
          <w:shd w:val="clear" w:color="auto" w:fill="auto"/>
        </w:rPr>
        <w:t>施工期的噪声监测的点位，应设在港区施工现场附近的噪声敏感区。</w:t>
      </w:r>
    </w:p>
    <w:p>
      <w:pPr>
        <w:ind w:firstLine="480"/>
        <w:rPr>
          <w:color w:val="auto"/>
          <w:shd w:val="clear" w:color="auto" w:fill="auto"/>
        </w:rPr>
      </w:pPr>
      <w:r>
        <w:rPr>
          <w:color w:val="auto"/>
          <w:shd w:val="clear" w:color="auto" w:fill="auto"/>
        </w:rPr>
        <w:t>（2）监测的时间、频次</w:t>
      </w:r>
    </w:p>
    <w:p>
      <w:pPr>
        <w:ind w:firstLine="480"/>
        <w:rPr>
          <w:color w:val="auto"/>
          <w:shd w:val="clear" w:color="auto" w:fill="auto"/>
        </w:rPr>
      </w:pPr>
      <w:r>
        <w:rPr>
          <w:color w:val="auto"/>
          <w:shd w:val="clear" w:color="auto" w:fill="auto"/>
        </w:rPr>
        <w:t>监测时间应选在施工的高峰期，昼间和夜间各测一次。一月监测一天，昼夜</w:t>
      </w:r>
      <w:r>
        <w:rPr>
          <w:rFonts w:hint="eastAsia"/>
          <w:color w:val="auto"/>
          <w:shd w:val="clear" w:color="auto" w:fill="auto"/>
          <w:lang w:eastAsia="zh-CN"/>
        </w:rPr>
        <w:t>各</w:t>
      </w:r>
      <w:r>
        <w:rPr>
          <w:color w:val="auto"/>
          <w:shd w:val="clear" w:color="auto" w:fill="auto"/>
        </w:rPr>
        <w:t>监测一次。</w:t>
      </w:r>
    </w:p>
    <w:p>
      <w:pPr>
        <w:ind w:firstLine="480"/>
        <w:rPr>
          <w:color w:val="auto"/>
          <w:shd w:val="clear" w:color="auto" w:fill="auto"/>
        </w:rPr>
      </w:pPr>
      <w:r>
        <w:rPr>
          <w:color w:val="auto"/>
          <w:shd w:val="clear" w:color="auto" w:fill="auto"/>
        </w:rPr>
        <w:t>（3）监测方法</w:t>
      </w:r>
    </w:p>
    <w:p>
      <w:pPr>
        <w:ind w:firstLine="480"/>
        <w:rPr>
          <w:color w:val="auto"/>
          <w:shd w:val="clear" w:color="auto" w:fill="auto"/>
        </w:rPr>
      </w:pPr>
      <w:r>
        <w:rPr>
          <w:color w:val="auto"/>
          <w:shd w:val="clear" w:color="auto" w:fill="auto"/>
        </w:rPr>
        <w:t>按《建筑施工场界噪声测量方法》</w:t>
      </w:r>
      <w:r>
        <w:rPr>
          <w:rFonts w:hint="eastAsia"/>
          <w:color w:val="auto"/>
          <w:shd w:val="clear" w:color="auto" w:fill="auto"/>
          <w:lang w:eastAsia="zh-CN"/>
        </w:rPr>
        <w:t>（</w:t>
      </w:r>
      <w:r>
        <w:rPr>
          <w:color w:val="auto"/>
          <w:shd w:val="clear" w:color="auto" w:fill="auto"/>
        </w:rPr>
        <w:t>GB12524-90</w:t>
      </w:r>
      <w:r>
        <w:rPr>
          <w:rFonts w:hint="eastAsia"/>
          <w:color w:val="auto"/>
          <w:shd w:val="clear" w:color="auto" w:fill="auto"/>
          <w:lang w:eastAsia="zh-CN"/>
        </w:rPr>
        <w:t>）</w:t>
      </w:r>
      <w:r>
        <w:rPr>
          <w:color w:val="auto"/>
          <w:shd w:val="clear" w:color="auto" w:fill="auto"/>
        </w:rPr>
        <w:t>实施。</w:t>
      </w:r>
    </w:p>
    <w:p>
      <w:pPr>
        <w:pStyle w:val="5"/>
        <w:rPr>
          <w:color w:val="auto"/>
          <w:shd w:val="clear" w:color="auto" w:fill="auto"/>
        </w:rPr>
      </w:pPr>
      <w:bookmarkStart w:id="467" w:name="_Toc316642143"/>
      <w:bookmarkStart w:id="468" w:name="_Toc312204509"/>
      <w:bookmarkStart w:id="469" w:name="_Toc233391495"/>
      <w:r>
        <w:rPr>
          <w:rFonts w:hint="eastAsia"/>
          <w:color w:val="auto"/>
          <w:shd w:val="clear" w:color="auto" w:fill="auto"/>
          <w:lang w:val="en-US" w:eastAsia="zh-CN"/>
        </w:rPr>
        <w:t>7</w:t>
      </w:r>
      <w:r>
        <w:rPr>
          <w:color w:val="auto"/>
          <w:shd w:val="clear" w:color="auto" w:fill="auto"/>
        </w:rPr>
        <w:t>.</w:t>
      </w:r>
      <w:r>
        <w:rPr>
          <w:rFonts w:hint="eastAsia"/>
          <w:color w:val="auto"/>
          <w:shd w:val="clear" w:color="auto" w:fill="auto"/>
          <w:lang w:val="en-US" w:eastAsia="zh-CN"/>
        </w:rPr>
        <w:t>2</w:t>
      </w:r>
      <w:r>
        <w:rPr>
          <w:color w:val="auto"/>
          <w:shd w:val="clear" w:color="auto" w:fill="auto"/>
        </w:rPr>
        <w:t>.3</w:t>
      </w:r>
      <w:r>
        <w:rPr>
          <w:rFonts w:hint="eastAsia"/>
          <w:color w:val="auto"/>
          <w:shd w:val="clear" w:color="auto" w:fill="auto"/>
        </w:rPr>
        <w:t xml:space="preserve"> </w:t>
      </w:r>
      <w:r>
        <w:rPr>
          <w:color w:val="auto"/>
          <w:shd w:val="clear" w:color="auto" w:fill="auto"/>
        </w:rPr>
        <w:t>营运期的环境监测计划</w:t>
      </w:r>
      <w:bookmarkEnd w:id="467"/>
      <w:bookmarkEnd w:id="468"/>
      <w:bookmarkEnd w:id="469"/>
    </w:p>
    <w:p>
      <w:pPr>
        <w:ind w:firstLine="482"/>
        <w:rPr>
          <w:b/>
          <w:bCs/>
          <w:color w:val="auto"/>
          <w:shd w:val="clear" w:color="auto" w:fill="auto"/>
        </w:rPr>
      </w:pPr>
      <w:r>
        <w:rPr>
          <w:b/>
          <w:bCs/>
          <w:color w:val="auto"/>
          <w:shd w:val="clear" w:color="auto" w:fill="auto"/>
        </w:rPr>
        <w:t>1.水质监测</w:t>
      </w:r>
    </w:p>
    <w:p>
      <w:pPr>
        <w:ind w:firstLine="480"/>
        <w:rPr>
          <w:color w:val="auto"/>
          <w:shd w:val="clear" w:color="auto" w:fill="auto"/>
        </w:rPr>
      </w:pPr>
      <w:r>
        <w:rPr>
          <w:color w:val="auto"/>
          <w:shd w:val="clear" w:color="auto" w:fill="auto"/>
        </w:rPr>
        <w:t>水质监测主要是对港区</w:t>
      </w:r>
      <w:r>
        <w:rPr>
          <w:rFonts w:hint="eastAsia"/>
          <w:color w:val="auto"/>
          <w:shd w:val="clear" w:color="auto" w:fill="auto"/>
          <w:lang w:eastAsia="zh-CN"/>
        </w:rPr>
        <w:t>、</w:t>
      </w:r>
      <w:r>
        <w:rPr>
          <w:rFonts w:hint="eastAsia"/>
          <w:color w:val="auto"/>
          <w:shd w:val="clear" w:color="auto" w:fill="auto"/>
          <w:lang w:val="en-US" w:eastAsia="zh-CN"/>
        </w:rPr>
        <w:t>陆域</w:t>
      </w:r>
      <w:r>
        <w:rPr>
          <w:color w:val="auto"/>
          <w:shd w:val="clear" w:color="auto" w:fill="auto"/>
        </w:rPr>
        <w:t>自建污水处理设施和对港区水域的。</w:t>
      </w:r>
    </w:p>
    <w:p>
      <w:pPr>
        <w:ind w:firstLine="480"/>
        <w:rPr>
          <w:color w:val="auto"/>
          <w:shd w:val="clear" w:color="auto" w:fill="auto"/>
        </w:rPr>
      </w:pPr>
      <w:r>
        <w:rPr>
          <w:color w:val="auto"/>
          <w:shd w:val="clear" w:color="auto" w:fill="auto"/>
        </w:rPr>
        <w:t>（1）港区</w:t>
      </w:r>
      <w:r>
        <w:rPr>
          <w:rFonts w:hint="eastAsia"/>
          <w:color w:val="auto"/>
          <w:shd w:val="clear" w:color="auto" w:fill="auto"/>
          <w:lang w:eastAsia="zh-CN"/>
        </w:rPr>
        <w:t>、</w:t>
      </w:r>
      <w:r>
        <w:rPr>
          <w:rFonts w:hint="eastAsia"/>
          <w:color w:val="auto"/>
          <w:shd w:val="clear" w:color="auto" w:fill="auto"/>
          <w:lang w:val="en-US" w:eastAsia="zh-CN"/>
        </w:rPr>
        <w:t>陆域</w:t>
      </w:r>
      <w:r>
        <w:rPr>
          <w:color w:val="auto"/>
          <w:shd w:val="clear" w:color="auto" w:fill="auto"/>
        </w:rPr>
        <w:t>污水处理设施</w:t>
      </w:r>
    </w:p>
    <w:p>
      <w:pPr>
        <w:ind w:firstLine="480"/>
        <w:rPr>
          <w:color w:val="auto"/>
          <w:shd w:val="clear" w:color="auto" w:fill="auto"/>
        </w:rPr>
      </w:pPr>
      <w:r>
        <w:rPr>
          <w:color w:val="auto"/>
          <w:shd w:val="clear" w:color="auto" w:fill="auto"/>
        </w:rPr>
        <w:t>监测点位：港区</w:t>
      </w:r>
      <w:r>
        <w:rPr>
          <w:rFonts w:hint="eastAsia"/>
          <w:color w:val="auto"/>
          <w:shd w:val="clear" w:color="auto" w:fill="auto"/>
          <w:lang w:eastAsia="zh-CN"/>
        </w:rPr>
        <w:t>、</w:t>
      </w:r>
      <w:r>
        <w:rPr>
          <w:rFonts w:hint="eastAsia"/>
          <w:color w:val="auto"/>
          <w:shd w:val="clear" w:color="auto" w:fill="auto"/>
          <w:lang w:val="en-US" w:eastAsia="zh-CN"/>
        </w:rPr>
        <w:t>陆域</w:t>
      </w:r>
      <w:r>
        <w:rPr>
          <w:color w:val="auto"/>
          <w:shd w:val="clear" w:color="auto" w:fill="auto"/>
        </w:rPr>
        <w:t>自建污水处理装置的出水口。</w:t>
      </w:r>
    </w:p>
    <w:p>
      <w:pPr>
        <w:ind w:firstLine="480"/>
        <w:rPr>
          <w:color w:val="auto"/>
          <w:shd w:val="clear" w:color="auto" w:fill="auto"/>
        </w:rPr>
      </w:pPr>
      <w:r>
        <w:rPr>
          <w:color w:val="auto"/>
          <w:shd w:val="clear" w:color="auto" w:fill="auto"/>
        </w:rPr>
        <w:t>监测项目：水质监测项目为SS、石油类。</w:t>
      </w:r>
    </w:p>
    <w:p>
      <w:pPr>
        <w:ind w:firstLine="480"/>
        <w:rPr>
          <w:color w:val="auto"/>
          <w:shd w:val="clear" w:color="auto" w:fill="auto"/>
        </w:rPr>
      </w:pPr>
      <w:r>
        <w:rPr>
          <w:color w:val="auto"/>
          <w:shd w:val="clear" w:color="auto" w:fill="auto"/>
        </w:rPr>
        <w:t>监测方法：按《建设项目环境保护设施竣工验收监测技术要求》实施。</w:t>
      </w:r>
    </w:p>
    <w:p>
      <w:pPr>
        <w:ind w:firstLine="480"/>
        <w:rPr>
          <w:color w:val="auto"/>
          <w:shd w:val="clear" w:color="auto" w:fill="auto"/>
        </w:rPr>
      </w:pPr>
      <w:r>
        <w:rPr>
          <w:color w:val="auto"/>
          <w:shd w:val="clear" w:color="auto" w:fill="auto"/>
        </w:rPr>
        <w:t>监测的时间和频次：</w:t>
      </w:r>
      <w:r>
        <w:rPr>
          <w:rFonts w:hint="eastAsia"/>
          <w:color w:val="auto"/>
          <w:shd w:val="clear" w:color="auto" w:fill="auto"/>
          <w:lang w:eastAsia="zh-CN"/>
        </w:rPr>
        <w:t>一季度</w:t>
      </w:r>
      <w:r>
        <w:rPr>
          <w:color w:val="auto"/>
          <w:shd w:val="clear" w:color="auto" w:fill="auto"/>
        </w:rPr>
        <w:t>一次。</w:t>
      </w:r>
    </w:p>
    <w:p>
      <w:pPr>
        <w:ind w:firstLine="480"/>
        <w:rPr>
          <w:color w:val="auto"/>
          <w:shd w:val="clear" w:color="auto" w:fill="auto"/>
        </w:rPr>
      </w:pPr>
      <w:r>
        <w:rPr>
          <w:color w:val="auto"/>
          <w:shd w:val="clear" w:color="auto" w:fill="auto"/>
        </w:rPr>
        <w:t>（2）港区水域</w:t>
      </w:r>
    </w:p>
    <w:p>
      <w:pPr>
        <w:ind w:firstLine="480"/>
        <w:rPr>
          <w:color w:val="auto"/>
          <w:shd w:val="clear" w:color="auto" w:fill="auto"/>
        </w:rPr>
      </w:pPr>
      <w:r>
        <w:rPr>
          <w:color w:val="auto"/>
          <w:shd w:val="clear" w:color="auto" w:fill="auto"/>
        </w:rPr>
        <w:t>监测点位：在本工程港区泊位水域设置一个测点。</w:t>
      </w:r>
    </w:p>
    <w:p>
      <w:pPr>
        <w:ind w:firstLine="480"/>
        <w:rPr>
          <w:color w:val="auto"/>
          <w:shd w:val="clear" w:color="auto" w:fill="auto"/>
        </w:rPr>
      </w:pPr>
      <w:r>
        <w:rPr>
          <w:color w:val="auto"/>
          <w:shd w:val="clear" w:color="auto" w:fill="auto"/>
        </w:rPr>
        <w:t>监测时间</w:t>
      </w:r>
      <w:r>
        <w:rPr>
          <w:rFonts w:hint="eastAsia"/>
          <w:color w:val="auto"/>
          <w:shd w:val="clear" w:color="auto" w:fill="auto"/>
          <w:lang w:eastAsia="zh-CN"/>
        </w:rPr>
        <w:t>和频次</w:t>
      </w:r>
      <w:r>
        <w:rPr>
          <w:color w:val="auto"/>
          <w:shd w:val="clear" w:color="auto" w:fill="auto"/>
        </w:rPr>
        <w:t>：</w:t>
      </w:r>
      <w:r>
        <w:rPr>
          <w:rFonts w:hint="eastAsia"/>
          <w:color w:val="auto"/>
          <w:shd w:val="clear" w:color="auto" w:fill="auto"/>
          <w:lang w:eastAsia="zh-CN"/>
        </w:rPr>
        <w:t>一季度</w:t>
      </w:r>
      <w:r>
        <w:rPr>
          <w:color w:val="auto"/>
          <w:shd w:val="clear" w:color="auto" w:fill="auto"/>
        </w:rPr>
        <w:t>一次。监测时应有船舶在泊。</w:t>
      </w:r>
    </w:p>
    <w:p>
      <w:pPr>
        <w:ind w:firstLine="480"/>
        <w:rPr>
          <w:color w:val="auto"/>
          <w:shd w:val="clear" w:color="auto" w:fill="auto"/>
        </w:rPr>
      </w:pPr>
      <w:r>
        <w:rPr>
          <w:color w:val="auto"/>
          <w:shd w:val="clear" w:color="auto" w:fill="auto"/>
        </w:rPr>
        <w:t>监测项目：水质监测项目为水温、pH、SS、COD、石油类等5项。</w:t>
      </w:r>
    </w:p>
    <w:p>
      <w:pPr>
        <w:ind w:firstLine="482"/>
        <w:rPr>
          <w:b/>
          <w:bCs/>
          <w:color w:val="auto"/>
          <w:shd w:val="clear" w:color="auto" w:fill="auto"/>
        </w:rPr>
      </w:pPr>
      <w:r>
        <w:rPr>
          <w:b/>
          <w:bCs/>
          <w:color w:val="auto"/>
          <w:shd w:val="clear" w:color="auto" w:fill="auto"/>
        </w:rPr>
        <w:t>2.大气监测</w:t>
      </w:r>
    </w:p>
    <w:p>
      <w:pPr>
        <w:ind w:firstLine="480"/>
        <w:rPr>
          <w:color w:val="auto"/>
          <w:shd w:val="clear" w:color="auto" w:fill="auto"/>
        </w:rPr>
      </w:pPr>
      <w:r>
        <w:rPr>
          <w:color w:val="auto"/>
          <w:shd w:val="clear" w:color="auto" w:fill="auto"/>
        </w:rPr>
        <w:t>①在本项目</w:t>
      </w:r>
      <w:r>
        <w:rPr>
          <w:rFonts w:hint="eastAsia"/>
          <w:color w:val="auto"/>
          <w:shd w:val="clear" w:color="auto" w:fill="auto"/>
          <w:lang w:val="en-US" w:eastAsia="zh-CN"/>
        </w:rPr>
        <w:t>厂界四周各</w:t>
      </w:r>
      <w:r>
        <w:rPr>
          <w:color w:val="auto"/>
          <w:shd w:val="clear" w:color="auto" w:fill="auto"/>
        </w:rPr>
        <w:t>布设1个点。</w:t>
      </w:r>
    </w:p>
    <w:p>
      <w:pPr>
        <w:ind w:firstLine="480"/>
        <w:rPr>
          <w:color w:val="auto"/>
          <w:shd w:val="clear" w:color="auto" w:fill="auto"/>
        </w:rPr>
      </w:pPr>
      <w:r>
        <w:rPr>
          <w:color w:val="auto"/>
          <w:shd w:val="clear" w:color="auto" w:fill="auto"/>
        </w:rPr>
        <w:t>②监测项目</w:t>
      </w:r>
    </w:p>
    <w:p>
      <w:pPr>
        <w:ind w:firstLine="480"/>
        <w:rPr>
          <w:color w:val="auto"/>
          <w:shd w:val="clear" w:color="auto" w:fill="auto"/>
        </w:rPr>
      </w:pPr>
      <w:r>
        <w:rPr>
          <w:rFonts w:hint="eastAsia"/>
          <w:color w:val="auto"/>
          <w:shd w:val="clear" w:color="auto" w:fill="auto"/>
          <w:lang w:eastAsia="zh-CN"/>
        </w:rPr>
        <w:t>PM</w:t>
      </w:r>
      <w:r>
        <w:rPr>
          <w:color w:val="auto"/>
          <w:shd w:val="clear" w:color="auto" w:fill="auto"/>
          <w:vertAlign w:val="subscript"/>
        </w:rPr>
        <w:t>10</w:t>
      </w:r>
      <w:r>
        <w:rPr>
          <w:rFonts w:hint="eastAsia"/>
          <w:color w:val="auto"/>
          <w:shd w:val="clear" w:color="auto" w:fill="auto"/>
          <w:vertAlign w:val="baseline"/>
          <w:lang w:val="en-US" w:eastAsia="zh-CN"/>
        </w:rPr>
        <w:t>、TSP</w:t>
      </w:r>
    </w:p>
    <w:p>
      <w:pPr>
        <w:ind w:firstLine="480"/>
        <w:rPr>
          <w:color w:val="auto"/>
          <w:shd w:val="clear" w:color="auto" w:fill="auto"/>
        </w:rPr>
      </w:pPr>
      <w:r>
        <w:rPr>
          <w:color w:val="auto"/>
          <w:shd w:val="clear" w:color="auto" w:fill="auto"/>
        </w:rPr>
        <w:t>③监测频率</w:t>
      </w:r>
    </w:p>
    <w:p>
      <w:pPr>
        <w:ind w:firstLine="480"/>
        <w:rPr>
          <w:color w:val="auto"/>
          <w:shd w:val="clear" w:color="auto" w:fill="auto"/>
        </w:rPr>
      </w:pPr>
      <w:r>
        <w:rPr>
          <w:color w:val="auto"/>
          <w:shd w:val="clear" w:color="auto" w:fill="auto"/>
        </w:rPr>
        <w:t>每年一次，按《空气和废气监测分析方法》和《环境空气质量标准》（GB3095</w:t>
      </w:r>
      <w:r>
        <w:rPr>
          <w:rFonts w:hint="eastAsia"/>
          <w:color w:val="auto"/>
          <w:shd w:val="clear" w:color="auto" w:fill="auto"/>
          <w:lang w:val="en-US" w:eastAsia="zh-CN"/>
        </w:rPr>
        <w:t>-</w:t>
      </w:r>
      <w:r>
        <w:rPr>
          <w:color w:val="auto"/>
          <w:shd w:val="clear" w:color="auto" w:fill="auto"/>
        </w:rPr>
        <w:t>1996）的二级标准执行。</w:t>
      </w:r>
    </w:p>
    <w:p>
      <w:pPr>
        <w:ind w:firstLine="482"/>
        <w:rPr>
          <w:b/>
          <w:bCs/>
          <w:color w:val="auto"/>
          <w:shd w:val="clear" w:color="auto" w:fill="auto"/>
        </w:rPr>
      </w:pPr>
      <w:r>
        <w:rPr>
          <w:b/>
          <w:bCs/>
          <w:color w:val="auto"/>
          <w:shd w:val="clear" w:color="auto" w:fill="auto"/>
        </w:rPr>
        <w:t>3.噪声监测</w:t>
      </w:r>
    </w:p>
    <w:p>
      <w:pPr>
        <w:ind w:firstLine="480"/>
        <w:rPr>
          <w:color w:val="auto"/>
          <w:shd w:val="clear" w:color="auto" w:fill="auto"/>
        </w:rPr>
      </w:pPr>
      <w:r>
        <w:rPr>
          <w:color w:val="auto"/>
          <w:shd w:val="clear" w:color="auto" w:fill="auto"/>
        </w:rPr>
        <w:t>营运期的噪声监测主要</w:t>
      </w:r>
      <w:r>
        <w:rPr>
          <w:rFonts w:hint="eastAsia"/>
          <w:color w:val="auto"/>
          <w:shd w:val="clear" w:color="auto" w:fill="auto"/>
          <w:lang w:val="en-US" w:eastAsia="zh-CN"/>
        </w:rPr>
        <w:t>是厂</w:t>
      </w:r>
      <w:r>
        <w:rPr>
          <w:color w:val="auto"/>
          <w:shd w:val="clear" w:color="auto" w:fill="auto"/>
        </w:rPr>
        <w:t>界</w:t>
      </w:r>
      <w:r>
        <w:rPr>
          <w:rFonts w:hint="eastAsia"/>
          <w:color w:val="auto"/>
          <w:shd w:val="clear" w:color="auto" w:fill="auto"/>
          <w:lang w:val="en-US" w:eastAsia="zh-CN"/>
        </w:rPr>
        <w:t>四周及200m范围内敏感点</w:t>
      </w:r>
      <w:r>
        <w:rPr>
          <w:color w:val="auto"/>
          <w:shd w:val="clear" w:color="auto" w:fill="auto"/>
        </w:rPr>
        <w:t>噪声。每季度一次。</w:t>
      </w:r>
    </w:p>
    <w:p>
      <w:pPr>
        <w:pStyle w:val="5"/>
        <w:rPr>
          <w:color w:val="auto"/>
          <w:shd w:val="clear" w:color="auto" w:fill="auto"/>
        </w:rPr>
      </w:pPr>
      <w:bookmarkStart w:id="470" w:name="_Toc233391496"/>
      <w:bookmarkStart w:id="471" w:name="_Toc312204510"/>
      <w:bookmarkStart w:id="472" w:name="_Toc316642144"/>
      <w:r>
        <w:rPr>
          <w:rFonts w:hint="eastAsia"/>
          <w:color w:val="auto"/>
          <w:shd w:val="clear" w:color="auto" w:fill="auto"/>
          <w:lang w:val="en-US" w:eastAsia="zh-CN"/>
        </w:rPr>
        <w:t>7</w:t>
      </w:r>
      <w:r>
        <w:rPr>
          <w:color w:val="auto"/>
          <w:shd w:val="clear" w:color="auto" w:fill="auto"/>
        </w:rPr>
        <w:t>.</w:t>
      </w:r>
      <w:r>
        <w:rPr>
          <w:rFonts w:hint="eastAsia"/>
          <w:color w:val="auto"/>
          <w:shd w:val="clear" w:color="auto" w:fill="auto"/>
          <w:lang w:val="en-US" w:eastAsia="zh-CN"/>
        </w:rPr>
        <w:t>2</w:t>
      </w:r>
      <w:r>
        <w:rPr>
          <w:color w:val="auto"/>
          <w:shd w:val="clear" w:color="auto" w:fill="auto"/>
        </w:rPr>
        <w:t>.4 监测资料管理</w:t>
      </w:r>
      <w:bookmarkEnd w:id="470"/>
      <w:bookmarkEnd w:id="471"/>
      <w:bookmarkEnd w:id="472"/>
    </w:p>
    <w:p>
      <w:pPr>
        <w:ind w:firstLine="480"/>
        <w:rPr>
          <w:color w:val="auto"/>
          <w:shd w:val="clear" w:color="auto" w:fill="auto"/>
        </w:rPr>
      </w:pPr>
      <w:r>
        <w:rPr>
          <w:color w:val="auto"/>
          <w:shd w:val="clear" w:color="auto" w:fill="auto"/>
        </w:rPr>
        <w:t>每次监测都应有完整的记录。监测数据应及时整理、统计，及时向各有关部门通报。并应做好监测资料的归档工作。</w:t>
      </w:r>
    </w:p>
    <w:p>
      <w:pPr>
        <w:ind w:firstLine="0" w:firstLineChars="0"/>
        <w:rPr>
          <w:color w:val="auto"/>
          <w:shd w:val="clear" w:color="auto" w:fill="auto"/>
        </w:rPr>
      </w:pPr>
    </w:p>
    <w:p>
      <w:pPr>
        <w:pStyle w:val="3"/>
        <w:spacing w:before="156" w:after="156"/>
        <w:rPr>
          <w:color w:val="auto"/>
          <w:shd w:val="clear" w:color="auto" w:fill="auto"/>
        </w:rPr>
      </w:pPr>
      <w:bookmarkStart w:id="473" w:name="_Toc23268_WPSOffice_Level1"/>
      <w:bookmarkStart w:id="474" w:name="_Toc15394_WPSOffice_Level1"/>
      <w:bookmarkStart w:id="475" w:name="_Toc11444"/>
      <w:r>
        <w:rPr>
          <w:rFonts w:hint="eastAsia"/>
          <w:color w:val="auto"/>
          <w:shd w:val="clear" w:color="auto" w:fill="auto"/>
        </w:rPr>
        <w:t>第</w:t>
      </w:r>
      <w:r>
        <w:rPr>
          <w:rFonts w:hint="eastAsia"/>
          <w:color w:val="auto"/>
          <w:shd w:val="clear" w:color="auto" w:fill="auto"/>
          <w:lang w:val="en-US" w:eastAsia="zh-CN"/>
        </w:rPr>
        <w:t>8</w:t>
      </w:r>
      <w:r>
        <w:rPr>
          <w:rFonts w:hint="eastAsia"/>
          <w:color w:val="auto"/>
          <w:shd w:val="clear" w:color="auto" w:fill="auto"/>
        </w:rPr>
        <w:t>章 环境经济损益分析</w:t>
      </w:r>
      <w:bookmarkEnd w:id="473"/>
      <w:bookmarkEnd w:id="474"/>
      <w:bookmarkEnd w:id="475"/>
    </w:p>
    <w:p>
      <w:pPr>
        <w:pStyle w:val="4"/>
        <w:spacing w:before="156" w:after="156"/>
        <w:rPr>
          <w:rFonts w:hint="eastAsia"/>
          <w:color w:val="auto"/>
          <w:highlight w:val="none"/>
          <w:shd w:val="clear" w:color="auto" w:fill="auto"/>
        </w:rPr>
      </w:pPr>
      <w:bookmarkStart w:id="476" w:name="_Toc15136"/>
      <w:bookmarkStart w:id="477" w:name="_Toc13364_WPSOffice_Level2"/>
      <w:bookmarkStart w:id="478" w:name="_Toc16445_WPSOffice_Level2"/>
      <w:r>
        <w:rPr>
          <w:rFonts w:hint="eastAsia"/>
          <w:color w:val="auto"/>
          <w:highlight w:val="none"/>
          <w:shd w:val="clear" w:color="auto" w:fill="auto"/>
          <w:lang w:val="en-US" w:eastAsia="zh-CN"/>
        </w:rPr>
        <w:t>8</w:t>
      </w:r>
      <w:r>
        <w:rPr>
          <w:rFonts w:hint="eastAsia"/>
          <w:color w:val="auto"/>
          <w:highlight w:val="none"/>
          <w:shd w:val="clear" w:color="auto" w:fill="auto"/>
        </w:rPr>
        <w:t>.1 项目的经济效益分析</w:t>
      </w:r>
      <w:bookmarkEnd w:id="476"/>
      <w:bookmarkEnd w:id="477"/>
      <w:bookmarkEnd w:id="478"/>
    </w:p>
    <w:p>
      <w:pPr>
        <w:spacing w:line="420" w:lineRule="auto"/>
        <w:ind w:firstLine="448" w:firstLineChars="187"/>
        <w:jc w:val="left"/>
        <w:rPr>
          <w:color w:val="auto"/>
          <w:shd w:val="clear" w:color="auto" w:fill="auto"/>
        </w:rPr>
      </w:pPr>
      <w:r>
        <w:rPr>
          <w:rFonts w:hint="eastAsia"/>
          <w:color w:val="auto"/>
          <w:shd w:val="clear" w:color="auto" w:fill="auto"/>
          <w:lang w:eastAsia="zh-CN"/>
        </w:rPr>
        <w:t>阜阳港太和港区陶庙作业区码头工程</w:t>
      </w:r>
      <w:r>
        <w:rPr>
          <w:color w:val="auto"/>
          <w:shd w:val="clear" w:color="auto" w:fill="auto"/>
        </w:rPr>
        <w:t>总投资</w:t>
      </w:r>
      <w:r>
        <w:rPr>
          <w:rFonts w:hint="eastAsia"/>
          <w:lang w:eastAsia="zh-CN"/>
        </w:rPr>
        <w:t>6954.60</w:t>
      </w:r>
      <w:r>
        <w:rPr>
          <w:rFonts w:ascii="Times New Roman" w:hAnsi="Times New Roman" w:cs="Times New Roman"/>
          <w:color w:val="auto"/>
          <w:shd w:val="clear" w:color="auto" w:fill="auto"/>
        </w:rPr>
        <w:t>万元</w:t>
      </w:r>
      <w:r>
        <w:rPr>
          <w:rFonts w:hint="eastAsia" w:ascii="Times New Roman" w:hAnsi="Times New Roman" w:cs="Times New Roman"/>
          <w:color w:val="auto"/>
          <w:shd w:val="clear" w:color="auto" w:fill="auto"/>
        </w:rPr>
        <w:t>。本工程40%为自有资金，60%为银行贷款。</w:t>
      </w:r>
      <w:r>
        <w:rPr>
          <w:rFonts w:hint="eastAsia"/>
          <w:color w:val="auto"/>
          <w:shd w:val="clear" w:color="auto" w:fill="auto"/>
        </w:rPr>
        <w:t>拟建</w:t>
      </w:r>
      <w:r>
        <w:rPr>
          <w:color w:val="auto"/>
          <w:shd w:val="clear" w:color="auto" w:fill="auto"/>
        </w:rPr>
        <w:t>工程投资估算见表</w:t>
      </w:r>
      <w:r>
        <w:rPr>
          <w:rFonts w:hint="eastAsia"/>
          <w:color w:val="auto"/>
          <w:shd w:val="clear" w:color="auto" w:fill="auto"/>
          <w:lang w:val="en-US" w:eastAsia="zh-CN"/>
        </w:rPr>
        <w:t>8</w:t>
      </w:r>
      <w:r>
        <w:rPr>
          <w:rFonts w:hint="eastAsia"/>
          <w:color w:val="auto"/>
          <w:shd w:val="clear" w:color="auto" w:fill="auto"/>
        </w:rPr>
        <w:t>.1</w:t>
      </w:r>
      <w:r>
        <w:rPr>
          <w:color w:val="auto"/>
          <w:shd w:val="clear" w:color="auto" w:fill="auto"/>
        </w:rPr>
        <w:t>-1</w:t>
      </w:r>
      <w:r>
        <w:rPr>
          <w:rFonts w:hint="eastAsia"/>
          <w:color w:val="auto"/>
          <w:shd w:val="clear" w:color="auto" w:fill="auto"/>
        </w:rPr>
        <w:t>；财务内部评价指标见</w:t>
      </w:r>
      <w:r>
        <w:rPr>
          <w:color w:val="auto"/>
          <w:shd w:val="clear" w:color="auto" w:fill="auto"/>
        </w:rPr>
        <w:t>表</w:t>
      </w:r>
      <w:r>
        <w:rPr>
          <w:rFonts w:hint="eastAsia"/>
          <w:color w:val="auto"/>
          <w:shd w:val="clear" w:color="auto" w:fill="auto"/>
          <w:lang w:val="en-US" w:eastAsia="zh-CN"/>
        </w:rPr>
        <w:t>8</w:t>
      </w:r>
      <w:r>
        <w:rPr>
          <w:rFonts w:hint="eastAsia"/>
          <w:color w:val="auto"/>
          <w:shd w:val="clear" w:color="auto" w:fill="auto"/>
        </w:rPr>
        <w:t>.1</w:t>
      </w:r>
      <w:r>
        <w:rPr>
          <w:color w:val="auto"/>
          <w:shd w:val="clear" w:color="auto" w:fill="auto"/>
        </w:rPr>
        <w:t>-2。</w:t>
      </w:r>
    </w:p>
    <w:p>
      <w:pPr>
        <w:ind w:firstLine="0" w:firstLineChars="0"/>
        <w:jc w:val="center"/>
        <w:rPr>
          <w:rFonts w:eastAsia="黑体" w:cs="Times New Roman"/>
          <w:bCs/>
          <w:color w:val="auto"/>
          <w:sz w:val="21"/>
          <w:szCs w:val="21"/>
          <w:shd w:val="clear" w:color="auto" w:fill="auto"/>
        </w:rPr>
      </w:pPr>
      <w:r>
        <w:rPr>
          <w:rFonts w:eastAsia="黑体" w:cs="Times New Roman"/>
          <w:bCs/>
          <w:color w:val="auto"/>
          <w:sz w:val="21"/>
          <w:szCs w:val="21"/>
          <w:shd w:val="clear" w:color="auto" w:fill="auto"/>
        </w:rPr>
        <w:t>表</w:t>
      </w:r>
      <w:r>
        <w:rPr>
          <w:rFonts w:hint="eastAsia" w:eastAsia="黑体" w:cs="Times New Roman"/>
          <w:bCs/>
          <w:color w:val="auto"/>
          <w:sz w:val="21"/>
          <w:szCs w:val="21"/>
          <w:shd w:val="clear" w:color="auto" w:fill="auto"/>
          <w:lang w:val="en-US" w:eastAsia="zh-CN"/>
        </w:rPr>
        <w:t>8</w:t>
      </w:r>
      <w:r>
        <w:rPr>
          <w:rFonts w:eastAsia="黑体" w:cs="Times New Roman"/>
          <w:bCs/>
          <w:color w:val="auto"/>
          <w:sz w:val="21"/>
          <w:szCs w:val="21"/>
          <w:shd w:val="clear" w:color="auto" w:fill="auto"/>
        </w:rPr>
        <w:t>.1-1 拟建工程投资估算表</w:t>
      </w:r>
    </w:p>
    <w:tbl>
      <w:tblPr>
        <w:tblStyle w:val="26"/>
        <w:tblW w:w="852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67"/>
        <w:gridCol w:w="2615"/>
        <w:gridCol w:w="1960"/>
        <w:gridCol w:w="25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6" w:hRule="atLeast"/>
        </w:trPr>
        <w:tc>
          <w:tcPr>
            <w:tcW w:w="13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序号</w:t>
            </w:r>
          </w:p>
        </w:tc>
        <w:tc>
          <w:tcPr>
            <w:tcW w:w="26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项目</w:t>
            </w:r>
          </w:p>
        </w:tc>
        <w:tc>
          <w:tcPr>
            <w:tcW w:w="1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投资估算（万元）</w:t>
            </w:r>
          </w:p>
        </w:tc>
        <w:tc>
          <w:tcPr>
            <w:tcW w:w="25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一</w:t>
            </w:r>
          </w:p>
        </w:tc>
        <w:tc>
          <w:tcPr>
            <w:tcW w:w="26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工程费用</w:t>
            </w:r>
          </w:p>
        </w:tc>
        <w:tc>
          <w:tcPr>
            <w:tcW w:w="1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5492.41</w:t>
            </w:r>
          </w:p>
        </w:tc>
        <w:tc>
          <w:tcPr>
            <w:tcW w:w="258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不含建设期利息和全部流动资金。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二</w:t>
            </w:r>
          </w:p>
        </w:tc>
        <w:tc>
          <w:tcPr>
            <w:tcW w:w="26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其他费用</w:t>
            </w:r>
          </w:p>
        </w:tc>
        <w:tc>
          <w:tcPr>
            <w:tcW w:w="1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897.63</w:t>
            </w:r>
          </w:p>
        </w:tc>
        <w:tc>
          <w:tcPr>
            <w:tcW w:w="25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三</w:t>
            </w:r>
          </w:p>
        </w:tc>
        <w:tc>
          <w:tcPr>
            <w:tcW w:w="26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预备费</w:t>
            </w:r>
          </w:p>
        </w:tc>
        <w:tc>
          <w:tcPr>
            <w:tcW w:w="1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447.30</w:t>
            </w:r>
          </w:p>
        </w:tc>
        <w:tc>
          <w:tcPr>
            <w:tcW w:w="25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四</w:t>
            </w:r>
          </w:p>
        </w:tc>
        <w:tc>
          <w:tcPr>
            <w:tcW w:w="26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建设期贷款利息（万元）</w:t>
            </w:r>
          </w:p>
        </w:tc>
        <w:tc>
          <w:tcPr>
            <w:tcW w:w="1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117.26</w:t>
            </w:r>
          </w:p>
        </w:tc>
        <w:tc>
          <w:tcPr>
            <w:tcW w:w="25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五</w:t>
            </w:r>
          </w:p>
        </w:tc>
        <w:tc>
          <w:tcPr>
            <w:tcW w:w="26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合计（静态投资）</w:t>
            </w:r>
          </w:p>
        </w:tc>
        <w:tc>
          <w:tcPr>
            <w:tcW w:w="1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eastAsia="zh-CN"/>
              </w:rPr>
            </w:pPr>
            <w:r>
              <w:rPr>
                <w:rFonts w:hint="eastAsia" w:cs="Times New Roman"/>
                <w:color w:val="auto"/>
                <w:sz w:val="21"/>
                <w:szCs w:val="21"/>
                <w:shd w:val="clear" w:color="auto" w:fill="auto"/>
                <w:lang w:eastAsia="zh-CN"/>
              </w:rPr>
              <w:t>6954.60</w:t>
            </w:r>
          </w:p>
        </w:tc>
        <w:tc>
          <w:tcPr>
            <w:tcW w:w="25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p>
        </w:tc>
      </w:tr>
    </w:tbl>
    <w:p>
      <w:pPr>
        <w:ind w:firstLine="0" w:firstLineChars="0"/>
        <w:jc w:val="center"/>
        <w:rPr>
          <w:rFonts w:hint="eastAsia"/>
        </w:rPr>
      </w:pPr>
      <w:r>
        <w:rPr>
          <w:rFonts w:hint="eastAsia" w:ascii="Times New Roman" w:hAnsi="Times New Roman" w:eastAsia="黑体" w:cs="Times New Roman"/>
          <w:bCs/>
          <w:color w:val="auto"/>
          <w:sz w:val="21"/>
          <w:szCs w:val="21"/>
          <w:shd w:val="clear" w:color="auto" w:fill="auto"/>
          <w:lang w:eastAsia="zh-CN"/>
        </w:rPr>
        <w:t>表</w:t>
      </w:r>
      <w:r>
        <w:rPr>
          <w:rFonts w:hint="eastAsia" w:ascii="Times New Roman" w:hAnsi="Times New Roman" w:eastAsia="黑体" w:cs="Times New Roman"/>
          <w:bCs/>
          <w:color w:val="auto"/>
          <w:sz w:val="21"/>
          <w:szCs w:val="21"/>
          <w:shd w:val="clear" w:color="auto" w:fill="auto"/>
          <w:lang w:val="en-US" w:eastAsia="zh-CN"/>
        </w:rPr>
        <w:t xml:space="preserve">8.1-2 </w:t>
      </w:r>
      <w:r>
        <w:rPr>
          <w:rFonts w:hint="eastAsia" w:ascii="Times New Roman" w:hAnsi="Times New Roman" w:eastAsia="黑体" w:cs="Times New Roman"/>
          <w:bCs/>
          <w:color w:val="auto"/>
          <w:sz w:val="21"/>
          <w:szCs w:val="21"/>
          <w:shd w:val="clear" w:color="auto" w:fill="auto"/>
        </w:rPr>
        <w:t>财务内部评价指标表</w:t>
      </w:r>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0"/>
        <w:gridCol w:w="1129"/>
        <w:gridCol w:w="1450"/>
        <w:gridCol w:w="1450"/>
        <w:gridCol w:w="1451"/>
        <w:gridCol w:w="1205"/>
        <w:gridCol w:w="9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969" w:type="dxa"/>
            <w:gridSpan w:val="2"/>
            <w:tcBorders>
              <w:tl2br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 xml:space="preserve">      评价指标</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筹资方案</w:t>
            </w:r>
          </w:p>
        </w:tc>
        <w:tc>
          <w:tcPr>
            <w:tcW w:w="14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财务内部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收益率</w:t>
            </w:r>
            <w:r>
              <w:rPr>
                <w:rFonts w:hint="default" w:ascii="Times New Roman" w:hAnsi="Times New Roman" w:cs="Times New Roman"/>
                <w:color w:val="auto"/>
                <w:sz w:val="21"/>
                <w:szCs w:val="21"/>
                <w:shd w:val="clear" w:color="auto" w:fill="auto"/>
              </w:rPr>
              <w:t>(%)</w:t>
            </w:r>
          </w:p>
        </w:tc>
        <w:tc>
          <w:tcPr>
            <w:tcW w:w="14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财务净现值</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（万元）</w:t>
            </w:r>
          </w:p>
        </w:tc>
        <w:tc>
          <w:tcPr>
            <w:tcW w:w="14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投资回收期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w:t>
            </w:r>
            <w:r>
              <w:rPr>
                <w:rFonts w:hint="eastAsia" w:ascii="Times New Roman" w:hAnsi="Times New Roman" w:cs="Times New Roman"/>
                <w:color w:val="auto"/>
                <w:sz w:val="21"/>
                <w:szCs w:val="21"/>
                <w:shd w:val="clear" w:color="auto" w:fill="auto"/>
              </w:rPr>
              <w:t>年</w:t>
            </w:r>
            <w:r>
              <w:rPr>
                <w:rFonts w:hint="default" w:ascii="Times New Roman" w:hAnsi="Times New Roman" w:cs="Times New Roman"/>
                <w:color w:val="auto"/>
                <w:sz w:val="21"/>
                <w:szCs w:val="21"/>
                <w:shd w:val="clear" w:color="auto" w:fill="auto"/>
              </w:rPr>
              <w:t>)</w:t>
            </w:r>
          </w:p>
        </w:tc>
        <w:tc>
          <w:tcPr>
            <w:tcW w:w="120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贷款偿还</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年限</w:t>
            </w:r>
            <w:r>
              <w:rPr>
                <w:rFonts w:hint="default" w:ascii="Times New Roman" w:hAnsi="Times New Roman" w:cs="Times New Roman"/>
                <w:color w:val="auto"/>
                <w:sz w:val="21"/>
                <w:szCs w:val="21"/>
                <w:shd w:val="clear" w:color="auto" w:fill="auto"/>
              </w:rPr>
              <w:t>(</w:t>
            </w:r>
            <w:r>
              <w:rPr>
                <w:rFonts w:hint="eastAsia" w:ascii="Times New Roman" w:hAnsi="Times New Roman" w:cs="Times New Roman"/>
                <w:color w:val="auto"/>
                <w:sz w:val="21"/>
                <w:szCs w:val="21"/>
                <w:shd w:val="clear" w:color="auto" w:fill="auto"/>
              </w:rPr>
              <w:t>年</w:t>
            </w:r>
            <w:r>
              <w:rPr>
                <w:rFonts w:hint="default" w:ascii="Times New Roman" w:hAnsi="Times New Roman" w:cs="Times New Roman"/>
                <w:color w:val="auto"/>
                <w:sz w:val="21"/>
                <w:szCs w:val="21"/>
                <w:shd w:val="clear" w:color="auto" w:fill="auto"/>
              </w:rPr>
              <w:t>)</w:t>
            </w:r>
          </w:p>
        </w:tc>
        <w:tc>
          <w:tcPr>
            <w:tcW w:w="99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2" w:hRule="atLeast"/>
        </w:trPr>
        <w:tc>
          <w:tcPr>
            <w:tcW w:w="84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全部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投资</w:t>
            </w:r>
          </w:p>
        </w:tc>
        <w:tc>
          <w:tcPr>
            <w:tcW w:w="11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税前</w:t>
            </w:r>
          </w:p>
        </w:tc>
        <w:tc>
          <w:tcPr>
            <w:tcW w:w="1450"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16.83</w:t>
            </w:r>
          </w:p>
        </w:tc>
        <w:tc>
          <w:tcPr>
            <w:tcW w:w="1450"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3024.83</w:t>
            </w:r>
          </w:p>
        </w:tc>
        <w:tc>
          <w:tcPr>
            <w:tcW w:w="1451"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9.37</w:t>
            </w:r>
          </w:p>
        </w:tc>
        <w:tc>
          <w:tcPr>
            <w:tcW w:w="120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8.14</w:t>
            </w:r>
          </w:p>
        </w:tc>
        <w:tc>
          <w:tcPr>
            <w:tcW w:w="99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资本金</w:t>
            </w:r>
            <w:r>
              <w:rPr>
                <w:rFonts w:hint="eastAsia" w:cs="Times New Roman"/>
                <w:color w:val="auto"/>
                <w:sz w:val="21"/>
                <w:szCs w:val="21"/>
                <w:shd w:val="clear" w:color="auto" w:fill="auto"/>
                <w:lang w:val="en-US" w:eastAsia="zh-CN"/>
              </w:rPr>
              <w:t>3</w:t>
            </w:r>
            <w:r>
              <w:rPr>
                <w:rFonts w:hint="default" w:ascii="Times New Roman" w:hAnsi="Times New Roman" w:cs="Times New Roman"/>
                <w:color w:val="auto"/>
                <w:sz w:val="21"/>
                <w:szCs w:val="21"/>
                <w:shd w:val="clear" w:color="auto" w:fil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84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p>
        </w:tc>
        <w:tc>
          <w:tcPr>
            <w:tcW w:w="11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税后</w:t>
            </w:r>
          </w:p>
        </w:tc>
        <w:tc>
          <w:tcPr>
            <w:tcW w:w="1450"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13.11</w:t>
            </w:r>
          </w:p>
        </w:tc>
        <w:tc>
          <w:tcPr>
            <w:tcW w:w="1450"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1680.89</w:t>
            </w:r>
          </w:p>
        </w:tc>
        <w:tc>
          <w:tcPr>
            <w:tcW w:w="1451"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10.57</w:t>
            </w:r>
          </w:p>
        </w:tc>
        <w:tc>
          <w:tcPr>
            <w:tcW w:w="120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p>
        </w:tc>
        <w:tc>
          <w:tcPr>
            <w:tcW w:w="99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84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自有</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资金</w:t>
            </w:r>
          </w:p>
        </w:tc>
        <w:tc>
          <w:tcPr>
            <w:tcW w:w="11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税前</w:t>
            </w:r>
          </w:p>
        </w:tc>
        <w:tc>
          <w:tcPr>
            <w:tcW w:w="1450"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13.06</w:t>
            </w:r>
          </w:p>
        </w:tc>
        <w:tc>
          <w:tcPr>
            <w:tcW w:w="1450"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2760.25</w:t>
            </w:r>
          </w:p>
        </w:tc>
        <w:tc>
          <w:tcPr>
            <w:tcW w:w="1451"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8.16</w:t>
            </w:r>
          </w:p>
        </w:tc>
        <w:tc>
          <w:tcPr>
            <w:tcW w:w="120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eastAsia="zh-CN"/>
              </w:rPr>
            </w:pPr>
            <w:r>
              <w:rPr>
                <w:rFonts w:hint="eastAsia" w:cs="Times New Roman"/>
                <w:color w:val="auto"/>
                <w:sz w:val="21"/>
                <w:szCs w:val="21"/>
                <w:shd w:val="clear" w:color="auto" w:fill="auto"/>
                <w:lang w:val="en-US" w:eastAsia="zh-CN"/>
              </w:rPr>
              <w:t>/</w:t>
            </w:r>
          </w:p>
        </w:tc>
        <w:tc>
          <w:tcPr>
            <w:tcW w:w="99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资本金</w:t>
            </w:r>
            <w:r>
              <w:rPr>
                <w:rFonts w:hint="eastAsia" w:cs="Times New Roman"/>
                <w:color w:val="auto"/>
                <w:sz w:val="21"/>
                <w:szCs w:val="21"/>
                <w:shd w:val="clear" w:color="auto" w:fill="auto"/>
                <w:lang w:val="en-US" w:eastAsia="zh-CN"/>
              </w:rPr>
              <w:t>100</w:t>
            </w:r>
            <w:r>
              <w:rPr>
                <w:rFonts w:hint="eastAsia" w:ascii="Times New Roman" w:hAnsi="Times New Roman" w:cs="Times New Roman"/>
                <w:color w:val="auto"/>
                <w:sz w:val="21"/>
                <w:szCs w:val="21"/>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84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p>
        </w:tc>
        <w:tc>
          <w:tcPr>
            <w:tcW w:w="11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税后</w:t>
            </w:r>
          </w:p>
        </w:tc>
        <w:tc>
          <w:tcPr>
            <w:tcW w:w="1450"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10.36</w:t>
            </w:r>
          </w:p>
        </w:tc>
        <w:tc>
          <w:tcPr>
            <w:tcW w:w="1450"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1225.70</w:t>
            </w:r>
          </w:p>
        </w:tc>
        <w:tc>
          <w:tcPr>
            <w:tcW w:w="1451"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9.42</w:t>
            </w:r>
          </w:p>
        </w:tc>
        <w:tc>
          <w:tcPr>
            <w:tcW w:w="120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shd w:val="clear" w:color="auto" w:fill="auto"/>
              </w:rPr>
            </w:pPr>
          </w:p>
        </w:tc>
        <w:tc>
          <w:tcPr>
            <w:tcW w:w="99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shd w:val="clear" w:color="auto" w:fill="auto"/>
              </w:rPr>
            </w:pPr>
          </w:p>
        </w:tc>
      </w:tr>
    </w:tbl>
    <w:p>
      <w:pPr>
        <w:bidi w:val="0"/>
        <w:rPr>
          <w:color w:val="auto"/>
          <w:shd w:val="clear" w:color="auto" w:fill="auto"/>
        </w:rPr>
      </w:pPr>
      <w:r>
        <w:rPr>
          <w:rFonts w:hint="eastAsia"/>
          <w:color w:val="auto"/>
          <w:shd w:val="clear" w:color="auto" w:fill="auto"/>
        </w:rPr>
        <w:t>从项目财务评价指标来看，财务内部收益率大于基准收益率</w:t>
      </w:r>
      <w:r>
        <w:rPr>
          <w:rFonts w:hint="eastAsia"/>
          <w:color w:val="auto"/>
          <w:shd w:val="clear" w:color="auto" w:fill="auto"/>
          <w:lang w:eastAsia="zh-CN"/>
        </w:rPr>
        <w:t>（</w:t>
      </w:r>
      <w:r>
        <w:rPr>
          <w:rFonts w:hint="eastAsia"/>
          <w:color w:val="auto"/>
          <w:shd w:val="clear" w:color="auto" w:fill="auto"/>
          <w:lang w:val="en-US" w:eastAsia="zh-CN"/>
        </w:rPr>
        <w:t>8%</w:t>
      </w:r>
      <w:r>
        <w:rPr>
          <w:rFonts w:hint="eastAsia"/>
          <w:color w:val="auto"/>
          <w:shd w:val="clear" w:color="auto" w:fill="auto"/>
          <w:lang w:eastAsia="zh-CN"/>
        </w:rPr>
        <w:t>）</w:t>
      </w:r>
      <w:r>
        <w:rPr>
          <w:rFonts w:hint="eastAsia"/>
          <w:color w:val="auto"/>
          <w:shd w:val="clear" w:color="auto" w:fill="auto"/>
        </w:rPr>
        <w:t>，财务净现值大于0。项目财务效益好。敏感性分析结果表明，项目抗风险能力强。因此，项目在财务上是可行的。</w:t>
      </w:r>
    </w:p>
    <w:p>
      <w:pPr>
        <w:pStyle w:val="4"/>
        <w:spacing w:before="156" w:after="156"/>
        <w:rPr>
          <w:rFonts w:hint="eastAsia"/>
          <w:color w:val="auto"/>
          <w:highlight w:val="none"/>
          <w:shd w:val="clear" w:color="auto" w:fill="auto"/>
        </w:rPr>
      </w:pPr>
      <w:bookmarkStart w:id="479" w:name="_Toc21951"/>
      <w:bookmarkStart w:id="480" w:name="_Toc5616_WPSOffice_Level2"/>
      <w:bookmarkStart w:id="481" w:name="_Toc15139_WPSOffice_Level2"/>
      <w:r>
        <w:rPr>
          <w:rFonts w:hint="eastAsia"/>
          <w:color w:val="auto"/>
          <w:highlight w:val="none"/>
          <w:shd w:val="clear" w:color="auto" w:fill="auto"/>
          <w:lang w:val="en-US" w:eastAsia="zh-CN"/>
        </w:rPr>
        <w:t>8</w:t>
      </w:r>
      <w:r>
        <w:rPr>
          <w:rFonts w:hint="eastAsia"/>
          <w:color w:val="auto"/>
          <w:highlight w:val="none"/>
          <w:shd w:val="clear" w:color="auto" w:fill="auto"/>
        </w:rPr>
        <w:t>.2 环保经济损益分析</w:t>
      </w:r>
      <w:bookmarkEnd w:id="479"/>
      <w:bookmarkEnd w:id="480"/>
      <w:bookmarkEnd w:id="481"/>
    </w:p>
    <w:p>
      <w:pPr>
        <w:ind w:firstLine="480"/>
        <w:rPr>
          <w:color w:val="auto"/>
          <w:shd w:val="clear" w:color="auto" w:fill="auto"/>
        </w:rPr>
      </w:pPr>
      <w:r>
        <w:rPr>
          <w:color w:val="auto"/>
          <w:shd w:val="clear" w:color="auto" w:fill="auto"/>
        </w:rPr>
        <w:t>根据本报告书提出的污染防治和生态恢复措施，所需环保经费估算见表</w:t>
      </w:r>
      <w:r>
        <w:rPr>
          <w:rFonts w:hint="eastAsia"/>
          <w:color w:val="auto"/>
          <w:shd w:val="clear" w:color="auto" w:fill="auto"/>
          <w:lang w:val="en-US" w:eastAsia="zh-CN"/>
        </w:rPr>
        <w:t>8</w:t>
      </w:r>
      <w:r>
        <w:rPr>
          <w:rFonts w:hint="eastAsia"/>
          <w:color w:val="auto"/>
          <w:shd w:val="clear" w:color="auto" w:fill="auto"/>
        </w:rPr>
        <w:t>.2-1</w:t>
      </w:r>
      <w:r>
        <w:rPr>
          <w:color w:val="auto"/>
          <w:shd w:val="clear" w:color="auto" w:fill="auto"/>
        </w:rPr>
        <w:t>。</w:t>
      </w:r>
    </w:p>
    <w:p>
      <w:pPr>
        <w:ind w:firstLine="0" w:firstLineChars="0"/>
        <w:jc w:val="center"/>
        <w:rPr>
          <w:rFonts w:hint="eastAsia" w:eastAsia="黑体" w:cs="Times New Roman"/>
          <w:bCs/>
          <w:color w:val="auto"/>
          <w:sz w:val="21"/>
          <w:szCs w:val="21"/>
          <w:shd w:val="clear" w:color="auto" w:fill="auto"/>
        </w:rPr>
      </w:pPr>
      <w:r>
        <w:rPr>
          <w:rFonts w:hint="eastAsia" w:eastAsia="黑体" w:cs="Times New Roman"/>
          <w:bCs/>
          <w:color w:val="auto"/>
          <w:sz w:val="21"/>
          <w:szCs w:val="21"/>
          <w:shd w:val="clear" w:color="auto" w:fill="auto"/>
        </w:rPr>
        <w:t>表</w:t>
      </w:r>
      <w:r>
        <w:rPr>
          <w:rFonts w:hint="eastAsia" w:eastAsia="黑体" w:cs="Times New Roman"/>
          <w:bCs/>
          <w:color w:val="auto"/>
          <w:sz w:val="21"/>
          <w:szCs w:val="21"/>
          <w:shd w:val="clear" w:color="auto" w:fill="auto"/>
          <w:lang w:val="en-US" w:eastAsia="zh-CN"/>
        </w:rPr>
        <w:t>8</w:t>
      </w:r>
      <w:r>
        <w:rPr>
          <w:rFonts w:hint="eastAsia" w:eastAsia="黑体" w:cs="Times New Roman"/>
          <w:bCs/>
          <w:color w:val="auto"/>
          <w:sz w:val="21"/>
          <w:szCs w:val="21"/>
          <w:shd w:val="clear" w:color="auto" w:fill="auto"/>
        </w:rPr>
        <w:t>.2-1  环保费用投资估算表</w:t>
      </w:r>
    </w:p>
    <w:tbl>
      <w:tblPr>
        <w:tblStyle w:val="26"/>
        <w:tblW w:w="83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18"/>
        <w:gridCol w:w="650"/>
        <w:gridCol w:w="1436"/>
        <w:gridCol w:w="2754"/>
        <w:gridCol w:w="1910"/>
        <w:gridCol w:w="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建设</w:t>
            </w:r>
          </w:p>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阶段</w:t>
            </w:r>
          </w:p>
        </w:tc>
        <w:tc>
          <w:tcPr>
            <w:tcW w:w="2086" w:type="dxa"/>
            <w:gridSpan w:val="2"/>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项目</w:t>
            </w:r>
          </w:p>
        </w:tc>
        <w:tc>
          <w:tcPr>
            <w:tcW w:w="2754"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lang w:val="en-US" w:eastAsia="zh-CN"/>
              </w:rPr>
              <w:t>环保</w:t>
            </w:r>
            <w:r>
              <w:rPr>
                <w:rFonts w:hint="default" w:ascii="Times New Roman" w:hAnsi="Times New Roman" w:cs="Times New Roman"/>
                <w:color w:val="auto"/>
                <w:sz w:val="21"/>
                <w:szCs w:val="21"/>
                <w:shd w:val="clear" w:color="auto" w:fill="auto"/>
              </w:rPr>
              <w:t>措施</w:t>
            </w:r>
          </w:p>
        </w:tc>
        <w:tc>
          <w:tcPr>
            <w:tcW w:w="1910"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治理效果</w:t>
            </w:r>
          </w:p>
        </w:tc>
        <w:tc>
          <w:tcPr>
            <w:tcW w:w="94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预计投资</w:t>
            </w:r>
          </w:p>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8" w:type="dxa"/>
            <w:vMerge w:val="restart"/>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施</w:t>
            </w:r>
          </w:p>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工</w:t>
            </w:r>
          </w:p>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期</w:t>
            </w:r>
          </w:p>
        </w:tc>
        <w:tc>
          <w:tcPr>
            <w:tcW w:w="650" w:type="dxa"/>
            <w:vMerge w:val="restart"/>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废水</w:t>
            </w:r>
          </w:p>
        </w:tc>
        <w:tc>
          <w:tcPr>
            <w:tcW w:w="1436"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生产废水</w:t>
            </w:r>
          </w:p>
        </w:tc>
        <w:tc>
          <w:tcPr>
            <w:tcW w:w="2754"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建造临时废水沉淀池一座</w:t>
            </w:r>
          </w:p>
        </w:tc>
        <w:tc>
          <w:tcPr>
            <w:tcW w:w="1910" w:type="dxa"/>
            <w:vAlign w:val="center"/>
          </w:tcPr>
          <w:p>
            <w:pPr>
              <w:spacing w:line="240" w:lineRule="auto"/>
              <w:ind w:firstLine="0" w:firstLineChars="0"/>
              <w:jc w:val="center"/>
              <w:rPr>
                <w:rFonts w:hint="eastAsia" w:ascii="Times New Roman" w:hAnsi="Times New Roman" w:eastAsia="宋体"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rPr>
              <w:t>沉淀后</w:t>
            </w:r>
            <w:r>
              <w:rPr>
                <w:rFonts w:hint="eastAsia" w:ascii="Times New Roman" w:hAnsi="Times New Roman" w:cs="Times New Roman"/>
                <w:color w:val="auto"/>
                <w:sz w:val="21"/>
                <w:szCs w:val="21"/>
                <w:shd w:val="clear" w:color="auto" w:fill="auto"/>
                <w:lang w:val="en-US" w:eastAsia="zh-CN"/>
              </w:rPr>
              <w:t>回用于施工生产</w:t>
            </w:r>
          </w:p>
        </w:tc>
        <w:tc>
          <w:tcPr>
            <w:tcW w:w="948" w:type="dxa"/>
            <w:vAlign w:val="center"/>
          </w:tcPr>
          <w:p>
            <w:pPr>
              <w:spacing w:line="240" w:lineRule="auto"/>
              <w:ind w:firstLine="0" w:firstLineChars="0"/>
              <w:jc w:val="center"/>
              <w:rPr>
                <w:rFonts w:hint="eastAsia" w:ascii="Times New Roman" w:hAnsi="Times New Roman" w:eastAsia="宋体"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8"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650"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1436" w:type="dxa"/>
            <w:vAlign w:val="center"/>
          </w:tcPr>
          <w:p>
            <w:pPr>
              <w:spacing w:line="240" w:lineRule="auto"/>
              <w:ind w:firstLine="0" w:firstLineChars="0"/>
              <w:jc w:val="center"/>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抛泥区</w:t>
            </w:r>
            <w:r>
              <w:rPr>
                <w:rFonts w:hint="eastAsia"/>
                <w:color w:val="auto"/>
                <w:sz w:val="21"/>
                <w:szCs w:val="21"/>
                <w:shd w:val="clear" w:color="auto" w:fill="auto"/>
              </w:rPr>
              <w:t>排水处理措施</w:t>
            </w:r>
          </w:p>
        </w:tc>
        <w:tc>
          <w:tcPr>
            <w:tcW w:w="2754" w:type="dxa"/>
            <w:vAlign w:val="center"/>
          </w:tcPr>
          <w:p>
            <w:pPr>
              <w:spacing w:line="240" w:lineRule="auto"/>
              <w:ind w:firstLine="0" w:firstLineChars="0"/>
              <w:jc w:val="center"/>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溢流堰+沉淀池</w:t>
            </w:r>
          </w:p>
        </w:tc>
        <w:tc>
          <w:tcPr>
            <w:tcW w:w="1910" w:type="dxa"/>
            <w:vAlign w:val="center"/>
          </w:tcPr>
          <w:p>
            <w:pPr>
              <w:spacing w:line="240" w:lineRule="auto"/>
              <w:ind w:firstLine="0" w:firstLineChars="0"/>
              <w:jc w:val="center"/>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达标排放</w:t>
            </w:r>
          </w:p>
        </w:tc>
        <w:tc>
          <w:tcPr>
            <w:tcW w:w="948" w:type="dxa"/>
            <w:vAlign w:val="center"/>
          </w:tcPr>
          <w:p>
            <w:pPr>
              <w:spacing w:line="240" w:lineRule="auto"/>
              <w:ind w:firstLine="0" w:firstLineChars="0"/>
              <w:jc w:val="center"/>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8"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650"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1436"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生活</w:t>
            </w:r>
            <w:r>
              <w:rPr>
                <w:rFonts w:hint="eastAsia" w:cs="Times New Roman"/>
                <w:color w:val="auto"/>
                <w:sz w:val="21"/>
                <w:szCs w:val="21"/>
                <w:shd w:val="clear" w:color="auto" w:fill="auto"/>
                <w:lang w:val="en-US" w:eastAsia="zh-CN"/>
              </w:rPr>
              <w:t>污</w:t>
            </w:r>
            <w:r>
              <w:rPr>
                <w:rFonts w:hint="default" w:ascii="Times New Roman" w:hAnsi="Times New Roman" w:cs="Times New Roman"/>
                <w:color w:val="auto"/>
                <w:sz w:val="21"/>
                <w:szCs w:val="21"/>
                <w:shd w:val="clear" w:color="auto" w:fill="auto"/>
              </w:rPr>
              <w:t>水</w:t>
            </w:r>
          </w:p>
        </w:tc>
        <w:tc>
          <w:tcPr>
            <w:tcW w:w="2754"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修建</w:t>
            </w:r>
            <w:r>
              <w:rPr>
                <w:rFonts w:hint="eastAsia" w:cs="Times New Roman"/>
                <w:color w:val="auto"/>
                <w:sz w:val="21"/>
                <w:szCs w:val="21"/>
                <w:shd w:val="clear" w:color="auto" w:fill="auto"/>
                <w:lang w:val="en-US" w:eastAsia="zh-CN"/>
              </w:rPr>
              <w:t>临时</w:t>
            </w:r>
            <w:r>
              <w:rPr>
                <w:rFonts w:hint="default" w:ascii="Times New Roman" w:hAnsi="Times New Roman" w:cs="Times New Roman"/>
                <w:color w:val="auto"/>
                <w:sz w:val="21"/>
                <w:szCs w:val="21"/>
                <w:shd w:val="clear" w:color="auto" w:fill="auto"/>
              </w:rPr>
              <w:t>旱厕</w:t>
            </w:r>
            <w:r>
              <w:rPr>
                <w:rFonts w:hint="eastAsia" w:cs="Times New Roman"/>
                <w:color w:val="auto"/>
                <w:sz w:val="21"/>
                <w:szCs w:val="21"/>
                <w:shd w:val="clear" w:color="auto" w:fill="auto"/>
                <w:lang w:val="en-US" w:eastAsia="zh-CN"/>
              </w:rPr>
              <w:t>一</w:t>
            </w:r>
            <w:r>
              <w:rPr>
                <w:rFonts w:hint="eastAsia" w:ascii="Times New Roman" w:hAnsi="Times New Roman" w:cs="Times New Roman"/>
                <w:color w:val="auto"/>
                <w:sz w:val="21"/>
                <w:szCs w:val="21"/>
                <w:shd w:val="clear" w:color="auto" w:fill="auto"/>
                <w:lang w:eastAsia="zh-CN"/>
              </w:rPr>
              <w:t>座</w:t>
            </w:r>
            <w:r>
              <w:rPr>
                <w:rFonts w:hint="eastAsia" w:ascii="Times New Roman" w:hAnsi="Times New Roman" w:cs="Times New Roman"/>
                <w:color w:val="auto"/>
                <w:sz w:val="21"/>
                <w:szCs w:val="21"/>
                <w:shd w:val="clear" w:color="auto" w:fill="auto"/>
              </w:rPr>
              <w:t>，</w:t>
            </w:r>
            <w:r>
              <w:rPr>
                <w:rFonts w:hint="default" w:ascii="Times New Roman" w:hAnsi="Times New Roman" w:cs="Times New Roman"/>
                <w:color w:val="auto"/>
                <w:sz w:val="21"/>
                <w:szCs w:val="21"/>
                <w:shd w:val="clear" w:color="auto" w:fill="auto"/>
              </w:rPr>
              <w:t>粪便定期清理可用于肥田</w:t>
            </w:r>
          </w:p>
        </w:tc>
        <w:tc>
          <w:tcPr>
            <w:tcW w:w="1910"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eastAsia"/>
                <w:color w:val="auto"/>
                <w:sz w:val="21"/>
                <w:szCs w:val="21"/>
                <w:shd w:val="clear" w:color="auto" w:fill="auto"/>
                <w:lang w:eastAsia="zh-CN"/>
              </w:rPr>
              <w:t>及时清运，不外排</w:t>
            </w:r>
          </w:p>
        </w:tc>
        <w:tc>
          <w:tcPr>
            <w:tcW w:w="94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8"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650"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废气</w:t>
            </w:r>
          </w:p>
        </w:tc>
        <w:tc>
          <w:tcPr>
            <w:tcW w:w="1436"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粉尘</w:t>
            </w:r>
          </w:p>
        </w:tc>
        <w:tc>
          <w:tcPr>
            <w:tcW w:w="2754"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洒水抑尘</w:t>
            </w:r>
            <w:r>
              <w:rPr>
                <w:rFonts w:hint="eastAsia"/>
                <w:color w:val="auto"/>
                <w:sz w:val="21"/>
                <w:szCs w:val="21"/>
                <w:shd w:val="clear" w:color="auto" w:fill="auto"/>
              </w:rPr>
              <w:t>、道路清扫</w:t>
            </w:r>
          </w:p>
        </w:tc>
        <w:tc>
          <w:tcPr>
            <w:tcW w:w="1910"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减轻施工粉尘对周围环境的影响</w:t>
            </w:r>
          </w:p>
        </w:tc>
        <w:tc>
          <w:tcPr>
            <w:tcW w:w="94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8"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650"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噪声</w:t>
            </w:r>
          </w:p>
        </w:tc>
        <w:tc>
          <w:tcPr>
            <w:tcW w:w="1436" w:type="dxa"/>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rPr>
              <w:t>施工机械噪</w:t>
            </w:r>
            <w:r>
              <w:rPr>
                <w:rFonts w:hint="default" w:ascii="Times New Roman" w:hAnsi="Times New Roman" w:cs="Times New Roman"/>
                <w:color w:val="auto"/>
                <w:sz w:val="21"/>
                <w:szCs w:val="21"/>
                <w:shd w:val="clear" w:color="auto" w:fill="auto"/>
                <w:lang w:val="en-US" w:eastAsia="zh-CN"/>
              </w:rPr>
              <w:t>声</w:t>
            </w:r>
          </w:p>
        </w:tc>
        <w:tc>
          <w:tcPr>
            <w:tcW w:w="2754"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选取低噪声设备、合理</w:t>
            </w:r>
          </w:p>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安排作业时间</w:t>
            </w:r>
          </w:p>
        </w:tc>
        <w:tc>
          <w:tcPr>
            <w:tcW w:w="1910"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减轻施工噪声对周围环境的影响</w:t>
            </w:r>
          </w:p>
        </w:tc>
        <w:tc>
          <w:tcPr>
            <w:tcW w:w="94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8" w:type="dxa"/>
            <w:vMerge w:val="restart"/>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运</w:t>
            </w:r>
          </w:p>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营</w:t>
            </w:r>
          </w:p>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期</w:t>
            </w:r>
          </w:p>
        </w:tc>
        <w:tc>
          <w:tcPr>
            <w:tcW w:w="650" w:type="dxa"/>
            <w:vMerge w:val="restart"/>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废水</w:t>
            </w:r>
          </w:p>
        </w:tc>
        <w:tc>
          <w:tcPr>
            <w:tcW w:w="1436"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生活污水</w:t>
            </w:r>
          </w:p>
        </w:tc>
        <w:tc>
          <w:tcPr>
            <w:tcW w:w="2754" w:type="dxa"/>
            <w:vAlign w:val="center"/>
          </w:tcPr>
          <w:p>
            <w:pPr>
              <w:spacing w:line="240" w:lineRule="auto"/>
              <w:ind w:firstLine="0" w:firstLineChars="0"/>
              <w:jc w:val="center"/>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rPr>
              <w:t>由移动厕所收集储存，定期</w:t>
            </w:r>
            <w:r>
              <w:rPr>
                <w:rFonts w:hint="eastAsia" w:ascii="Times New Roman" w:hAnsi="Times New Roman" w:cs="Times New Roman"/>
                <w:color w:val="auto"/>
                <w:sz w:val="21"/>
                <w:szCs w:val="21"/>
                <w:shd w:val="clear" w:color="auto" w:fill="auto"/>
                <w:lang w:eastAsia="zh-CN"/>
              </w:rPr>
              <w:t>外</w:t>
            </w:r>
            <w:r>
              <w:rPr>
                <w:rFonts w:hint="eastAsia" w:ascii="Times New Roman" w:hAnsi="Times New Roman" w:cs="Times New Roman"/>
                <w:color w:val="auto"/>
                <w:sz w:val="21"/>
                <w:szCs w:val="21"/>
                <w:shd w:val="clear" w:color="auto" w:fill="auto"/>
              </w:rPr>
              <w:t>运至</w:t>
            </w:r>
            <w:r>
              <w:rPr>
                <w:rFonts w:hint="eastAsia" w:cs="Times New Roman"/>
                <w:color w:val="auto"/>
                <w:sz w:val="21"/>
                <w:szCs w:val="21"/>
                <w:shd w:val="clear" w:color="auto" w:fill="auto"/>
                <w:lang w:eastAsia="zh-CN"/>
              </w:rPr>
              <w:t>有资质的</w:t>
            </w:r>
            <w:r>
              <w:rPr>
                <w:rFonts w:hint="eastAsia" w:ascii="Times New Roman" w:hAnsi="Times New Roman" w:cs="Times New Roman"/>
                <w:color w:val="auto"/>
                <w:sz w:val="21"/>
                <w:szCs w:val="21"/>
                <w:shd w:val="clear" w:color="auto" w:fill="auto"/>
              </w:rPr>
              <w:t>接收处理单位</w:t>
            </w:r>
          </w:p>
        </w:tc>
        <w:tc>
          <w:tcPr>
            <w:tcW w:w="1910" w:type="dxa"/>
            <w:vAlign w:val="center"/>
          </w:tcPr>
          <w:p>
            <w:pPr>
              <w:spacing w:line="240" w:lineRule="auto"/>
              <w:ind w:firstLine="0" w:firstLineChars="0"/>
              <w:jc w:val="center"/>
              <w:rPr>
                <w:rFonts w:hint="eastAsia" w:ascii="Times New Roman" w:hAnsi="Times New Roman" w:eastAsia="宋体"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委托处理</w:t>
            </w:r>
          </w:p>
        </w:tc>
        <w:tc>
          <w:tcPr>
            <w:tcW w:w="94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val="en-US"/>
              </w:rPr>
            </w:pPr>
            <w:r>
              <w:rPr>
                <w:rFonts w:hint="eastAsia" w:cs="Times New Roman"/>
                <w:color w:val="auto"/>
                <w:sz w:val="21"/>
                <w:szCs w:val="21"/>
                <w:shd w:val="clear" w:color="auto" w:fill="auto"/>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8"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650"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1436"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机械冲洗废水</w:t>
            </w:r>
          </w:p>
        </w:tc>
        <w:tc>
          <w:tcPr>
            <w:tcW w:w="2754" w:type="dxa"/>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1个隔油沉淀池（容积10</w:t>
            </w:r>
            <w:r>
              <w:rPr>
                <w:rFonts w:hint="eastAsia" w:cs="Times New Roman"/>
                <w:color w:val="auto"/>
                <w:sz w:val="21"/>
                <w:szCs w:val="21"/>
                <w:shd w:val="clear" w:color="auto" w:fill="auto"/>
                <w:vertAlign w:val="baseline"/>
                <w:lang w:val="en-US" w:eastAsia="zh-CN"/>
              </w:rPr>
              <w:t>m</w:t>
            </w:r>
            <w:r>
              <w:rPr>
                <w:rFonts w:hint="eastAsia" w:cs="Times New Roman"/>
                <w:color w:val="auto"/>
                <w:sz w:val="21"/>
                <w:szCs w:val="21"/>
                <w:shd w:val="clear" w:color="auto" w:fill="auto"/>
                <w:vertAlign w:val="superscript"/>
                <w:lang w:val="en-US" w:eastAsia="zh-CN"/>
              </w:rPr>
              <w:t>3</w:t>
            </w:r>
            <w:r>
              <w:rPr>
                <w:rFonts w:hint="eastAsia" w:cs="Times New Roman"/>
                <w:color w:val="auto"/>
                <w:sz w:val="21"/>
                <w:szCs w:val="21"/>
                <w:shd w:val="clear" w:color="auto" w:fill="auto"/>
                <w:lang w:val="en-US" w:eastAsia="zh-CN"/>
              </w:rPr>
              <w:t>）</w:t>
            </w:r>
          </w:p>
        </w:tc>
        <w:tc>
          <w:tcPr>
            <w:tcW w:w="1910" w:type="dxa"/>
            <w:vMerge w:val="restart"/>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lang w:val="en-US" w:eastAsia="zh-CN"/>
              </w:rPr>
              <w:t>回</w:t>
            </w:r>
            <w:r>
              <w:rPr>
                <w:rFonts w:hint="default" w:ascii="Times New Roman" w:hAnsi="Times New Roman" w:cs="Times New Roman"/>
                <w:color w:val="auto"/>
                <w:sz w:val="21"/>
                <w:szCs w:val="21"/>
                <w:shd w:val="clear" w:color="auto" w:fill="auto"/>
              </w:rPr>
              <w:t>用于洒水抑尘</w:t>
            </w:r>
          </w:p>
        </w:tc>
        <w:tc>
          <w:tcPr>
            <w:tcW w:w="948" w:type="dxa"/>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8"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650"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1436"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码头面冲洗</w:t>
            </w:r>
          </w:p>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rPr>
              <w:t>废水</w:t>
            </w:r>
            <w:r>
              <w:rPr>
                <w:rFonts w:hint="default" w:ascii="Times New Roman" w:hAnsi="Times New Roman" w:cs="Times New Roman"/>
                <w:color w:val="auto"/>
                <w:sz w:val="21"/>
                <w:szCs w:val="21"/>
                <w:shd w:val="clear" w:color="auto" w:fill="auto"/>
                <w:lang w:eastAsia="zh-CN"/>
              </w:rPr>
              <w:t>、</w:t>
            </w:r>
            <w:r>
              <w:rPr>
                <w:rFonts w:hint="default" w:ascii="Times New Roman" w:hAnsi="Times New Roman" w:cs="Times New Roman"/>
                <w:color w:val="auto"/>
                <w:sz w:val="21"/>
                <w:szCs w:val="21"/>
                <w:shd w:val="clear" w:color="auto" w:fill="auto"/>
                <w:lang w:val="en-US" w:eastAsia="zh-CN"/>
              </w:rPr>
              <w:t>初期雨水</w:t>
            </w:r>
          </w:p>
        </w:tc>
        <w:tc>
          <w:tcPr>
            <w:tcW w:w="2754" w:type="dxa"/>
            <w:vAlign w:val="center"/>
          </w:tcPr>
          <w:p>
            <w:pPr>
              <w:spacing w:line="240" w:lineRule="auto"/>
              <w:ind w:firstLine="0" w:firstLineChars="0"/>
              <w:jc w:val="center"/>
              <w:rPr>
                <w:rFonts w:hint="eastAsia"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排水沟（尺寸：</w:t>
            </w:r>
            <w:r>
              <w:rPr>
                <w:rFonts w:hint="eastAsia" w:ascii="Times New Roman" w:hAnsi="Times New Roman" w:cs="Times New Roman"/>
                <w:color w:val="auto"/>
                <w:sz w:val="21"/>
                <w:szCs w:val="21"/>
                <w:shd w:val="clear" w:color="auto" w:fill="auto"/>
              </w:rPr>
              <w:t>500</w:t>
            </w:r>
            <w:r>
              <w:rPr>
                <w:rFonts w:hint="default" w:ascii="Arial" w:hAnsi="Arial" w:cs="Arial"/>
                <w:color w:val="auto"/>
                <w:sz w:val="21"/>
                <w:szCs w:val="21"/>
                <w:shd w:val="clear" w:color="auto" w:fill="auto"/>
              </w:rPr>
              <w:t>×</w:t>
            </w:r>
            <w:r>
              <w:rPr>
                <w:rFonts w:hint="eastAsia" w:ascii="Times New Roman" w:hAnsi="Times New Roman" w:cs="Times New Roman"/>
                <w:color w:val="auto"/>
                <w:sz w:val="21"/>
                <w:szCs w:val="21"/>
                <w:shd w:val="clear" w:color="auto" w:fill="auto"/>
              </w:rPr>
              <w:t>350</w:t>
            </w:r>
            <w:r>
              <w:rPr>
                <w:rFonts w:hint="eastAsia" w:cs="Times New Roman"/>
                <w:color w:val="auto"/>
                <w:sz w:val="21"/>
                <w:szCs w:val="21"/>
                <w:shd w:val="clear" w:color="auto" w:fill="auto"/>
                <w:lang w:eastAsia="zh-CN"/>
              </w:rPr>
              <w:t>mm</w:t>
            </w:r>
            <w:r>
              <w:rPr>
                <w:rFonts w:hint="eastAsia" w:ascii="Times New Roman" w:hAnsi="Times New Roman" w:cs="Times New Roman"/>
                <w:color w:val="auto"/>
                <w:sz w:val="21"/>
                <w:szCs w:val="21"/>
                <w:shd w:val="clear" w:color="auto" w:fill="auto"/>
                <w:lang w:val="en-US" w:eastAsia="zh-CN"/>
              </w:rPr>
              <w:t>）、三级</w:t>
            </w:r>
            <w:r>
              <w:rPr>
                <w:rFonts w:hint="default" w:ascii="Times New Roman" w:hAnsi="Times New Roman" w:cs="Times New Roman"/>
                <w:color w:val="auto"/>
                <w:sz w:val="21"/>
                <w:szCs w:val="21"/>
                <w:shd w:val="clear" w:color="auto" w:fill="auto"/>
              </w:rPr>
              <w:t>沉淀池</w:t>
            </w:r>
            <w:r>
              <w:rPr>
                <w:rFonts w:hint="eastAsia" w:ascii="Times New Roman" w:hAnsi="Times New Roman" w:cs="Times New Roman"/>
                <w:color w:val="auto"/>
                <w:sz w:val="21"/>
                <w:szCs w:val="21"/>
                <w:shd w:val="clear" w:color="auto" w:fill="auto"/>
                <w:lang w:eastAsia="zh-CN"/>
              </w:rPr>
              <w:t>（尺寸：</w:t>
            </w:r>
            <w:r>
              <w:rPr>
                <w:rFonts w:hint="eastAsia" w:ascii="Times New Roman" w:hAnsi="Times New Roman" w:cs="Times New Roman"/>
                <w:color w:val="auto"/>
                <w:sz w:val="21"/>
                <w:szCs w:val="21"/>
                <w:shd w:val="clear" w:color="auto" w:fill="auto"/>
              </w:rPr>
              <w:t>17</w:t>
            </w:r>
            <w:r>
              <w:rPr>
                <w:rFonts w:hint="default" w:ascii="Arial" w:hAnsi="Arial" w:cs="Arial"/>
                <w:color w:val="auto"/>
                <w:sz w:val="21"/>
                <w:szCs w:val="21"/>
                <w:shd w:val="clear" w:color="auto" w:fill="auto"/>
              </w:rPr>
              <w:t>×</w:t>
            </w:r>
            <w:r>
              <w:rPr>
                <w:rFonts w:hint="eastAsia" w:ascii="Times New Roman" w:hAnsi="Times New Roman" w:cs="Times New Roman"/>
                <w:color w:val="auto"/>
                <w:sz w:val="21"/>
                <w:szCs w:val="21"/>
                <w:shd w:val="clear" w:color="auto" w:fill="auto"/>
              </w:rPr>
              <w:t>10</w:t>
            </w:r>
            <w:r>
              <w:rPr>
                <w:rFonts w:hint="default" w:ascii="Arial" w:hAnsi="Arial" w:cs="Arial"/>
                <w:color w:val="auto"/>
                <w:sz w:val="21"/>
                <w:szCs w:val="21"/>
                <w:shd w:val="clear" w:color="auto" w:fill="auto"/>
              </w:rPr>
              <w:t>×</w:t>
            </w:r>
            <w:r>
              <w:rPr>
                <w:rFonts w:hint="eastAsia" w:ascii="Times New Roman" w:hAnsi="Times New Roman" w:cs="Times New Roman"/>
                <w:color w:val="auto"/>
                <w:sz w:val="21"/>
                <w:szCs w:val="21"/>
                <w:shd w:val="clear" w:color="auto" w:fill="auto"/>
              </w:rPr>
              <w:t>4</w:t>
            </w:r>
            <w:r>
              <w:rPr>
                <w:rFonts w:hint="eastAsia" w:cs="Times New Roman"/>
                <w:color w:val="auto"/>
                <w:sz w:val="21"/>
                <w:szCs w:val="21"/>
                <w:shd w:val="clear" w:color="auto" w:fill="auto"/>
                <w:lang w:eastAsia="zh-CN"/>
              </w:rPr>
              <w:t>m</w:t>
            </w:r>
            <w:r>
              <w:rPr>
                <w:rFonts w:hint="eastAsia" w:ascii="Times New Roman" w:hAnsi="Times New Roman" w:cs="Times New Roman"/>
                <w:color w:val="auto"/>
                <w:sz w:val="21"/>
                <w:szCs w:val="21"/>
                <w:shd w:val="clear" w:color="auto" w:fill="auto"/>
                <w:lang w:eastAsia="zh-CN"/>
              </w:rPr>
              <w:t>）</w:t>
            </w:r>
          </w:p>
        </w:tc>
        <w:tc>
          <w:tcPr>
            <w:tcW w:w="1910"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948" w:type="dxa"/>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8"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650"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废气</w:t>
            </w:r>
          </w:p>
        </w:tc>
        <w:tc>
          <w:tcPr>
            <w:tcW w:w="1436"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lang w:val="en-US" w:eastAsia="zh-CN"/>
              </w:rPr>
              <w:t>散货</w:t>
            </w:r>
            <w:r>
              <w:rPr>
                <w:rFonts w:hint="eastAsia" w:cs="Times New Roman"/>
                <w:color w:val="auto"/>
                <w:sz w:val="21"/>
                <w:szCs w:val="21"/>
                <w:shd w:val="clear" w:color="auto" w:fill="auto"/>
                <w:lang w:val="en-US" w:eastAsia="zh-CN"/>
              </w:rPr>
              <w:t>装卸</w:t>
            </w:r>
            <w:r>
              <w:rPr>
                <w:rFonts w:hint="default" w:ascii="Times New Roman" w:hAnsi="Times New Roman" w:cs="Times New Roman"/>
                <w:color w:val="auto"/>
                <w:sz w:val="21"/>
                <w:szCs w:val="21"/>
                <w:shd w:val="clear" w:color="auto" w:fill="auto"/>
                <w:lang w:val="en-US" w:eastAsia="zh-CN"/>
              </w:rPr>
              <w:t>扬</w:t>
            </w:r>
            <w:r>
              <w:rPr>
                <w:rFonts w:hint="default" w:ascii="Times New Roman" w:hAnsi="Times New Roman" w:cs="Times New Roman"/>
                <w:color w:val="auto"/>
                <w:sz w:val="21"/>
                <w:szCs w:val="21"/>
                <w:shd w:val="clear" w:color="auto" w:fill="auto"/>
              </w:rPr>
              <w:t>尘</w:t>
            </w:r>
          </w:p>
        </w:tc>
        <w:tc>
          <w:tcPr>
            <w:tcW w:w="2754" w:type="dxa"/>
            <w:vAlign w:val="center"/>
          </w:tcPr>
          <w:p>
            <w:pPr>
              <w:spacing w:line="240" w:lineRule="auto"/>
              <w:ind w:firstLine="0" w:firstLineChars="0"/>
              <w:jc w:val="center"/>
              <w:rPr>
                <w:rFonts w:hint="eastAsia"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eastAsia="zh-CN"/>
              </w:rPr>
              <w:t>喷雾抑尘装置（</w:t>
            </w:r>
            <w:r>
              <w:rPr>
                <w:rFonts w:hint="default" w:ascii="Times New Roman" w:hAnsi="Times New Roman" w:cs="Times New Roman"/>
                <w:color w:val="auto"/>
                <w:sz w:val="21"/>
                <w:szCs w:val="21"/>
                <w:shd w:val="clear" w:color="auto" w:fill="auto"/>
                <w:lang w:eastAsia="zh-CN"/>
              </w:rPr>
              <w:t>3台雾炮机</w:t>
            </w:r>
            <w:r>
              <w:rPr>
                <w:rFonts w:hint="eastAsia" w:ascii="Times New Roman" w:hAnsi="Times New Roman" w:cs="Times New Roman"/>
                <w:color w:val="auto"/>
                <w:sz w:val="21"/>
                <w:szCs w:val="21"/>
                <w:shd w:val="clear" w:color="auto" w:fill="auto"/>
                <w:lang w:eastAsia="zh-CN"/>
              </w:rPr>
              <w:t>）</w:t>
            </w:r>
            <w:r>
              <w:rPr>
                <w:rFonts w:hint="eastAsia" w:cs="Times New Roman"/>
                <w:color w:val="auto"/>
                <w:sz w:val="21"/>
                <w:szCs w:val="21"/>
                <w:shd w:val="clear" w:color="auto" w:fill="auto"/>
                <w:lang w:eastAsia="zh-CN"/>
              </w:rPr>
              <w:t>、洒水车</w:t>
            </w:r>
            <w:r>
              <w:rPr>
                <w:rFonts w:hint="eastAsia" w:cs="Times New Roman"/>
                <w:color w:val="auto"/>
                <w:sz w:val="21"/>
                <w:szCs w:val="21"/>
                <w:shd w:val="clear" w:color="auto" w:fill="auto"/>
                <w:lang w:val="en-US" w:eastAsia="zh-CN"/>
              </w:rPr>
              <w:t>一</w:t>
            </w:r>
            <w:r>
              <w:rPr>
                <w:rFonts w:hint="eastAsia" w:cs="Times New Roman"/>
                <w:color w:val="auto"/>
                <w:sz w:val="21"/>
                <w:szCs w:val="21"/>
                <w:shd w:val="clear" w:color="auto" w:fill="auto"/>
                <w:lang w:eastAsia="zh-CN"/>
              </w:rPr>
              <w:t>辆</w:t>
            </w:r>
          </w:p>
        </w:tc>
        <w:tc>
          <w:tcPr>
            <w:tcW w:w="1910"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GB16297</w:t>
            </w:r>
            <w:r>
              <w:rPr>
                <w:rFonts w:hint="default" w:ascii="Times New Roman" w:hAnsi="Times New Roman" w:cs="Times New Roman"/>
                <w:color w:val="auto"/>
                <w:sz w:val="21"/>
                <w:szCs w:val="21"/>
                <w:shd w:val="clear" w:color="auto" w:fill="auto"/>
                <w:lang w:val="en-US" w:eastAsia="zh-CN"/>
              </w:rPr>
              <w:t>-</w:t>
            </w:r>
            <w:r>
              <w:rPr>
                <w:rFonts w:hint="default" w:ascii="Times New Roman" w:hAnsi="Times New Roman" w:cs="Times New Roman"/>
                <w:color w:val="auto"/>
                <w:sz w:val="21"/>
                <w:szCs w:val="21"/>
                <w:shd w:val="clear" w:color="auto" w:fill="auto"/>
              </w:rPr>
              <w:t>1996</w:t>
            </w:r>
          </w:p>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二级标准</w:t>
            </w:r>
          </w:p>
        </w:tc>
        <w:tc>
          <w:tcPr>
            <w:tcW w:w="948" w:type="dxa"/>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highlight w:val="none"/>
                <w:shd w:val="clear" w:color="auto" w:fill="auto"/>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8"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650"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噪声</w:t>
            </w:r>
          </w:p>
        </w:tc>
        <w:tc>
          <w:tcPr>
            <w:tcW w:w="1436" w:type="dxa"/>
            <w:vAlign w:val="center"/>
          </w:tcPr>
          <w:p>
            <w:pPr>
              <w:spacing w:line="240" w:lineRule="auto"/>
              <w:ind w:firstLine="0" w:firstLineChars="0"/>
              <w:jc w:val="center"/>
              <w:rPr>
                <w:rFonts w:hint="eastAsia"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rPr>
              <w:t>装卸</w:t>
            </w:r>
            <w:r>
              <w:rPr>
                <w:rFonts w:hint="eastAsia" w:ascii="Times New Roman" w:hAnsi="Times New Roman" w:cs="Times New Roman"/>
                <w:color w:val="auto"/>
                <w:sz w:val="21"/>
                <w:szCs w:val="21"/>
                <w:shd w:val="clear" w:color="auto" w:fill="auto"/>
                <w:lang w:eastAsia="zh-CN"/>
              </w:rPr>
              <w:t>设备、运输车辆等噪声</w:t>
            </w:r>
          </w:p>
        </w:tc>
        <w:tc>
          <w:tcPr>
            <w:tcW w:w="2754"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lang w:val="en-US" w:eastAsia="zh-CN"/>
              </w:rPr>
              <w:t>采用低噪声设备，基础</w:t>
            </w:r>
            <w:r>
              <w:rPr>
                <w:rFonts w:hint="default" w:ascii="Times New Roman" w:hAnsi="Times New Roman" w:cs="Times New Roman"/>
                <w:color w:val="auto"/>
                <w:sz w:val="21"/>
                <w:szCs w:val="21"/>
                <w:shd w:val="clear" w:color="auto" w:fill="auto"/>
              </w:rPr>
              <w:t>减振等</w:t>
            </w:r>
          </w:p>
        </w:tc>
        <w:tc>
          <w:tcPr>
            <w:tcW w:w="1910"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满足GB12348-2008中2、4</w:t>
            </w:r>
            <w:r>
              <w:rPr>
                <w:rFonts w:hint="default" w:ascii="Times New Roman" w:hAnsi="Times New Roman" w:cs="Times New Roman"/>
                <w:color w:val="auto"/>
                <w:sz w:val="21"/>
                <w:szCs w:val="21"/>
                <w:shd w:val="clear" w:color="auto" w:fill="auto"/>
                <w:lang w:val="en-US" w:eastAsia="zh-CN"/>
              </w:rPr>
              <w:t>类</w:t>
            </w:r>
            <w:r>
              <w:rPr>
                <w:rFonts w:hint="default" w:ascii="Times New Roman" w:hAnsi="Times New Roman" w:cs="Times New Roman"/>
                <w:color w:val="auto"/>
                <w:sz w:val="21"/>
                <w:szCs w:val="21"/>
                <w:shd w:val="clear" w:color="auto" w:fill="auto"/>
              </w:rPr>
              <w:t>标准</w:t>
            </w:r>
          </w:p>
        </w:tc>
        <w:tc>
          <w:tcPr>
            <w:tcW w:w="94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8"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650" w:type="dxa"/>
            <w:vMerge w:val="restart"/>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val="en-US" w:eastAsia="zh-CN"/>
              </w:rPr>
              <w:t>固废</w:t>
            </w:r>
          </w:p>
        </w:tc>
        <w:tc>
          <w:tcPr>
            <w:tcW w:w="1436"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一般固废</w:t>
            </w:r>
          </w:p>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lang w:val="en-US" w:eastAsia="zh-CN"/>
              </w:rPr>
              <w:t>（</w:t>
            </w:r>
            <w:r>
              <w:rPr>
                <w:rFonts w:hint="default" w:ascii="Times New Roman" w:hAnsi="Times New Roman" w:cs="Times New Roman"/>
                <w:color w:val="auto"/>
                <w:sz w:val="21"/>
                <w:szCs w:val="21"/>
                <w:shd w:val="clear" w:color="auto" w:fill="auto"/>
              </w:rPr>
              <w:t>生</w:t>
            </w:r>
            <w:r>
              <w:rPr>
                <w:rFonts w:hint="default" w:ascii="Times New Roman" w:hAnsi="Times New Roman" w:cs="Times New Roman"/>
                <w:color w:val="auto"/>
                <w:sz w:val="21"/>
                <w:szCs w:val="21"/>
                <w:shd w:val="clear" w:color="auto" w:fill="auto"/>
                <w:lang w:val="en-US" w:eastAsia="zh-CN"/>
              </w:rPr>
              <w:t>活垃圾</w:t>
            </w:r>
            <w:r>
              <w:rPr>
                <w:rFonts w:hint="eastAsia" w:ascii="Times New Roman" w:hAnsi="Times New Roman" w:cs="Times New Roman"/>
                <w:color w:val="auto"/>
                <w:sz w:val="21"/>
                <w:szCs w:val="21"/>
                <w:shd w:val="clear" w:color="auto" w:fill="auto"/>
                <w:lang w:val="en-US" w:eastAsia="zh-CN"/>
              </w:rPr>
              <w:t>、沉淀池污泥等</w:t>
            </w:r>
            <w:r>
              <w:rPr>
                <w:rFonts w:hint="default" w:ascii="Times New Roman" w:hAnsi="Times New Roman" w:cs="Times New Roman"/>
                <w:color w:val="auto"/>
                <w:sz w:val="21"/>
                <w:szCs w:val="21"/>
                <w:shd w:val="clear" w:color="auto" w:fill="auto"/>
                <w:lang w:val="en-US" w:eastAsia="zh-CN"/>
              </w:rPr>
              <w:t>）</w:t>
            </w:r>
          </w:p>
        </w:tc>
        <w:tc>
          <w:tcPr>
            <w:tcW w:w="2754"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垃圾桶、垃圾车等</w:t>
            </w:r>
          </w:p>
        </w:tc>
        <w:tc>
          <w:tcPr>
            <w:tcW w:w="1910"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环卫部门清运处理</w:t>
            </w:r>
          </w:p>
        </w:tc>
        <w:tc>
          <w:tcPr>
            <w:tcW w:w="948" w:type="dxa"/>
            <w:vAlign w:val="center"/>
          </w:tcPr>
          <w:p>
            <w:pPr>
              <w:spacing w:line="240" w:lineRule="auto"/>
              <w:ind w:firstLine="0" w:firstLineChars="0"/>
              <w:jc w:val="center"/>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8"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650"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val="en-US" w:eastAsia="zh-CN"/>
              </w:rPr>
            </w:pPr>
          </w:p>
        </w:tc>
        <w:tc>
          <w:tcPr>
            <w:tcW w:w="1436"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危险固废</w:t>
            </w:r>
          </w:p>
        </w:tc>
        <w:tc>
          <w:tcPr>
            <w:tcW w:w="2754" w:type="dxa"/>
            <w:vAlign w:val="center"/>
          </w:tcPr>
          <w:p>
            <w:pPr>
              <w:spacing w:line="240" w:lineRule="auto"/>
              <w:ind w:firstLine="0" w:firstLineChars="0"/>
              <w:jc w:val="center"/>
              <w:rPr>
                <w:rFonts w:hint="eastAsia"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eastAsia="zh-CN"/>
              </w:rPr>
              <w:t>隔油沉淀池池浮油用</w:t>
            </w:r>
            <w:r>
              <w:rPr>
                <w:rFonts w:hint="eastAsia" w:ascii="Times New Roman" w:hAnsi="Times New Roman" w:cs="Times New Roman"/>
                <w:color w:val="auto"/>
                <w:sz w:val="21"/>
                <w:szCs w:val="21"/>
                <w:shd w:val="clear" w:color="auto" w:fill="auto"/>
              </w:rPr>
              <w:t>油污收集桶进行收集</w:t>
            </w:r>
            <w:r>
              <w:rPr>
                <w:rFonts w:hint="eastAsia" w:cs="Times New Roman"/>
                <w:color w:val="auto"/>
                <w:sz w:val="21"/>
                <w:szCs w:val="21"/>
                <w:shd w:val="clear" w:color="auto" w:fill="auto"/>
                <w:lang w:eastAsia="zh-CN"/>
              </w:rPr>
              <w:t>后，妥善暂存于危废暂存间；设置</w:t>
            </w:r>
            <w:r>
              <w:rPr>
                <w:rFonts w:hint="eastAsia" w:cs="Times New Roman"/>
                <w:color w:val="auto"/>
                <w:sz w:val="21"/>
                <w:szCs w:val="21"/>
                <w:shd w:val="clear" w:color="auto" w:fill="auto"/>
                <w:lang w:val="en-US" w:eastAsia="zh-CN"/>
              </w:rPr>
              <w:t>1间5</w:t>
            </w:r>
            <w:r>
              <w:rPr>
                <w:rFonts w:hint="eastAsia" w:cs="Times New Roman"/>
                <w:color w:val="auto"/>
                <w:sz w:val="21"/>
                <w:szCs w:val="21"/>
                <w:shd w:val="clear" w:color="auto" w:fill="auto"/>
                <w:vertAlign w:val="baseline"/>
                <w:lang w:val="en-US" w:eastAsia="zh-CN"/>
              </w:rPr>
              <w:t>m</w:t>
            </w:r>
            <w:r>
              <w:rPr>
                <w:rFonts w:hint="eastAsia" w:cs="Times New Roman"/>
                <w:color w:val="auto"/>
                <w:sz w:val="21"/>
                <w:szCs w:val="21"/>
                <w:shd w:val="clear" w:color="auto" w:fill="auto"/>
                <w:vertAlign w:val="superscript"/>
                <w:lang w:val="en-US" w:eastAsia="zh-CN"/>
              </w:rPr>
              <w:t>2</w:t>
            </w:r>
            <w:r>
              <w:rPr>
                <w:rFonts w:hint="eastAsia" w:cs="Times New Roman"/>
                <w:color w:val="auto"/>
                <w:sz w:val="21"/>
                <w:szCs w:val="21"/>
                <w:shd w:val="clear" w:color="auto" w:fill="auto"/>
                <w:vertAlign w:val="baseline"/>
                <w:lang w:val="en-US" w:eastAsia="zh-CN"/>
              </w:rPr>
              <w:t>的危废暂存间，并</w:t>
            </w:r>
            <w:r>
              <w:rPr>
                <w:rFonts w:hint="eastAsia" w:ascii="Times New Roman" w:hAnsi="Times New Roman" w:cs="Times New Roman"/>
                <w:color w:val="auto"/>
                <w:sz w:val="21"/>
                <w:szCs w:val="21"/>
                <w:shd w:val="clear" w:color="auto" w:fill="auto"/>
                <w:lang w:val="en-US" w:eastAsia="zh-CN"/>
              </w:rPr>
              <w:t>按照</w:t>
            </w:r>
            <w:r>
              <w:rPr>
                <w:rFonts w:hint="default" w:ascii="Times New Roman" w:hAnsi="Times New Roman" w:cs="Times New Roman"/>
                <w:color w:val="auto"/>
                <w:sz w:val="21"/>
                <w:szCs w:val="21"/>
                <w:shd w:val="clear" w:color="auto" w:fill="auto"/>
                <w:lang w:val="en-US" w:eastAsia="zh-CN"/>
              </w:rPr>
              <w:t>《危险废物贮存污染控制标准》</w:t>
            </w:r>
            <w:r>
              <w:rPr>
                <w:rFonts w:hint="eastAsia" w:ascii="Times New Roman" w:hAnsi="Times New Roman" w:cs="Times New Roman"/>
                <w:color w:val="auto"/>
                <w:sz w:val="21"/>
                <w:szCs w:val="21"/>
                <w:shd w:val="clear" w:color="auto" w:fill="auto"/>
                <w:lang w:val="en-US" w:eastAsia="zh-CN"/>
              </w:rPr>
              <w:t>满足防风、防雨、防晒、防渗的要求。</w:t>
            </w:r>
          </w:p>
        </w:tc>
        <w:tc>
          <w:tcPr>
            <w:tcW w:w="1910" w:type="dxa"/>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委托有资质单位安全处置</w:t>
            </w:r>
          </w:p>
        </w:tc>
        <w:tc>
          <w:tcPr>
            <w:tcW w:w="948" w:type="dxa"/>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8" w:type="dxa"/>
            <w:vMerge w:val="continue"/>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2086" w:type="dxa"/>
            <w:gridSpan w:val="2"/>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lang w:val="en-US" w:eastAsia="zh-CN"/>
              </w:rPr>
              <w:t>厂区</w:t>
            </w:r>
            <w:r>
              <w:rPr>
                <w:rFonts w:hint="default" w:ascii="Times New Roman" w:hAnsi="Times New Roman" w:cs="Times New Roman"/>
                <w:color w:val="auto"/>
                <w:sz w:val="21"/>
                <w:szCs w:val="21"/>
                <w:shd w:val="clear" w:color="auto" w:fill="auto"/>
              </w:rPr>
              <w:t>绿化</w:t>
            </w:r>
          </w:p>
        </w:tc>
        <w:tc>
          <w:tcPr>
            <w:tcW w:w="2754" w:type="dxa"/>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rPr>
              <w:t>种植树木花草，设置绿化带</w:t>
            </w:r>
            <w:r>
              <w:rPr>
                <w:rFonts w:hint="eastAsia" w:cs="Times New Roman"/>
                <w:color w:val="auto"/>
                <w:sz w:val="21"/>
                <w:szCs w:val="21"/>
                <w:shd w:val="clear" w:color="auto" w:fill="auto"/>
                <w:lang w:eastAsia="zh-CN"/>
              </w:rPr>
              <w:t>，面积</w:t>
            </w:r>
            <w:r>
              <w:rPr>
                <w:rFonts w:hint="eastAsia" w:cs="Times New Roman"/>
                <w:color w:val="auto"/>
                <w:sz w:val="21"/>
                <w:szCs w:val="21"/>
                <w:shd w:val="clear" w:color="auto" w:fill="auto"/>
                <w:lang w:val="en-US" w:eastAsia="zh-CN"/>
              </w:rPr>
              <w:t>10000</w:t>
            </w:r>
            <w:r>
              <w:rPr>
                <w:rFonts w:hint="eastAsia" w:cs="Times New Roman"/>
                <w:color w:val="auto"/>
                <w:sz w:val="21"/>
                <w:szCs w:val="21"/>
                <w:shd w:val="clear" w:color="auto" w:fill="auto"/>
                <w:vertAlign w:val="baseline"/>
                <w:lang w:val="en-US" w:eastAsia="zh-CN"/>
              </w:rPr>
              <w:t>m</w:t>
            </w:r>
            <w:r>
              <w:rPr>
                <w:rFonts w:hint="eastAsia" w:cs="Times New Roman"/>
                <w:color w:val="auto"/>
                <w:sz w:val="21"/>
                <w:szCs w:val="21"/>
                <w:shd w:val="clear" w:color="auto" w:fill="auto"/>
                <w:vertAlign w:val="superscript"/>
                <w:lang w:val="en-US" w:eastAsia="zh-CN"/>
              </w:rPr>
              <w:t>2</w:t>
            </w:r>
            <w:r>
              <w:rPr>
                <w:rFonts w:hint="eastAsia" w:cs="Times New Roman"/>
                <w:color w:val="auto"/>
                <w:sz w:val="21"/>
                <w:szCs w:val="21"/>
                <w:shd w:val="clear" w:color="auto" w:fill="auto"/>
                <w:lang w:val="en-US" w:eastAsia="zh-CN"/>
              </w:rPr>
              <w:t>。</w:t>
            </w:r>
          </w:p>
        </w:tc>
        <w:tc>
          <w:tcPr>
            <w:tcW w:w="1910"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w:t>
            </w:r>
          </w:p>
        </w:tc>
        <w:tc>
          <w:tcPr>
            <w:tcW w:w="948" w:type="dxa"/>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704" w:type="dxa"/>
            <w:gridSpan w:val="3"/>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val="en-US"/>
              </w:rPr>
            </w:pPr>
            <w:r>
              <w:rPr>
                <w:rFonts w:hint="eastAsia" w:ascii="Times New Roman" w:hAnsi="Times New Roman" w:cs="Times New Roman"/>
                <w:color w:val="auto"/>
                <w:sz w:val="21"/>
                <w:szCs w:val="21"/>
                <w:shd w:val="clear" w:color="auto" w:fill="auto"/>
                <w:lang w:val="en-US" w:eastAsia="zh-CN"/>
              </w:rPr>
              <w:t>弃土场恢复</w:t>
            </w:r>
            <w:r>
              <w:rPr>
                <w:rFonts w:hint="eastAsia" w:ascii="Times New Roman" w:hAnsi="Times New Roman" w:cs="Times New Roman"/>
                <w:color w:val="auto"/>
                <w:sz w:val="21"/>
                <w:szCs w:val="21"/>
                <w:shd w:val="clear" w:color="auto" w:fill="auto"/>
                <w:lang w:eastAsia="zh-CN"/>
              </w:rPr>
              <w:t>、</w:t>
            </w:r>
            <w:r>
              <w:rPr>
                <w:rFonts w:hint="default" w:ascii="Times New Roman" w:hAnsi="Times New Roman" w:cs="Times New Roman"/>
                <w:color w:val="auto"/>
                <w:sz w:val="21"/>
                <w:szCs w:val="21"/>
                <w:shd w:val="clear" w:color="auto" w:fill="auto"/>
              </w:rPr>
              <w:t>水土保持</w:t>
            </w:r>
            <w:r>
              <w:rPr>
                <w:rFonts w:hint="eastAsia" w:cs="Times New Roman"/>
                <w:color w:val="auto"/>
                <w:sz w:val="21"/>
                <w:szCs w:val="21"/>
                <w:shd w:val="clear" w:color="auto" w:fill="auto"/>
                <w:lang w:val="en-US" w:eastAsia="zh-CN"/>
              </w:rPr>
              <w:t>等</w:t>
            </w:r>
          </w:p>
        </w:tc>
        <w:tc>
          <w:tcPr>
            <w:tcW w:w="2754"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工程措施、生物措施和临时措施等</w:t>
            </w:r>
          </w:p>
        </w:tc>
        <w:tc>
          <w:tcPr>
            <w:tcW w:w="1910"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w:t>
            </w:r>
          </w:p>
        </w:tc>
        <w:tc>
          <w:tcPr>
            <w:tcW w:w="94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55.19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704" w:type="dxa"/>
            <w:gridSpan w:val="3"/>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应急设施</w:t>
            </w:r>
          </w:p>
        </w:tc>
        <w:tc>
          <w:tcPr>
            <w:tcW w:w="2754"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围油栏、</w:t>
            </w:r>
            <w:r>
              <w:rPr>
                <w:rFonts w:hint="eastAsia" w:cs="Times New Roman"/>
                <w:color w:val="auto"/>
                <w:sz w:val="21"/>
                <w:szCs w:val="21"/>
                <w:shd w:val="clear" w:color="auto" w:fill="auto"/>
                <w:lang w:val="en-US" w:eastAsia="zh-CN"/>
              </w:rPr>
              <w:t>油拖网</w:t>
            </w:r>
            <w:r>
              <w:rPr>
                <w:rFonts w:hint="default" w:ascii="Times New Roman" w:hAnsi="Times New Roman" w:cs="Times New Roman"/>
                <w:color w:val="auto"/>
                <w:sz w:val="21"/>
                <w:szCs w:val="21"/>
                <w:shd w:val="clear" w:color="auto" w:fill="auto"/>
              </w:rPr>
              <w:t>、</w:t>
            </w:r>
            <w:r>
              <w:rPr>
                <w:rFonts w:hint="eastAsia" w:cs="Times New Roman"/>
                <w:color w:val="auto"/>
                <w:sz w:val="21"/>
                <w:szCs w:val="21"/>
                <w:shd w:val="clear" w:color="auto" w:fill="auto"/>
                <w:lang w:val="en-US" w:eastAsia="zh-CN"/>
              </w:rPr>
              <w:t>收油机、</w:t>
            </w:r>
            <w:r>
              <w:rPr>
                <w:rFonts w:hint="default" w:ascii="Times New Roman" w:hAnsi="Times New Roman" w:cs="Times New Roman"/>
                <w:color w:val="auto"/>
                <w:sz w:val="21"/>
                <w:szCs w:val="21"/>
                <w:shd w:val="clear" w:color="auto" w:fill="auto"/>
              </w:rPr>
              <w:t>吸油材料、溢油分散剂及喷洒装置、储存装置等</w:t>
            </w:r>
          </w:p>
        </w:tc>
        <w:tc>
          <w:tcPr>
            <w:tcW w:w="1910"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w:t>
            </w:r>
          </w:p>
        </w:tc>
        <w:tc>
          <w:tcPr>
            <w:tcW w:w="948"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38.5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704" w:type="dxa"/>
            <w:gridSpan w:val="3"/>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合计</w:t>
            </w:r>
          </w:p>
        </w:tc>
        <w:tc>
          <w:tcPr>
            <w:tcW w:w="2754"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1910" w:type="dxa"/>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948" w:type="dxa"/>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264.69</w:t>
            </w:r>
          </w:p>
        </w:tc>
      </w:tr>
    </w:tbl>
    <w:p>
      <w:pPr>
        <w:rPr>
          <w:color w:val="auto"/>
          <w:shd w:val="clear" w:color="auto" w:fill="auto"/>
        </w:rPr>
      </w:pPr>
      <w:r>
        <w:rPr>
          <w:rFonts w:hint="eastAsia"/>
          <w:color w:val="auto"/>
          <w:shd w:val="clear" w:color="auto" w:fill="auto"/>
          <w:lang w:eastAsia="zh-CN"/>
        </w:rPr>
        <w:t>阜阳港太和港区陶庙作业区码头工程</w:t>
      </w:r>
      <w:r>
        <w:rPr>
          <w:color w:val="auto"/>
          <w:shd w:val="clear" w:color="auto" w:fill="auto"/>
        </w:rPr>
        <w:t>环境保护投资费用总计为</w:t>
      </w:r>
      <w:r>
        <w:rPr>
          <w:rFonts w:hint="eastAsia"/>
          <w:color w:val="auto"/>
          <w:shd w:val="clear" w:color="auto" w:fill="auto"/>
          <w:lang w:val="en-US" w:eastAsia="zh-CN"/>
        </w:rPr>
        <w:t>264.69</w:t>
      </w:r>
      <w:r>
        <w:rPr>
          <w:color w:val="auto"/>
          <w:shd w:val="clear" w:color="auto" w:fill="auto"/>
        </w:rPr>
        <w:t>万元，约占工程总投资的</w:t>
      </w:r>
      <w:r>
        <w:rPr>
          <w:rFonts w:hint="eastAsia"/>
          <w:color w:val="auto"/>
          <w:shd w:val="clear" w:color="auto" w:fill="auto"/>
          <w:lang w:val="en-US" w:eastAsia="zh-CN"/>
        </w:rPr>
        <w:t>3.8</w:t>
      </w:r>
      <w:r>
        <w:rPr>
          <w:color w:val="auto"/>
          <w:shd w:val="clear" w:color="auto" w:fill="auto"/>
        </w:rPr>
        <w:t>%。根据港区工程本身特点，以及该项目所处的水环境状况等因素分析，环保投资比例是合适的。</w:t>
      </w:r>
    </w:p>
    <w:p>
      <w:pPr>
        <w:pStyle w:val="4"/>
        <w:spacing w:before="156" w:after="156"/>
        <w:rPr>
          <w:color w:val="auto"/>
          <w:shd w:val="clear" w:color="auto" w:fill="auto"/>
        </w:rPr>
      </w:pPr>
      <w:bookmarkStart w:id="482" w:name="_Toc2862_WPSOffice_Level2"/>
      <w:bookmarkStart w:id="483" w:name="_Toc12077"/>
      <w:bookmarkStart w:id="484" w:name="_Toc31427_WPSOffice_Level2"/>
      <w:r>
        <w:rPr>
          <w:rFonts w:hint="eastAsia"/>
          <w:color w:val="auto"/>
          <w:shd w:val="clear" w:color="auto" w:fill="auto"/>
          <w:lang w:val="en-US" w:eastAsia="zh-CN"/>
        </w:rPr>
        <w:t>8</w:t>
      </w:r>
      <w:r>
        <w:rPr>
          <w:rFonts w:hint="eastAsia"/>
          <w:color w:val="auto"/>
          <w:shd w:val="clear" w:color="auto" w:fill="auto"/>
        </w:rPr>
        <w:t>.3 社会效益分析</w:t>
      </w:r>
      <w:bookmarkEnd w:id="482"/>
      <w:bookmarkEnd w:id="483"/>
      <w:bookmarkEnd w:id="484"/>
    </w:p>
    <w:p>
      <w:pPr>
        <w:pStyle w:val="5"/>
        <w:rPr>
          <w:color w:val="auto"/>
          <w:shd w:val="clear" w:color="auto" w:fill="auto"/>
        </w:rPr>
      </w:pPr>
      <w:r>
        <w:rPr>
          <w:rFonts w:hint="eastAsia"/>
          <w:color w:val="auto"/>
          <w:shd w:val="clear" w:color="auto" w:fill="auto"/>
          <w:lang w:val="en-US" w:eastAsia="zh-CN"/>
        </w:rPr>
        <w:t>8</w:t>
      </w:r>
      <w:r>
        <w:rPr>
          <w:rFonts w:hint="eastAsia"/>
          <w:color w:val="auto"/>
          <w:shd w:val="clear" w:color="auto" w:fill="auto"/>
        </w:rPr>
        <w:t>.3.1 社会影响效果分析</w:t>
      </w:r>
    </w:p>
    <w:p>
      <w:pPr>
        <w:ind w:firstLine="480"/>
        <w:rPr>
          <w:color w:val="auto"/>
          <w:shd w:val="clear" w:color="auto" w:fill="auto"/>
        </w:rPr>
      </w:pPr>
      <w:r>
        <w:rPr>
          <w:rFonts w:hint="eastAsia"/>
          <w:color w:val="auto"/>
          <w:shd w:val="clear" w:color="auto" w:fill="auto"/>
        </w:rPr>
        <w:t>项目实施后将会促进当地经济的发展，增加就业、增加当地的财政税收。项目的建设、营运将会有大量施工、技术、管理人员进场，食品需求和日常生活用品的消耗将均从当地购买，为当地增加了社会服务容量；并促进当地文教、卫生事业的发展，对所在地区的文化、教育、卫生等事业的发展将产生有利影响。</w:t>
      </w:r>
    </w:p>
    <w:p>
      <w:pPr>
        <w:pStyle w:val="5"/>
        <w:rPr>
          <w:color w:val="auto"/>
          <w:shd w:val="clear" w:color="auto" w:fill="auto"/>
        </w:rPr>
      </w:pPr>
      <w:r>
        <w:rPr>
          <w:rFonts w:hint="eastAsia"/>
          <w:color w:val="auto"/>
          <w:shd w:val="clear" w:color="auto" w:fill="auto"/>
          <w:lang w:val="en-US" w:eastAsia="zh-CN"/>
        </w:rPr>
        <w:t>8</w:t>
      </w:r>
      <w:r>
        <w:rPr>
          <w:rFonts w:hint="eastAsia"/>
          <w:color w:val="auto"/>
          <w:shd w:val="clear" w:color="auto" w:fill="auto"/>
        </w:rPr>
        <w:t>.3.</w:t>
      </w:r>
      <w:r>
        <w:rPr>
          <w:rFonts w:hint="eastAsia"/>
          <w:color w:val="auto"/>
          <w:shd w:val="clear" w:color="auto" w:fill="auto"/>
          <w:lang w:val="en-US" w:eastAsia="zh-CN"/>
        </w:rPr>
        <w:t>2</w:t>
      </w:r>
      <w:r>
        <w:rPr>
          <w:rFonts w:hint="eastAsia"/>
          <w:color w:val="auto"/>
          <w:shd w:val="clear" w:color="auto" w:fill="auto"/>
        </w:rPr>
        <w:t xml:space="preserve"> 社会适应性分析</w:t>
      </w:r>
    </w:p>
    <w:p>
      <w:pPr>
        <w:ind w:firstLine="480"/>
        <w:rPr>
          <w:color w:val="auto"/>
          <w:shd w:val="clear" w:color="auto" w:fill="auto"/>
        </w:rPr>
      </w:pPr>
      <w:r>
        <w:rPr>
          <w:rFonts w:hint="eastAsia"/>
          <w:color w:val="auto"/>
          <w:shd w:val="clear" w:color="auto" w:fill="auto"/>
        </w:rPr>
        <w:t>（1）本项目建设涉及当地的行业利益群体主要有：建筑业、运输业、零售业、餐饮业等。项目建设所需的大量建筑材料将取自当地，会促进当地建筑业、运输业的发展，同时也带动了当地餐饮、零售行业的发展。因此这些行业对本项目的建设抱积极参与的态度。</w:t>
      </w:r>
    </w:p>
    <w:p>
      <w:pPr>
        <w:ind w:firstLine="480"/>
        <w:rPr>
          <w:color w:val="auto"/>
          <w:shd w:val="clear" w:color="auto" w:fill="auto"/>
        </w:rPr>
      </w:pPr>
      <w:r>
        <w:rPr>
          <w:rFonts w:hint="eastAsia"/>
          <w:color w:val="auto"/>
          <w:shd w:val="clear" w:color="auto" w:fill="auto"/>
        </w:rPr>
        <w:t>（2）本项目建设涉及团体利益群体主要有：腹地企业、当地政府、物流企业本身。项目主要满足腹地企业产品和原料水路运输服务，该项目建设有利于降低腹地企业运输成本，提高腹地企业经济效益，因此，腹地企业对该码头工程建设抱着积极态度的。物流企业通过投资本项目能够获得丰厚的利润，物流企业投资本项目持积极态度。同时该项目建成能够完善腹地综合交通运输体系，改善当地投资环境，拉动地方经济发展，当地政府会对本工程的建设持积极态度。</w:t>
      </w:r>
    </w:p>
    <w:p>
      <w:pPr>
        <w:pStyle w:val="5"/>
        <w:rPr>
          <w:color w:val="auto"/>
          <w:shd w:val="clear" w:color="auto" w:fill="auto"/>
        </w:rPr>
      </w:pPr>
      <w:r>
        <w:rPr>
          <w:rFonts w:hint="eastAsia"/>
          <w:color w:val="auto"/>
          <w:shd w:val="clear" w:color="auto" w:fill="auto"/>
          <w:lang w:val="en-US" w:eastAsia="zh-CN"/>
        </w:rPr>
        <w:t>8</w:t>
      </w:r>
      <w:r>
        <w:rPr>
          <w:rFonts w:hint="eastAsia"/>
          <w:color w:val="auto"/>
          <w:shd w:val="clear" w:color="auto" w:fill="auto"/>
        </w:rPr>
        <w:t>.3.</w:t>
      </w:r>
      <w:r>
        <w:rPr>
          <w:rFonts w:hint="eastAsia"/>
          <w:color w:val="auto"/>
          <w:shd w:val="clear" w:color="auto" w:fill="auto"/>
          <w:lang w:val="en-US" w:eastAsia="zh-CN"/>
        </w:rPr>
        <w:t>3</w:t>
      </w:r>
      <w:r>
        <w:rPr>
          <w:rFonts w:hint="eastAsia"/>
          <w:color w:val="auto"/>
          <w:shd w:val="clear" w:color="auto" w:fill="auto"/>
        </w:rPr>
        <w:t xml:space="preserve"> 社会风险及对策分析</w:t>
      </w:r>
    </w:p>
    <w:p>
      <w:pPr>
        <w:ind w:firstLine="480"/>
        <w:rPr>
          <w:color w:val="auto"/>
          <w:shd w:val="clear" w:color="auto" w:fill="auto"/>
        </w:rPr>
      </w:pPr>
      <w:r>
        <w:rPr>
          <w:rFonts w:hint="eastAsia"/>
          <w:color w:val="auto"/>
          <w:shd w:val="clear" w:color="auto" w:fill="auto"/>
        </w:rPr>
        <w:t>本码头工程运输和装卸过程中能产生噪音，给当地的居民的生产和生活带来影响。因此，在本次项目建设中特别注重对环境保护的影响和分析，并采取一系列环保措施，把对环境的影响降到国家规定的允许范围内。</w:t>
      </w:r>
    </w:p>
    <w:p>
      <w:pPr>
        <w:ind w:firstLine="480"/>
        <w:rPr>
          <w:color w:val="auto"/>
          <w:shd w:val="clear" w:color="auto" w:fill="auto"/>
        </w:rPr>
      </w:pPr>
      <w:r>
        <w:rPr>
          <w:rFonts w:hint="eastAsia"/>
          <w:color w:val="auto"/>
          <w:shd w:val="clear" w:color="auto" w:fill="auto"/>
        </w:rPr>
        <w:t>本项目的建设，不会产生移民安置、民族矛盾等社会风险，同时，当地政府积极关心和支持本项目的建设。</w:t>
      </w:r>
    </w:p>
    <w:p>
      <w:pPr>
        <w:ind w:firstLine="480"/>
        <w:rPr>
          <w:color w:val="auto"/>
          <w:shd w:val="clear" w:color="auto" w:fill="auto"/>
        </w:rPr>
      </w:pPr>
      <w:r>
        <w:rPr>
          <w:color w:val="auto"/>
          <w:shd w:val="clear" w:color="auto" w:fill="auto"/>
        </w:rPr>
        <w:t>本项目符合国家产业政策</w:t>
      </w:r>
      <w:r>
        <w:rPr>
          <w:rFonts w:hint="eastAsia"/>
          <w:color w:val="auto"/>
          <w:shd w:val="clear" w:color="auto" w:fill="auto"/>
        </w:rPr>
        <w:t>，合理开发并有效利用了资源，</w:t>
      </w:r>
      <w:r>
        <w:rPr>
          <w:color w:val="auto"/>
          <w:shd w:val="clear" w:color="auto" w:fill="auto"/>
        </w:rPr>
        <w:t>有利于</w:t>
      </w:r>
      <w:r>
        <w:rPr>
          <w:rFonts w:hint="eastAsia"/>
          <w:color w:val="auto"/>
          <w:shd w:val="clear" w:color="auto" w:fill="auto"/>
        </w:rPr>
        <w:t>当地交通运输体系形成</w:t>
      </w:r>
      <w:r>
        <w:rPr>
          <w:color w:val="auto"/>
          <w:shd w:val="clear" w:color="auto" w:fill="auto"/>
        </w:rPr>
        <w:t>。项目所需的建设条件均有保障，带动地方经济发展，增加就业</w:t>
      </w:r>
      <w:r>
        <w:rPr>
          <w:rFonts w:hint="eastAsia"/>
          <w:color w:val="auto"/>
          <w:shd w:val="clear" w:color="auto" w:fill="auto"/>
        </w:rPr>
        <w:t>岗位</w:t>
      </w:r>
      <w:r>
        <w:rPr>
          <w:color w:val="auto"/>
          <w:shd w:val="clear" w:color="auto" w:fill="auto"/>
        </w:rPr>
        <w:t>，保持社会稳定，增加地方财政税收，具有很好的社会效益。</w:t>
      </w:r>
    </w:p>
    <w:p>
      <w:pPr>
        <w:pStyle w:val="3"/>
        <w:spacing w:before="156" w:after="156"/>
        <w:ind w:firstLine="0" w:firstLineChars="0"/>
        <w:rPr>
          <w:color w:val="auto"/>
          <w:shd w:val="clear" w:color="auto" w:fill="auto"/>
        </w:rPr>
      </w:pPr>
      <w:bookmarkStart w:id="485" w:name="_Toc24415_WPSOffice_Level1"/>
      <w:bookmarkStart w:id="486" w:name="_Toc30262"/>
      <w:bookmarkStart w:id="487" w:name="_Toc15385_WPSOffice_Level1"/>
      <w:r>
        <w:rPr>
          <w:rFonts w:hint="eastAsia"/>
          <w:color w:val="auto"/>
          <w:shd w:val="clear" w:color="auto" w:fill="auto"/>
        </w:rPr>
        <w:t>第</w:t>
      </w:r>
      <w:r>
        <w:rPr>
          <w:rFonts w:hint="eastAsia"/>
          <w:color w:val="auto"/>
          <w:shd w:val="clear" w:color="auto" w:fill="auto"/>
          <w:lang w:val="en-US" w:eastAsia="zh-CN"/>
        </w:rPr>
        <w:t>9</w:t>
      </w:r>
      <w:r>
        <w:rPr>
          <w:rFonts w:hint="eastAsia"/>
          <w:color w:val="auto"/>
          <w:shd w:val="clear" w:color="auto" w:fill="auto"/>
        </w:rPr>
        <w:t>章 评价结论</w:t>
      </w:r>
      <w:bookmarkEnd w:id="485"/>
      <w:bookmarkEnd w:id="486"/>
      <w:bookmarkEnd w:id="487"/>
    </w:p>
    <w:p>
      <w:pPr>
        <w:pStyle w:val="4"/>
        <w:spacing w:before="156" w:after="156"/>
        <w:rPr>
          <w:rFonts w:hint="eastAsia"/>
          <w:color w:val="auto"/>
          <w:shd w:val="clear" w:color="auto" w:fill="auto"/>
        </w:rPr>
      </w:pPr>
      <w:bookmarkStart w:id="488" w:name="_Toc22345_WPSOffice_Level2"/>
      <w:bookmarkStart w:id="489" w:name="_Toc31125"/>
      <w:bookmarkStart w:id="490" w:name="_Toc10978_WPSOffice_Level2"/>
      <w:r>
        <w:rPr>
          <w:rFonts w:hint="eastAsia"/>
          <w:color w:val="auto"/>
          <w:shd w:val="clear" w:color="auto" w:fill="auto"/>
          <w:lang w:val="en-US" w:eastAsia="zh-CN"/>
        </w:rPr>
        <w:t>9</w:t>
      </w:r>
      <w:r>
        <w:rPr>
          <w:rFonts w:hint="eastAsia"/>
          <w:color w:val="auto"/>
          <w:shd w:val="clear" w:color="auto" w:fill="auto"/>
        </w:rPr>
        <w:t>.1 工程概况</w:t>
      </w:r>
      <w:bookmarkEnd w:id="488"/>
      <w:bookmarkEnd w:id="489"/>
      <w:bookmarkEnd w:id="490"/>
    </w:p>
    <w:p>
      <w:pPr>
        <w:spacing w:line="360" w:lineRule="auto"/>
        <w:ind w:firstLine="480" w:firstLineChars="200"/>
        <w:rPr>
          <w:color w:val="auto"/>
          <w:shd w:val="clear" w:color="auto" w:fill="auto"/>
        </w:rPr>
      </w:pPr>
      <w:r>
        <w:rPr>
          <w:rFonts w:hint="eastAsia"/>
          <w:color w:val="auto"/>
          <w:shd w:val="clear" w:color="auto" w:fill="auto"/>
        </w:rPr>
        <w:t>拟建</w:t>
      </w:r>
      <w:r>
        <w:rPr>
          <w:rFonts w:hint="eastAsia"/>
          <w:color w:val="auto"/>
          <w:shd w:val="clear" w:color="auto" w:fill="auto"/>
          <w:lang w:eastAsia="zh-CN"/>
        </w:rPr>
        <w:t>阜阳港太和港区陶庙作业区码头工程</w:t>
      </w:r>
      <w:r>
        <w:rPr>
          <w:rFonts w:hint="eastAsia"/>
          <w:color w:val="auto"/>
          <w:shd w:val="clear" w:color="auto" w:fill="auto"/>
        </w:rPr>
        <w:t>位于</w:t>
      </w:r>
      <w:r>
        <w:rPr>
          <w:rFonts w:hint="eastAsia"/>
          <w:color w:val="auto"/>
          <w:shd w:val="clear" w:color="auto" w:fill="auto"/>
          <w:lang w:eastAsia="zh-CN"/>
        </w:rPr>
        <w:t>城关镇陶桥村上游沙颍河北岸，上距太和二桥约1.8km</w:t>
      </w:r>
      <w:r>
        <w:rPr>
          <w:rFonts w:hint="eastAsia"/>
          <w:color w:val="auto"/>
          <w:shd w:val="clear" w:color="auto" w:fill="auto"/>
        </w:rPr>
        <w:t>。码头布置在河道左岸，占用岸线总长为175</w:t>
      </w:r>
      <w:r>
        <w:rPr>
          <w:rFonts w:hint="eastAsia"/>
          <w:color w:val="auto"/>
          <w:shd w:val="clear" w:color="auto" w:fill="auto"/>
          <w:lang w:eastAsia="zh-CN"/>
        </w:rPr>
        <w:t>m</w:t>
      </w:r>
      <w:r>
        <w:rPr>
          <w:rFonts w:hint="eastAsia"/>
          <w:color w:val="auto"/>
          <w:shd w:val="clear" w:color="auto" w:fill="auto"/>
        </w:rPr>
        <w:t>。本工程建设规模为</w:t>
      </w:r>
      <w:r>
        <w:rPr>
          <w:rFonts w:hint="eastAsia"/>
          <w:color w:val="auto"/>
          <w:shd w:val="clear" w:color="auto" w:fill="auto"/>
          <w:lang w:val="en-US" w:eastAsia="zh-CN"/>
        </w:rPr>
        <w:t>3</w:t>
      </w:r>
      <w:r>
        <w:rPr>
          <w:rFonts w:hint="eastAsia"/>
          <w:color w:val="auto"/>
          <w:shd w:val="clear" w:color="auto" w:fill="auto"/>
        </w:rPr>
        <w:t>个</w:t>
      </w:r>
      <w:r>
        <w:rPr>
          <w:rFonts w:hint="eastAsia"/>
          <w:color w:val="auto"/>
          <w:shd w:val="clear" w:color="auto" w:fill="auto"/>
          <w:lang w:eastAsia="zh-CN"/>
        </w:rPr>
        <w:t>1000</w:t>
      </w:r>
      <w:r>
        <w:rPr>
          <w:rFonts w:hint="eastAsia"/>
          <w:color w:val="auto"/>
          <w:shd w:val="clear" w:color="auto" w:fill="auto"/>
        </w:rPr>
        <w:t>吨级泊位（</w:t>
      </w:r>
      <w:r>
        <w:rPr>
          <w:rFonts w:hint="eastAsia"/>
          <w:color w:val="auto"/>
          <w:shd w:val="clear" w:color="auto" w:fill="auto"/>
          <w:lang w:eastAsia="zh-CN"/>
        </w:rPr>
        <w:t>均为</w:t>
      </w:r>
      <w:r>
        <w:rPr>
          <w:rFonts w:hint="eastAsia"/>
          <w:color w:val="auto"/>
          <w:shd w:val="clear" w:color="auto" w:fill="auto"/>
        </w:rPr>
        <w:t>散货泊位），预测散货年吞吐量</w:t>
      </w:r>
      <w:r>
        <w:rPr>
          <w:rFonts w:hint="eastAsia"/>
          <w:color w:val="auto"/>
          <w:shd w:val="clear" w:color="auto" w:fill="auto"/>
          <w:lang w:eastAsia="zh-CN"/>
        </w:rPr>
        <w:t>150</w:t>
      </w:r>
      <w:r>
        <w:rPr>
          <w:rFonts w:hint="eastAsia"/>
          <w:color w:val="auto"/>
          <w:shd w:val="clear" w:color="auto" w:fill="auto"/>
        </w:rPr>
        <w:t>万吨，主要货种为矿建材料，工程占地面积约47.9亩。码头平台长175</w:t>
      </w:r>
      <w:r>
        <w:rPr>
          <w:rFonts w:hint="eastAsia"/>
          <w:color w:val="auto"/>
          <w:shd w:val="clear" w:color="auto" w:fill="auto"/>
          <w:lang w:eastAsia="zh-CN"/>
        </w:rPr>
        <w:t>m</w:t>
      </w:r>
      <w:r>
        <w:rPr>
          <w:rFonts w:hint="eastAsia"/>
          <w:color w:val="auto"/>
          <w:shd w:val="clear" w:color="auto" w:fill="auto"/>
        </w:rPr>
        <w:t>，宽20</w:t>
      </w:r>
      <w:r>
        <w:rPr>
          <w:rFonts w:hint="eastAsia"/>
          <w:color w:val="auto"/>
          <w:shd w:val="clear" w:color="auto" w:fill="auto"/>
          <w:lang w:eastAsia="zh-CN"/>
        </w:rPr>
        <w:t>m</w:t>
      </w:r>
      <w:r>
        <w:rPr>
          <w:rFonts w:hint="eastAsia"/>
          <w:color w:val="auto"/>
          <w:shd w:val="clear" w:color="auto" w:fill="auto"/>
        </w:rPr>
        <w:t>，后方通过挡墙与滩地连成整体</w:t>
      </w:r>
      <w:r>
        <w:rPr>
          <w:rFonts w:hint="eastAsia"/>
          <w:color w:val="auto"/>
          <w:shd w:val="clear" w:color="auto" w:fill="auto"/>
          <w:lang w:eastAsia="zh-CN"/>
        </w:rPr>
        <w:t>，</w:t>
      </w:r>
      <w:r>
        <w:rPr>
          <w:rFonts w:hint="eastAsia"/>
          <w:color w:val="auto"/>
          <w:shd w:val="clear" w:color="auto" w:fill="auto"/>
        </w:rPr>
        <w:t>后方临近堤脚位置</w:t>
      </w:r>
      <w:r>
        <w:rPr>
          <w:rFonts w:hint="eastAsia"/>
          <w:color w:val="auto"/>
          <w:shd w:val="clear" w:color="auto" w:fill="auto"/>
          <w:lang w:eastAsia="zh-CN"/>
        </w:rPr>
        <w:t>依托现有的</w:t>
      </w:r>
      <w:r>
        <w:rPr>
          <w:rFonts w:hint="eastAsia"/>
          <w:color w:val="auto"/>
          <w:shd w:val="clear" w:color="auto" w:fill="auto"/>
        </w:rPr>
        <w:t>疏港道路，斜向上堤顶后与现有道路平交连接，平交道口局部堤防背水侧加宽以利于大型货车转弯及等待。码头平台上下游各设1条12</w:t>
      </w:r>
      <w:r>
        <w:rPr>
          <w:rFonts w:hint="eastAsia"/>
          <w:color w:val="auto"/>
          <w:shd w:val="clear" w:color="auto" w:fill="auto"/>
          <w:lang w:eastAsia="zh-CN"/>
        </w:rPr>
        <w:t>m</w:t>
      </w:r>
      <w:r>
        <w:rPr>
          <w:rFonts w:hint="eastAsia"/>
          <w:color w:val="auto"/>
          <w:shd w:val="clear" w:color="auto" w:fill="auto"/>
        </w:rPr>
        <w:t>宽道路与疏港道路形成循环通道，便于车辆通行。同时建设码头配套的管理用房</w:t>
      </w:r>
      <w:r>
        <w:rPr>
          <w:rFonts w:hint="eastAsia"/>
          <w:color w:val="auto"/>
          <w:shd w:val="clear" w:color="auto" w:fill="auto"/>
          <w:lang w:eastAsia="zh-CN"/>
        </w:rPr>
        <w:t>、配电房、移动厕所，以及三级</w:t>
      </w:r>
      <w:r>
        <w:rPr>
          <w:rFonts w:hint="eastAsia"/>
          <w:color w:val="auto"/>
          <w:shd w:val="clear" w:color="auto" w:fill="auto"/>
        </w:rPr>
        <w:t>沉淀池、</w:t>
      </w:r>
      <w:r>
        <w:rPr>
          <w:rFonts w:hint="eastAsia"/>
          <w:color w:val="auto"/>
          <w:shd w:val="clear" w:color="auto" w:fill="auto"/>
          <w:lang w:eastAsia="zh-CN"/>
        </w:rPr>
        <w:t>隔油沉淀池、</w:t>
      </w:r>
      <w:r>
        <w:rPr>
          <w:rFonts w:hint="eastAsia"/>
          <w:color w:val="auto"/>
          <w:shd w:val="clear" w:color="auto" w:fill="auto"/>
        </w:rPr>
        <w:t>地磅等均布置在码头平台后方的滩地上。</w:t>
      </w:r>
    </w:p>
    <w:p>
      <w:pPr>
        <w:ind w:firstLine="480"/>
      </w:pPr>
      <w:r>
        <w:rPr>
          <w:rFonts w:hint="eastAsia"/>
          <w:color w:val="auto"/>
          <w:highlight w:val="none"/>
          <w:shd w:val="clear" w:color="auto" w:fill="auto"/>
        </w:rPr>
        <w:t>本项目计划于20</w:t>
      </w:r>
      <w:r>
        <w:rPr>
          <w:rFonts w:hint="eastAsia"/>
          <w:color w:val="auto"/>
          <w:highlight w:val="none"/>
          <w:shd w:val="clear" w:color="auto" w:fill="auto"/>
          <w:lang w:val="en-US" w:eastAsia="zh-CN"/>
        </w:rPr>
        <w:t>20</w:t>
      </w:r>
      <w:r>
        <w:rPr>
          <w:rFonts w:hint="eastAsia"/>
          <w:color w:val="auto"/>
          <w:highlight w:val="none"/>
          <w:shd w:val="clear" w:color="auto" w:fill="auto"/>
        </w:rPr>
        <w:t>年1</w:t>
      </w:r>
      <w:r>
        <w:rPr>
          <w:rFonts w:hint="eastAsia"/>
          <w:color w:val="auto"/>
          <w:highlight w:val="none"/>
          <w:shd w:val="clear" w:color="auto" w:fill="auto"/>
          <w:lang w:val="en-US" w:eastAsia="zh-CN"/>
        </w:rPr>
        <w:t>0</w:t>
      </w:r>
      <w:r>
        <w:rPr>
          <w:rFonts w:hint="eastAsia"/>
          <w:color w:val="auto"/>
          <w:highlight w:val="none"/>
          <w:shd w:val="clear" w:color="auto" w:fill="auto"/>
        </w:rPr>
        <w:t>月开工建设，202</w:t>
      </w:r>
      <w:r>
        <w:rPr>
          <w:rFonts w:hint="eastAsia"/>
          <w:color w:val="auto"/>
          <w:highlight w:val="none"/>
          <w:shd w:val="clear" w:color="auto" w:fill="auto"/>
          <w:lang w:val="en-US" w:eastAsia="zh-CN"/>
        </w:rPr>
        <w:t>1</w:t>
      </w:r>
      <w:r>
        <w:rPr>
          <w:rFonts w:hint="eastAsia"/>
          <w:color w:val="auto"/>
          <w:highlight w:val="none"/>
          <w:shd w:val="clear" w:color="auto" w:fill="auto"/>
        </w:rPr>
        <w:t>年</w:t>
      </w:r>
      <w:r>
        <w:rPr>
          <w:rFonts w:hint="eastAsia"/>
          <w:color w:val="auto"/>
          <w:highlight w:val="none"/>
          <w:shd w:val="clear" w:color="auto" w:fill="auto"/>
          <w:lang w:val="en-US" w:eastAsia="zh-CN"/>
        </w:rPr>
        <w:t>9</w:t>
      </w:r>
      <w:r>
        <w:rPr>
          <w:rFonts w:hint="eastAsia"/>
          <w:color w:val="auto"/>
          <w:highlight w:val="none"/>
          <w:shd w:val="clear" w:color="auto" w:fill="auto"/>
        </w:rPr>
        <w:t>月完成所有工程项目，建设工期为</w:t>
      </w:r>
      <w:r>
        <w:rPr>
          <w:rFonts w:hint="eastAsia"/>
          <w:color w:val="auto"/>
          <w:highlight w:val="none"/>
          <w:shd w:val="clear" w:color="auto" w:fill="auto"/>
          <w:lang w:val="en-US" w:eastAsia="zh-CN"/>
        </w:rPr>
        <w:t>1</w:t>
      </w:r>
      <w:r>
        <w:rPr>
          <w:rFonts w:hint="eastAsia"/>
          <w:color w:val="auto"/>
          <w:highlight w:val="none"/>
          <w:shd w:val="clear" w:color="auto" w:fill="auto"/>
        </w:rPr>
        <w:t>年。投资估算总金额为</w:t>
      </w:r>
      <w:r>
        <w:rPr>
          <w:rFonts w:hint="eastAsia" w:cs="Times New Roman"/>
          <w:color w:val="auto"/>
          <w:highlight w:val="none"/>
          <w:shd w:val="clear" w:color="auto" w:fill="auto"/>
          <w:lang w:eastAsia="zh-CN"/>
        </w:rPr>
        <w:t>6954.60</w:t>
      </w:r>
      <w:r>
        <w:rPr>
          <w:rFonts w:hint="eastAsia" w:ascii="Times New Roman" w:hAnsi="Times New Roman" w:cs="Times New Roman"/>
          <w:color w:val="auto"/>
          <w:highlight w:val="none"/>
          <w:shd w:val="clear" w:color="auto" w:fill="auto"/>
        </w:rPr>
        <w:t>万元。</w:t>
      </w:r>
    </w:p>
    <w:p>
      <w:pPr>
        <w:pStyle w:val="4"/>
        <w:spacing w:before="156" w:after="156"/>
        <w:rPr>
          <w:color w:val="auto"/>
          <w:shd w:val="clear" w:color="auto" w:fill="auto"/>
        </w:rPr>
      </w:pPr>
      <w:bookmarkStart w:id="491" w:name="_Toc191136165"/>
      <w:bookmarkStart w:id="492" w:name="_Toc175904425"/>
      <w:bookmarkStart w:id="493" w:name="_Toc271730259"/>
      <w:bookmarkStart w:id="494" w:name="_Toc26156_WPSOffice_Level2"/>
      <w:bookmarkStart w:id="495" w:name="_Toc360437857"/>
      <w:bookmarkStart w:id="496" w:name="_Toc25978_WPSOffice_Level2"/>
      <w:bookmarkStart w:id="497" w:name="_Toc11960"/>
      <w:r>
        <w:rPr>
          <w:rFonts w:hint="eastAsia"/>
          <w:color w:val="auto"/>
          <w:shd w:val="clear" w:color="auto" w:fill="auto"/>
          <w:lang w:val="en-US" w:eastAsia="zh-CN"/>
        </w:rPr>
        <w:t>9</w:t>
      </w:r>
      <w:r>
        <w:rPr>
          <w:color w:val="auto"/>
          <w:shd w:val="clear" w:color="auto" w:fill="auto"/>
        </w:rPr>
        <w:t>.2 产业政策、法规和规划相符性</w:t>
      </w:r>
      <w:bookmarkEnd w:id="491"/>
      <w:bookmarkEnd w:id="492"/>
      <w:bookmarkEnd w:id="493"/>
      <w:bookmarkEnd w:id="494"/>
      <w:bookmarkEnd w:id="495"/>
      <w:bookmarkEnd w:id="496"/>
      <w:bookmarkEnd w:id="497"/>
    </w:p>
    <w:p>
      <w:pPr>
        <w:ind w:firstLine="480"/>
        <w:rPr>
          <w:color w:val="auto"/>
          <w:shd w:val="clear" w:color="auto" w:fill="auto"/>
        </w:rPr>
      </w:pPr>
      <w:r>
        <w:rPr>
          <w:color w:val="auto"/>
          <w:shd w:val="clear" w:color="auto" w:fill="auto"/>
        </w:rPr>
        <w:t>本工程的建设符合</w:t>
      </w:r>
      <w:r>
        <w:rPr>
          <w:rFonts w:hint="eastAsia"/>
          <w:color w:val="auto"/>
          <w:shd w:val="clear" w:color="auto" w:fill="auto"/>
          <w:lang w:eastAsia="zh-CN"/>
        </w:rPr>
        <w:t>《产业结构调整指导目录（2019年本）》</w:t>
      </w:r>
      <w:r>
        <w:rPr>
          <w:color w:val="auto"/>
          <w:shd w:val="clear" w:color="auto" w:fill="auto"/>
        </w:rPr>
        <w:t>第一类鼓励类第二十五部分水运之一“深水泊位（沿海万吨级、内河千吨级以上）建设”规定。工程的建设符合国家的产业政策。</w:t>
      </w:r>
    </w:p>
    <w:p>
      <w:pPr>
        <w:ind w:firstLine="480"/>
        <w:rPr>
          <w:color w:val="auto"/>
          <w:szCs w:val="28"/>
          <w:shd w:val="clear" w:color="auto" w:fill="auto"/>
        </w:rPr>
      </w:pPr>
      <w:r>
        <w:rPr>
          <w:color w:val="auto"/>
          <w:shd w:val="clear" w:color="auto" w:fill="auto"/>
        </w:rPr>
        <w:t>本工程选址合理，符合</w:t>
      </w:r>
      <w:r>
        <w:rPr>
          <w:rFonts w:hint="eastAsia"/>
          <w:color w:val="auto"/>
          <w:shd w:val="clear" w:color="auto" w:fill="auto"/>
        </w:rPr>
        <w:t>《</w:t>
      </w:r>
      <w:r>
        <w:rPr>
          <w:rFonts w:hint="eastAsia"/>
          <w:color w:val="auto"/>
          <w:shd w:val="clear" w:color="auto" w:fill="auto"/>
          <w:lang w:val="en-US" w:eastAsia="zh-CN"/>
        </w:rPr>
        <w:t>太和县</w:t>
      </w:r>
      <w:r>
        <w:rPr>
          <w:rFonts w:hint="eastAsia"/>
          <w:color w:val="auto"/>
          <w:shd w:val="clear" w:color="auto" w:fill="auto"/>
        </w:rPr>
        <w:t>城</w:t>
      </w:r>
      <w:r>
        <w:rPr>
          <w:color w:val="auto"/>
          <w:shd w:val="clear" w:color="auto" w:fill="auto"/>
        </w:rPr>
        <w:t>总体规划</w:t>
      </w:r>
      <w:r>
        <w:rPr>
          <w:rFonts w:hint="eastAsia"/>
          <w:color w:val="auto"/>
          <w:shd w:val="clear" w:color="auto" w:fill="auto"/>
        </w:rPr>
        <w:t>（201</w:t>
      </w:r>
      <w:r>
        <w:rPr>
          <w:rFonts w:hint="eastAsia"/>
          <w:color w:val="auto"/>
          <w:shd w:val="clear" w:color="auto" w:fill="auto"/>
          <w:lang w:val="en-US" w:eastAsia="zh-CN"/>
        </w:rPr>
        <w:t>2</w:t>
      </w:r>
      <w:r>
        <w:rPr>
          <w:rFonts w:hint="eastAsia"/>
          <w:color w:val="auto"/>
          <w:shd w:val="clear" w:color="auto" w:fill="auto"/>
        </w:rPr>
        <w:t>~2030）》</w:t>
      </w:r>
      <w:r>
        <w:rPr>
          <w:color w:val="auto"/>
          <w:shd w:val="clear" w:color="auto" w:fill="auto"/>
        </w:rPr>
        <w:t>、</w:t>
      </w:r>
      <w:r>
        <w:rPr>
          <w:rFonts w:hint="eastAsia"/>
          <w:color w:val="auto"/>
          <w:shd w:val="clear" w:color="auto" w:fill="auto"/>
        </w:rPr>
        <w:t>《</w:t>
      </w:r>
      <w:r>
        <w:rPr>
          <w:rFonts w:hint="eastAsia"/>
          <w:color w:val="auto"/>
          <w:shd w:val="clear" w:color="auto" w:fill="auto"/>
          <w:lang w:val="en-US" w:eastAsia="zh-CN"/>
        </w:rPr>
        <w:t>阜阳</w:t>
      </w:r>
      <w:r>
        <w:rPr>
          <w:rFonts w:hint="eastAsia"/>
          <w:color w:val="auto"/>
          <w:shd w:val="clear" w:color="auto" w:fill="auto"/>
        </w:rPr>
        <w:t>港</w:t>
      </w:r>
      <w:r>
        <w:rPr>
          <w:color w:val="auto"/>
          <w:shd w:val="clear" w:color="auto" w:fill="auto"/>
        </w:rPr>
        <w:t>港总体规划</w:t>
      </w:r>
      <w:r>
        <w:rPr>
          <w:rFonts w:hint="eastAsia"/>
          <w:color w:val="auto"/>
          <w:shd w:val="clear" w:color="auto" w:fill="auto"/>
        </w:rPr>
        <w:t>（调整）》的相关要求</w:t>
      </w:r>
      <w:r>
        <w:rPr>
          <w:color w:val="auto"/>
          <w:szCs w:val="28"/>
          <w:shd w:val="clear" w:color="auto" w:fill="auto"/>
        </w:rPr>
        <w:t>。</w:t>
      </w:r>
    </w:p>
    <w:p>
      <w:pPr>
        <w:pStyle w:val="4"/>
        <w:spacing w:before="156" w:after="156"/>
        <w:rPr>
          <w:rFonts w:hint="eastAsia"/>
          <w:color w:val="auto"/>
          <w:highlight w:val="none"/>
          <w:shd w:val="clear" w:color="auto" w:fill="auto"/>
        </w:rPr>
      </w:pPr>
      <w:bookmarkStart w:id="498" w:name="_Toc14203"/>
      <w:bookmarkStart w:id="499" w:name="_Toc23311_WPSOffice_Level2"/>
      <w:bookmarkStart w:id="500" w:name="_Toc11729_WPSOffice_Level2"/>
      <w:r>
        <w:rPr>
          <w:rFonts w:hint="eastAsia"/>
          <w:color w:val="auto"/>
          <w:highlight w:val="none"/>
          <w:shd w:val="clear" w:color="auto" w:fill="auto"/>
          <w:lang w:val="en-US" w:eastAsia="zh-CN"/>
        </w:rPr>
        <w:t>9</w:t>
      </w:r>
      <w:r>
        <w:rPr>
          <w:rFonts w:hint="eastAsia"/>
          <w:color w:val="auto"/>
          <w:highlight w:val="none"/>
          <w:shd w:val="clear" w:color="auto" w:fill="auto"/>
        </w:rPr>
        <w:t>.3 环境质量现状</w:t>
      </w:r>
      <w:bookmarkEnd w:id="498"/>
      <w:bookmarkEnd w:id="499"/>
      <w:bookmarkEnd w:id="500"/>
    </w:p>
    <w:p>
      <w:pPr>
        <w:rPr>
          <w:color w:val="auto"/>
          <w:sz w:val="24"/>
          <w:shd w:val="clear" w:color="auto" w:fill="auto"/>
        </w:rPr>
      </w:pPr>
      <w:r>
        <w:rPr>
          <w:color w:val="auto"/>
          <w:sz w:val="24"/>
          <w:shd w:val="clear" w:color="auto" w:fill="auto"/>
        </w:rPr>
        <w:t>（1）大气</w:t>
      </w:r>
    </w:p>
    <w:p>
      <w:pPr>
        <w:pStyle w:val="2"/>
        <w:rPr>
          <w:rFonts w:hint="eastAsia" w:ascii="瀹嬩綋" w:hAnsi="瀹嬩綋" w:eastAsia="瀹嬩綋"/>
          <w:color w:val="auto"/>
          <w:sz w:val="24"/>
          <w:shd w:val="clear" w:color="auto" w:fill="auto"/>
        </w:rPr>
      </w:pPr>
      <w:r>
        <w:rPr>
          <w:rFonts w:hint="eastAsia"/>
          <w:color w:val="auto"/>
          <w:shd w:val="clear" w:color="auto" w:fill="auto"/>
          <w:lang w:val="en-US" w:eastAsia="zh-CN"/>
        </w:rPr>
        <w:t>根据《</w:t>
      </w:r>
      <w:r>
        <w:rPr>
          <w:rFonts w:hint="eastAsia"/>
          <w:color w:val="auto"/>
          <w:shd w:val="clear" w:color="auto" w:fill="auto"/>
        </w:rPr>
        <w:t>201</w:t>
      </w:r>
      <w:r>
        <w:rPr>
          <w:rFonts w:hint="eastAsia"/>
          <w:color w:val="auto"/>
          <w:shd w:val="clear" w:color="auto" w:fill="auto"/>
          <w:lang w:val="en-US" w:eastAsia="zh-CN"/>
        </w:rPr>
        <w:t>9</w:t>
      </w:r>
      <w:r>
        <w:rPr>
          <w:rFonts w:hint="eastAsia"/>
          <w:color w:val="auto"/>
          <w:shd w:val="clear" w:color="auto" w:fill="auto"/>
        </w:rPr>
        <w:t>年</w:t>
      </w:r>
      <w:r>
        <w:rPr>
          <w:rFonts w:hint="eastAsia"/>
          <w:color w:val="auto"/>
          <w:shd w:val="clear" w:color="auto" w:fill="auto"/>
          <w:lang w:eastAsia="zh-CN"/>
        </w:rPr>
        <w:t>阜阳</w:t>
      </w:r>
      <w:r>
        <w:rPr>
          <w:rFonts w:hint="eastAsia"/>
          <w:color w:val="auto"/>
          <w:shd w:val="clear" w:color="auto" w:fill="auto"/>
        </w:rPr>
        <w:t>市环境质量状况公报</w:t>
      </w:r>
      <w:r>
        <w:rPr>
          <w:rFonts w:hint="eastAsia"/>
          <w:color w:val="auto"/>
          <w:shd w:val="clear" w:color="auto" w:fill="auto"/>
          <w:lang w:val="en-US" w:eastAsia="zh-CN"/>
        </w:rPr>
        <w:t>》，</w:t>
      </w:r>
      <w:bookmarkStart w:id="524" w:name="_GoBack"/>
      <w:bookmarkEnd w:id="524"/>
      <w:r>
        <w:rPr>
          <w:rFonts w:hint="eastAsia" w:eastAsia="宋体"/>
          <w:color w:val="auto"/>
          <w:sz w:val="24"/>
          <w:shd w:val="clear" w:color="auto" w:fill="auto"/>
          <w:lang w:eastAsia="zh-CN"/>
        </w:rPr>
        <w:t>PM</w:t>
      </w:r>
      <w:r>
        <w:rPr>
          <w:rFonts w:hint="default" w:ascii="Times New Roman" w:hAnsi="Times New Roman" w:eastAsia="Times New Roman"/>
          <w:color w:val="auto"/>
          <w:sz w:val="16"/>
          <w:shd w:val="clear" w:color="auto" w:fill="auto"/>
        </w:rPr>
        <w:t>10</w:t>
      </w:r>
      <w:r>
        <w:rPr>
          <w:rFonts w:hint="eastAsia" w:ascii="瀹嬩綋" w:hAnsi="瀹嬩綋" w:eastAsia="瀹嬩綋"/>
          <w:color w:val="auto"/>
          <w:sz w:val="24"/>
          <w:shd w:val="clear" w:color="auto" w:fill="auto"/>
        </w:rPr>
        <w:t>和</w:t>
      </w:r>
      <w:r>
        <w:rPr>
          <w:rFonts w:hint="eastAsia" w:eastAsia="宋体"/>
          <w:color w:val="auto"/>
          <w:sz w:val="24"/>
          <w:shd w:val="clear" w:color="auto" w:fill="auto"/>
          <w:lang w:eastAsia="zh-CN"/>
        </w:rPr>
        <w:t>PM</w:t>
      </w:r>
      <w:r>
        <w:rPr>
          <w:rFonts w:hint="eastAsia" w:eastAsia="宋体"/>
          <w:color w:val="auto"/>
          <w:sz w:val="24"/>
          <w:shd w:val="clear" w:color="auto" w:fill="auto"/>
          <w:vertAlign w:val="subscript"/>
          <w:lang w:eastAsia="zh-CN"/>
        </w:rPr>
        <w:t>2.5</w:t>
      </w:r>
      <w:r>
        <w:rPr>
          <w:rFonts w:hint="eastAsia" w:ascii="瀹嬩綋" w:hAnsi="瀹嬩綋" w:eastAsia="瀹嬩綋"/>
          <w:color w:val="auto"/>
          <w:sz w:val="24"/>
          <w:shd w:val="clear" w:color="auto" w:fill="auto"/>
        </w:rPr>
        <w:t>的年均浓度不满足《环境空气质量标准》（</w:t>
      </w:r>
      <w:r>
        <w:rPr>
          <w:rFonts w:hint="default" w:ascii="Times New Roman" w:hAnsi="Times New Roman" w:eastAsia="Times New Roman"/>
          <w:color w:val="auto"/>
          <w:sz w:val="24"/>
          <w:shd w:val="clear" w:color="auto" w:fill="auto"/>
        </w:rPr>
        <w:t>GB3095-2012</w:t>
      </w:r>
      <w:r>
        <w:rPr>
          <w:rFonts w:hint="eastAsia" w:ascii="瀹嬩綋" w:hAnsi="瀹嬩綋" w:eastAsia="瀹嬩綋"/>
          <w:color w:val="auto"/>
          <w:sz w:val="24"/>
          <w:shd w:val="clear" w:color="auto" w:fill="auto"/>
        </w:rPr>
        <w:t>）二级标准限值要求，项目所在区域为不达标区。</w:t>
      </w:r>
    </w:p>
    <w:p>
      <w:pPr>
        <w:spacing w:line="460" w:lineRule="exact"/>
        <w:ind w:firstLine="480"/>
        <w:rPr>
          <w:color w:val="auto"/>
          <w:sz w:val="24"/>
          <w:shd w:val="clear" w:color="auto" w:fill="auto"/>
        </w:rPr>
      </w:pPr>
      <w:r>
        <w:rPr>
          <w:color w:val="auto"/>
          <w:sz w:val="24"/>
          <w:shd w:val="clear" w:color="auto" w:fill="auto"/>
        </w:rPr>
        <w:t>（2）地表水</w:t>
      </w:r>
    </w:p>
    <w:p>
      <w:pPr>
        <w:ind w:firstLine="480"/>
        <w:rPr>
          <w:rFonts w:hint="eastAsia" w:eastAsia="宋体"/>
          <w:color w:val="auto"/>
          <w:shd w:val="clear" w:color="auto" w:fill="auto"/>
        </w:rPr>
      </w:pPr>
      <w:r>
        <w:rPr>
          <w:rFonts w:hint="eastAsia" w:eastAsia="宋体"/>
          <w:color w:val="auto"/>
          <w:shd w:val="clear" w:color="auto" w:fill="auto"/>
          <w:lang w:eastAsia="zh-CN"/>
        </w:rPr>
        <w:t>根据2019年环境质量数据，阜阳境内颍河水质状况为良好。可满足《地表水环境质量标准》III类标准</w:t>
      </w:r>
      <w:r>
        <w:rPr>
          <w:rFonts w:hint="eastAsia" w:eastAsia="宋体"/>
          <w:color w:val="auto"/>
          <w:shd w:val="clear" w:color="auto" w:fill="auto"/>
          <w:lang w:val="en-US" w:eastAsia="zh-CN"/>
        </w:rPr>
        <w:t>。</w:t>
      </w:r>
    </w:p>
    <w:p>
      <w:pPr>
        <w:pStyle w:val="58"/>
        <w:tabs>
          <w:tab w:val="left" w:pos="4144"/>
        </w:tabs>
        <w:rPr>
          <w:color w:val="auto"/>
          <w:shd w:val="clear" w:color="auto" w:fill="auto"/>
        </w:rPr>
      </w:pPr>
      <w:r>
        <w:rPr>
          <w:color w:val="auto"/>
          <w:shd w:val="clear" w:color="auto" w:fill="auto"/>
        </w:rPr>
        <w:t>（</w:t>
      </w:r>
      <w:r>
        <w:rPr>
          <w:rFonts w:hint="eastAsia"/>
          <w:color w:val="auto"/>
          <w:shd w:val="clear" w:color="auto" w:fill="auto"/>
          <w:lang w:val="en-US" w:eastAsia="zh-CN"/>
        </w:rPr>
        <w:t>3</w:t>
      </w:r>
      <w:r>
        <w:rPr>
          <w:color w:val="auto"/>
          <w:shd w:val="clear" w:color="auto" w:fill="auto"/>
        </w:rPr>
        <w:t>）声环境</w:t>
      </w:r>
    </w:p>
    <w:p>
      <w:pPr>
        <w:pStyle w:val="12"/>
        <w:ind w:firstLine="480"/>
        <w:rPr>
          <w:rFonts w:hint="eastAsia" w:ascii="Times New Roman" w:hAnsi="Times New Roman" w:eastAsia="宋体" w:cs="Times New Roman"/>
          <w:color w:val="auto"/>
          <w:kern w:val="2"/>
          <w:sz w:val="24"/>
          <w:szCs w:val="24"/>
          <w:shd w:val="clear" w:color="auto" w:fill="auto"/>
          <w:lang w:val="en-US" w:eastAsia="zh-CN" w:bidi="ar-SA"/>
        </w:rPr>
      </w:pPr>
      <w:r>
        <w:rPr>
          <w:rFonts w:hint="eastAsia" w:cs="Times New Roman"/>
          <w:color w:val="auto"/>
          <w:kern w:val="2"/>
          <w:sz w:val="24"/>
          <w:szCs w:val="24"/>
          <w:shd w:val="clear" w:color="auto" w:fill="auto"/>
          <w:lang w:val="en-US" w:eastAsia="zh-CN" w:bidi="ar-SA"/>
        </w:rPr>
        <w:t>根据</w:t>
      </w:r>
      <w:r>
        <w:rPr>
          <w:rFonts w:hint="eastAsia" w:ascii="Times New Roman" w:hAnsi="Times New Roman" w:eastAsia="宋体" w:cs="Times New Roman"/>
          <w:color w:val="auto"/>
          <w:kern w:val="2"/>
          <w:sz w:val="24"/>
          <w:szCs w:val="24"/>
          <w:shd w:val="clear" w:color="auto" w:fill="auto"/>
          <w:lang w:val="en-US" w:eastAsia="zh-CN" w:bidi="ar-SA"/>
        </w:rPr>
        <w:t>监测结果，项目区南厂界声环境满足《声环境质量标准》（GB3096—2008）中的4a类标准，其余厂界满足</w:t>
      </w:r>
      <w:r>
        <w:rPr>
          <w:rFonts w:hint="eastAsia" w:cs="Times New Roman"/>
          <w:color w:val="auto"/>
          <w:kern w:val="2"/>
          <w:sz w:val="24"/>
          <w:szCs w:val="24"/>
          <w:shd w:val="clear" w:color="auto" w:fill="auto"/>
          <w:lang w:val="en-US" w:eastAsia="zh-CN" w:bidi="ar-SA"/>
        </w:rPr>
        <w:t>2类标准；厂界外200m范围内敏感点声环境满足</w:t>
      </w:r>
      <w:r>
        <w:rPr>
          <w:rFonts w:hint="eastAsia" w:ascii="Times New Roman" w:hAnsi="Times New Roman" w:eastAsia="宋体" w:cs="Times New Roman"/>
          <w:color w:val="auto"/>
          <w:kern w:val="2"/>
          <w:sz w:val="24"/>
          <w:szCs w:val="24"/>
          <w:shd w:val="clear" w:color="auto" w:fill="auto"/>
          <w:lang w:val="en-US" w:eastAsia="zh-CN" w:bidi="ar-SA"/>
        </w:rPr>
        <w:t>《声环境质量标准》（GB3096—2008）中的2类标准</w:t>
      </w:r>
      <w:r>
        <w:rPr>
          <w:rFonts w:hint="eastAsia" w:cs="Times New Roman"/>
          <w:color w:val="auto"/>
          <w:kern w:val="2"/>
          <w:sz w:val="24"/>
          <w:szCs w:val="24"/>
          <w:shd w:val="clear" w:color="auto" w:fill="auto"/>
          <w:lang w:val="en-US" w:eastAsia="zh-CN" w:bidi="ar-SA"/>
        </w:rPr>
        <w:t>。</w:t>
      </w:r>
      <w:r>
        <w:rPr>
          <w:rFonts w:hint="eastAsia" w:ascii="Times New Roman" w:hAnsi="Times New Roman" w:eastAsia="宋体" w:cs="Times New Roman"/>
          <w:color w:val="auto"/>
          <w:kern w:val="2"/>
          <w:sz w:val="24"/>
          <w:szCs w:val="24"/>
          <w:shd w:val="clear" w:color="auto" w:fill="auto"/>
          <w:lang w:val="en-US" w:eastAsia="zh-CN" w:bidi="ar-SA"/>
        </w:rPr>
        <w:t>因此，项目区声环境质量满足功能要求。</w:t>
      </w:r>
    </w:p>
    <w:p>
      <w:pPr>
        <w:pStyle w:val="12"/>
        <w:ind w:firstLine="480"/>
        <w:rPr>
          <w:rFonts w:hint="eastAsia" w:ascii="Times New Roman" w:hAnsi="Times New Roman" w:eastAsia="宋体" w:cs="Times New Roman"/>
          <w:color w:val="auto"/>
          <w:kern w:val="2"/>
          <w:sz w:val="24"/>
          <w:szCs w:val="24"/>
          <w:shd w:val="clear" w:color="auto" w:fill="auto"/>
          <w:lang w:val="en-US" w:eastAsia="zh-CN" w:bidi="ar-SA"/>
        </w:rPr>
      </w:pPr>
      <w:r>
        <w:rPr>
          <w:rFonts w:hint="eastAsia"/>
          <w:color w:val="auto"/>
          <w:sz w:val="24"/>
          <w:shd w:val="clear" w:color="auto" w:fill="auto"/>
          <w:lang w:eastAsia="zh-CN"/>
        </w:rPr>
        <w:t>（</w:t>
      </w:r>
      <w:r>
        <w:rPr>
          <w:rFonts w:hint="eastAsia"/>
          <w:color w:val="auto"/>
          <w:sz w:val="24"/>
          <w:shd w:val="clear" w:color="auto" w:fill="auto"/>
          <w:lang w:val="en-US" w:eastAsia="zh-CN"/>
        </w:rPr>
        <w:t>4</w:t>
      </w:r>
      <w:r>
        <w:rPr>
          <w:rFonts w:hint="eastAsia"/>
          <w:color w:val="auto"/>
          <w:sz w:val="24"/>
          <w:shd w:val="clear" w:color="auto" w:fill="auto"/>
          <w:lang w:eastAsia="zh-CN"/>
        </w:rPr>
        <w:t>）土壤、</w:t>
      </w:r>
      <w:r>
        <w:rPr>
          <w:rFonts w:hint="eastAsia"/>
          <w:color w:val="auto"/>
          <w:sz w:val="24"/>
          <w:shd w:val="clear" w:color="auto" w:fill="auto"/>
        </w:rPr>
        <w:t>底泥</w:t>
      </w:r>
      <w:r>
        <w:rPr>
          <w:color w:val="auto"/>
          <w:sz w:val="24"/>
          <w:shd w:val="clear" w:color="auto" w:fill="auto"/>
        </w:rPr>
        <w:t>环境</w:t>
      </w:r>
    </w:p>
    <w:p>
      <w:pPr>
        <w:ind w:firstLine="480"/>
        <w:rPr>
          <w:color w:val="auto"/>
          <w:sz w:val="24"/>
          <w:shd w:val="clear" w:color="auto" w:fill="auto"/>
        </w:rPr>
      </w:pPr>
      <w:r>
        <w:rPr>
          <w:rFonts w:hint="eastAsia"/>
          <w:color w:val="auto"/>
          <w:sz w:val="24"/>
          <w:shd w:val="clear" w:color="auto" w:fill="auto"/>
          <w:lang w:eastAsia="zh-CN"/>
        </w:rPr>
        <w:t>监测</w:t>
      </w:r>
      <w:r>
        <w:rPr>
          <w:color w:val="auto"/>
          <w:sz w:val="24"/>
          <w:shd w:val="clear" w:color="auto" w:fill="auto"/>
        </w:rPr>
        <w:t>结果表明，本工程</w:t>
      </w:r>
      <w:r>
        <w:rPr>
          <w:rFonts w:hint="eastAsia"/>
          <w:color w:val="auto"/>
          <w:sz w:val="24"/>
          <w:shd w:val="clear" w:color="auto" w:fill="auto"/>
          <w:lang w:eastAsia="zh-CN"/>
        </w:rPr>
        <w:t>疏浚区域底泥、抛泥区土壤</w:t>
      </w:r>
      <w:r>
        <w:rPr>
          <w:color w:val="auto"/>
          <w:sz w:val="24"/>
          <w:shd w:val="clear" w:color="auto" w:fill="auto"/>
        </w:rPr>
        <w:t xml:space="preserve">的现状监测指标均满足《土壤环境质量 </w:t>
      </w:r>
      <w:r>
        <w:rPr>
          <w:rFonts w:hint="eastAsia"/>
          <w:color w:val="auto"/>
          <w:sz w:val="24"/>
          <w:shd w:val="clear" w:color="auto" w:fill="auto"/>
          <w:lang w:val="en-US" w:eastAsia="zh-CN"/>
        </w:rPr>
        <w:t>建设用</w:t>
      </w:r>
      <w:r>
        <w:rPr>
          <w:color w:val="auto"/>
          <w:sz w:val="24"/>
          <w:shd w:val="clear" w:color="auto" w:fill="auto"/>
        </w:rPr>
        <w:t>地土壤污染风险管控标准（试行）》</w:t>
      </w:r>
      <w:r>
        <w:rPr>
          <w:rFonts w:hint="eastAsia"/>
          <w:color w:val="auto"/>
          <w:sz w:val="24"/>
          <w:shd w:val="clear" w:color="auto" w:fill="auto"/>
        </w:rPr>
        <w:t>（</w:t>
      </w:r>
      <w:r>
        <w:rPr>
          <w:color w:val="auto"/>
          <w:sz w:val="24"/>
          <w:shd w:val="clear" w:color="auto" w:fill="auto"/>
        </w:rPr>
        <w:t>GB</w:t>
      </w:r>
      <w:r>
        <w:rPr>
          <w:rFonts w:hint="eastAsia"/>
          <w:color w:val="auto"/>
          <w:sz w:val="24"/>
          <w:shd w:val="clear" w:color="auto" w:fill="auto"/>
          <w:lang w:val="en-US" w:eastAsia="zh-CN"/>
        </w:rPr>
        <w:t>36600</w:t>
      </w:r>
      <w:r>
        <w:rPr>
          <w:color w:val="auto"/>
          <w:sz w:val="24"/>
          <w:shd w:val="clear" w:color="auto" w:fill="auto"/>
        </w:rPr>
        <w:t>-</w:t>
      </w:r>
      <w:r>
        <w:rPr>
          <w:rFonts w:hint="eastAsia"/>
          <w:color w:val="auto"/>
          <w:sz w:val="24"/>
          <w:shd w:val="clear" w:color="auto" w:fill="auto"/>
        </w:rPr>
        <w:t>2018）</w:t>
      </w:r>
      <w:r>
        <w:rPr>
          <w:rFonts w:hint="eastAsia" w:hAnsi="宋体"/>
          <w:bCs/>
          <w:color w:val="auto"/>
          <w:kern w:val="0"/>
          <w:sz w:val="24"/>
          <w:shd w:val="clear" w:color="auto" w:fill="auto"/>
        </w:rPr>
        <w:t>中</w:t>
      </w:r>
      <w:r>
        <w:rPr>
          <w:rFonts w:hint="eastAsia"/>
          <w:color w:val="auto"/>
          <w:sz w:val="24"/>
          <w:shd w:val="clear" w:color="auto" w:fill="auto"/>
        </w:rPr>
        <w:t>表1第二类用地</w:t>
      </w:r>
      <w:r>
        <w:rPr>
          <w:color w:val="auto"/>
          <w:sz w:val="24"/>
          <w:shd w:val="clear" w:color="auto" w:fill="auto"/>
        </w:rPr>
        <w:t>标准。</w:t>
      </w:r>
    </w:p>
    <w:p>
      <w:pPr>
        <w:spacing w:line="460" w:lineRule="exact"/>
        <w:ind w:firstLine="480" w:firstLineChars="200"/>
        <w:rPr>
          <w:color w:val="auto"/>
          <w:sz w:val="24"/>
          <w:shd w:val="clear" w:color="auto" w:fill="auto"/>
        </w:rPr>
      </w:pPr>
      <w:r>
        <w:rPr>
          <w:rFonts w:hint="eastAsia"/>
          <w:color w:val="auto"/>
          <w:sz w:val="24"/>
          <w:shd w:val="clear" w:color="auto" w:fill="auto"/>
        </w:rPr>
        <w:t>（</w:t>
      </w:r>
      <w:r>
        <w:rPr>
          <w:rFonts w:hint="eastAsia"/>
          <w:color w:val="auto"/>
          <w:sz w:val="24"/>
          <w:shd w:val="clear" w:color="auto" w:fill="auto"/>
          <w:lang w:val="en-US" w:eastAsia="zh-CN"/>
        </w:rPr>
        <w:t>5</w:t>
      </w:r>
      <w:r>
        <w:rPr>
          <w:rFonts w:hint="eastAsia"/>
          <w:color w:val="auto"/>
          <w:sz w:val="24"/>
          <w:shd w:val="clear" w:color="auto" w:fill="auto"/>
        </w:rPr>
        <w:t>）生态环境</w:t>
      </w:r>
      <w:r>
        <w:rPr>
          <w:color w:val="auto"/>
          <w:sz w:val="24"/>
          <w:shd w:val="clear" w:color="auto" w:fill="auto"/>
        </w:rPr>
        <w:t>现状</w:t>
      </w:r>
    </w:p>
    <w:p>
      <w:pPr>
        <w:spacing w:line="360" w:lineRule="auto"/>
        <w:ind w:firstLine="480" w:firstLineChars="200"/>
        <w:rPr>
          <w:color w:val="auto"/>
          <w:shd w:val="clear" w:color="auto" w:fill="auto"/>
        </w:rPr>
      </w:pPr>
      <w:r>
        <w:rPr>
          <w:color w:val="auto"/>
          <w:sz w:val="24"/>
          <w:shd w:val="clear" w:color="auto" w:fill="auto"/>
        </w:rPr>
        <w:t>经初步调查，在项目建设区域内，没有自然保护区、生态功能区、森林公园分布，也没有重要的历史和文化遗址。也没有鱼类</w:t>
      </w:r>
      <w:r>
        <w:rPr>
          <w:rFonts w:ascii="宋体" w:hAnsi="宋体"/>
          <w:color w:val="auto"/>
          <w:sz w:val="24"/>
          <w:shd w:val="clear" w:color="auto" w:fill="auto"/>
        </w:rPr>
        <w:t>“三场”</w:t>
      </w:r>
      <w:r>
        <w:rPr>
          <w:color w:val="auto"/>
          <w:sz w:val="24"/>
          <w:shd w:val="clear" w:color="auto" w:fill="auto"/>
        </w:rPr>
        <w:t>分布。</w:t>
      </w:r>
    </w:p>
    <w:p>
      <w:pPr>
        <w:pStyle w:val="4"/>
        <w:bidi w:val="0"/>
        <w:rPr>
          <w:color w:val="auto"/>
          <w:shd w:val="clear" w:color="auto" w:fill="auto"/>
        </w:rPr>
      </w:pPr>
      <w:bookmarkStart w:id="501" w:name="_Toc13018"/>
      <w:bookmarkStart w:id="502" w:name="_Toc26193_WPSOffice_Level2"/>
      <w:bookmarkStart w:id="503" w:name="_Toc8571_WPSOffice_Level2"/>
      <w:r>
        <w:rPr>
          <w:rFonts w:hint="eastAsia"/>
          <w:color w:val="auto"/>
          <w:shd w:val="clear" w:color="auto" w:fill="auto"/>
          <w:lang w:val="en-US" w:eastAsia="zh-CN"/>
        </w:rPr>
        <w:t>9</w:t>
      </w:r>
      <w:r>
        <w:rPr>
          <w:rFonts w:hint="eastAsia"/>
          <w:color w:val="auto"/>
          <w:shd w:val="clear" w:color="auto" w:fill="auto"/>
        </w:rPr>
        <w:t xml:space="preserve">.4 </w:t>
      </w:r>
      <w:r>
        <w:rPr>
          <w:color w:val="auto"/>
          <w:shd w:val="clear" w:color="auto" w:fill="auto"/>
        </w:rPr>
        <w:t>环境影响评价</w:t>
      </w:r>
      <w:r>
        <w:rPr>
          <w:rFonts w:hint="eastAsia"/>
          <w:color w:val="auto"/>
          <w:shd w:val="clear" w:color="auto" w:fill="auto"/>
        </w:rPr>
        <w:t>结论</w:t>
      </w:r>
      <w:bookmarkEnd w:id="501"/>
      <w:bookmarkEnd w:id="502"/>
      <w:bookmarkEnd w:id="503"/>
    </w:p>
    <w:p>
      <w:pPr>
        <w:pStyle w:val="5"/>
        <w:bidi w:val="0"/>
        <w:rPr>
          <w:color w:val="auto"/>
          <w:shd w:val="clear" w:color="auto" w:fill="auto"/>
        </w:rPr>
      </w:pPr>
      <w:bookmarkStart w:id="504" w:name="_Toc25424"/>
      <w:r>
        <w:rPr>
          <w:rFonts w:hint="eastAsia"/>
          <w:color w:val="auto"/>
          <w:shd w:val="clear" w:color="auto" w:fill="auto"/>
          <w:lang w:val="en-US" w:eastAsia="zh-CN"/>
        </w:rPr>
        <w:t>9</w:t>
      </w:r>
      <w:r>
        <w:rPr>
          <w:rFonts w:hint="eastAsia"/>
          <w:color w:val="auto"/>
          <w:shd w:val="clear" w:color="auto" w:fill="auto"/>
        </w:rPr>
        <w:t xml:space="preserve">.4.1 </w:t>
      </w:r>
      <w:r>
        <w:rPr>
          <w:color w:val="auto"/>
          <w:shd w:val="clear" w:color="auto" w:fill="auto"/>
        </w:rPr>
        <w:t>施工期环境影响评价</w:t>
      </w:r>
      <w:bookmarkEnd w:id="504"/>
    </w:p>
    <w:p>
      <w:pPr>
        <w:numPr>
          <w:ilvl w:val="0"/>
          <w:numId w:val="12"/>
        </w:numPr>
        <w:ind w:firstLine="480"/>
        <w:rPr>
          <w:color w:val="auto"/>
          <w:shd w:val="clear" w:color="auto" w:fill="auto"/>
        </w:rPr>
      </w:pPr>
      <w:r>
        <w:rPr>
          <w:rFonts w:hint="eastAsia"/>
          <w:color w:val="auto"/>
          <w:shd w:val="clear" w:color="auto" w:fill="auto"/>
        </w:rPr>
        <w:t>环境空气影响</w:t>
      </w:r>
    </w:p>
    <w:p>
      <w:pPr>
        <w:ind w:firstLine="480"/>
        <w:rPr>
          <w:color w:val="auto"/>
          <w:shd w:val="clear" w:color="auto" w:fill="auto"/>
        </w:rPr>
      </w:pPr>
      <w:r>
        <w:rPr>
          <w:rFonts w:hint="eastAsia"/>
          <w:color w:val="auto"/>
          <w:shd w:val="clear" w:color="auto" w:fill="auto"/>
        </w:rPr>
        <w:t>本项目施工期对环境空气的影响主要是施工扬尘和车船废气。但工程施工是暂时的，随着施工期的结束，这种影响也随之结束。采取保持路面清洁、地面洒水、设置围挡、加强车船保养等措施后，可以将污染物的排放量控制在一定范围内，有效降低大气污染物对环境空气的影响。</w:t>
      </w:r>
    </w:p>
    <w:p>
      <w:pPr>
        <w:pStyle w:val="12"/>
        <w:ind w:firstLine="480"/>
        <w:rPr>
          <w:color w:val="auto"/>
          <w:shd w:val="clear" w:color="auto" w:fill="auto"/>
        </w:rPr>
      </w:pPr>
      <w:r>
        <w:rPr>
          <w:rFonts w:hint="eastAsia"/>
          <w:color w:val="auto"/>
          <w:shd w:val="clear" w:color="auto" w:fill="auto"/>
        </w:rPr>
        <w:t>2、</w:t>
      </w:r>
      <w:r>
        <w:rPr>
          <w:color w:val="auto"/>
          <w:shd w:val="clear" w:color="auto" w:fill="auto"/>
        </w:rPr>
        <w:t>水环境影响</w:t>
      </w:r>
    </w:p>
    <w:p>
      <w:pPr>
        <w:pStyle w:val="12"/>
        <w:ind w:firstLine="480"/>
        <w:rPr>
          <w:color w:val="auto"/>
          <w:shd w:val="clear" w:color="auto" w:fill="auto"/>
        </w:rPr>
      </w:pPr>
      <w:r>
        <w:rPr>
          <w:color w:val="auto"/>
          <w:shd w:val="clear" w:color="auto" w:fill="auto"/>
        </w:rPr>
        <w:t>施工期废水污染源主要有：</w:t>
      </w:r>
      <w:r>
        <w:rPr>
          <w:rFonts w:hint="eastAsia"/>
          <w:color w:val="auto"/>
          <w:shd w:val="clear" w:color="auto" w:fill="auto"/>
        </w:rPr>
        <w:t>港池疏浚及</w:t>
      </w:r>
      <w:r>
        <w:rPr>
          <w:color w:val="auto"/>
          <w:shd w:val="clear" w:color="auto" w:fill="auto"/>
        </w:rPr>
        <w:t>水域施工对</w:t>
      </w:r>
      <w:r>
        <w:rPr>
          <w:rFonts w:hint="eastAsia"/>
          <w:color w:val="auto"/>
          <w:shd w:val="clear" w:color="auto" w:fill="auto"/>
          <w:lang w:val="en-US" w:eastAsia="zh-CN"/>
        </w:rPr>
        <w:t>沙颍河</w:t>
      </w:r>
      <w:r>
        <w:rPr>
          <w:color w:val="auto"/>
          <w:shd w:val="clear" w:color="auto" w:fill="auto"/>
        </w:rPr>
        <w:t>扰动的环境影响、施工船舶污水、施工场地机械、车辆冲洗废水以及施工人员生活污水。</w:t>
      </w:r>
    </w:p>
    <w:p>
      <w:pPr>
        <w:pStyle w:val="12"/>
        <w:ind w:firstLine="480"/>
        <w:rPr>
          <w:color w:val="auto"/>
          <w:shd w:val="clear" w:color="auto" w:fill="auto"/>
        </w:rPr>
      </w:pPr>
      <w:r>
        <w:rPr>
          <w:color w:val="auto"/>
          <w:shd w:val="clear" w:color="auto" w:fill="auto"/>
        </w:rPr>
        <w:t>①</w:t>
      </w:r>
      <w:r>
        <w:rPr>
          <w:rFonts w:hint="eastAsia"/>
          <w:color w:val="auto"/>
          <w:shd w:val="clear" w:color="auto" w:fill="auto"/>
        </w:rPr>
        <w:t>港池疏浚及</w:t>
      </w:r>
      <w:r>
        <w:rPr>
          <w:color w:val="auto"/>
          <w:shd w:val="clear" w:color="auto" w:fill="auto"/>
        </w:rPr>
        <w:t>水域施工对</w:t>
      </w:r>
      <w:r>
        <w:rPr>
          <w:rFonts w:hint="eastAsia"/>
          <w:color w:val="auto"/>
          <w:shd w:val="clear" w:color="auto" w:fill="auto"/>
          <w:lang w:val="en-US" w:eastAsia="zh-CN"/>
        </w:rPr>
        <w:t>沙颍河</w:t>
      </w:r>
      <w:r>
        <w:rPr>
          <w:color w:val="auto"/>
          <w:shd w:val="clear" w:color="auto" w:fill="auto"/>
        </w:rPr>
        <w:t>扰动的环境影响</w:t>
      </w:r>
    </w:p>
    <w:p>
      <w:pPr>
        <w:pStyle w:val="12"/>
        <w:ind w:firstLine="480"/>
        <w:rPr>
          <w:color w:val="auto"/>
          <w:shd w:val="clear" w:color="auto" w:fill="auto"/>
        </w:rPr>
      </w:pPr>
      <w:r>
        <w:rPr>
          <w:color w:val="auto"/>
          <w:shd w:val="clear" w:color="auto" w:fill="auto"/>
        </w:rPr>
        <w:t>建设项目</w:t>
      </w:r>
      <w:r>
        <w:rPr>
          <w:rFonts w:hint="eastAsia"/>
          <w:color w:val="auto"/>
          <w:shd w:val="clear" w:color="auto" w:fill="auto"/>
        </w:rPr>
        <w:t>港池疏浚及</w:t>
      </w:r>
      <w:r>
        <w:rPr>
          <w:color w:val="auto"/>
          <w:shd w:val="clear" w:color="auto" w:fill="auto"/>
        </w:rPr>
        <w:t>水域施工作业计划在</w:t>
      </w:r>
      <w:r>
        <w:rPr>
          <w:rFonts w:hint="eastAsia"/>
          <w:color w:val="auto"/>
          <w:shd w:val="clear" w:color="auto" w:fill="auto"/>
          <w:lang w:val="en-US" w:eastAsia="zh-CN"/>
        </w:rPr>
        <w:t>沙颍河</w:t>
      </w:r>
      <w:r>
        <w:rPr>
          <w:color w:val="auto"/>
          <w:shd w:val="clear" w:color="auto" w:fill="auto"/>
        </w:rPr>
        <w:t>的枯水期，对河流水质产生影响</w:t>
      </w:r>
      <w:r>
        <w:rPr>
          <w:rFonts w:hint="eastAsia"/>
          <w:color w:val="auto"/>
          <w:shd w:val="clear" w:color="auto" w:fill="auto"/>
        </w:rPr>
        <w:t>较小</w:t>
      </w:r>
      <w:r>
        <w:rPr>
          <w:color w:val="auto"/>
          <w:shd w:val="clear" w:color="auto" w:fill="auto"/>
        </w:rPr>
        <w:t>。</w:t>
      </w:r>
    </w:p>
    <w:p>
      <w:pPr>
        <w:pStyle w:val="12"/>
        <w:ind w:firstLine="480"/>
        <w:rPr>
          <w:color w:val="auto"/>
          <w:shd w:val="clear" w:color="auto" w:fill="auto"/>
        </w:rPr>
      </w:pPr>
      <w:r>
        <w:rPr>
          <w:color w:val="auto"/>
          <w:shd w:val="clear" w:color="auto" w:fill="auto"/>
        </w:rPr>
        <w:t>②施工船舶舱底油污水和生活污水影响</w:t>
      </w:r>
    </w:p>
    <w:p>
      <w:pPr>
        <w:pStyle w:val="12"/>
        <w:ind w:firstLine="480"/>
        <w:rPr>
          <w:color w:val="auto"/>
          <w:shd w:val="clear" w:color="auto" w:fill="auto"/>
        </w:rPr>
      </w:pPr>
      <w:r>
        <w:rPr>
          <w:color w:val="auto"/>
          <w:shd w:val="clear" w:color="auto" w:fill="auto"/>
        </w:rPr>
        <w:t>本项目船舶生活污水和施工船舶舱底油污水发生量相对较小，交由海事部门认可的有资质的接收</w:t>
      </w:r>
      <w:r>
        <w:rPr>
          <w:rFonts w:hint="eastAsia"/>
          <w:color w:val="auto"/>
          <w:shd w:val="clear" w:color="auto" w:fill="auto"/>
          <w:lang w:eastAsia="zh-CN"/>
        </w:rPr>
        <w:t>单位</w:t>
      </w:r>
      <w:r>
        <w:rPr>
          <w:color w:val="auto"/>
          <w:shd w:val="clear" w:color="auto" w:fill="auto"/>
        </w:rPr>
        <w:t>接收处理，同时对施工船舶加强管理，尽可能避免或减少舱底漏油的发生，通过收集处理后对水环境基本不产生污染影响。</w:t>
      </w:r>
    </w:p>
    <w:p>
      <w:pPr>
        <w:pStyle w:val="12"/>
        <w:ind w:firstLine="480"/>
        <w:rPr>
          <w:color w:val="auto"/>
          <w:shd w:val="clear" w:color="auto" w:fill="auto"/>
        </w:rPr>
      </w:pPr>
      <w:r>
        <w:rPr>
          <w:color w:val="auto"/>
          <w:shd w:val="clear" w:color="auto" w:fill="auto"/>
        </w:rPr>
        <w:t>③施工场地机械、车辆冲洗废水影响</w:t>
      </w:r>
    </w:p>
    <w:p>
      <w:pPr>
        <w:pStyle w:val="12"/>
        <w:ind w:firstLine="480"/>
        <w:rPr>
          <w:color w:val="auto"/>
          <w:shd w:val="clear" w:color="auto" w:fill="auto"/>
        </w:rPr>
      </w:pPr>
      <w:r>
        <w:rPr>
          <w:color w:val="auto"/>
          <w:shd w:val="clear" w:color="auto" w:fill="auto"/>
        </w:rPr>
        <w:t>机械或车辆的冲洗应定点，并修建临时沉淀池对冲洗废水进行处理。通过采取措施，施工场地机械、车辆冲洗废水对地表水基本不会产生影响。</w:t>
      </w:r>
    </w:p>
    <w:p>
      <w:pPr>
        <w:pStyle w:val="12"/>
        <w:ind w:firstLine="480"/>
        <w:rPr>
          <w:color w:val="auto"/>
          <w:shd w:val="clear" w:color="auto" w:fill="auto"/>
        </w:rPr>
      </w:pPr>
      <w:r>
        <w:rPr>
          <w:color w:val="auto"/>
          <w:shd w:val="clear" w:color="auto" w:fill="auto"/>
        </w:rPr>
        <w:t>④施工人员生活污水影响</w:t>
      </w:r>
    </w:p>
    <w:p>
      <w:pPr>
        <w:pStyle w:val="12"/>
        <w:ind w:firstLine="480"/>
        <w:rPr>
          <w:color w:val="auto"/>
          <w:shd w:val="clear" w:color="auto" w:fill="auto"/>
        </w:rPr>
      </w:pPr>
      <w:r>
        <w:rPr>
          <w:color w:val="auto"/>
          <w:shd w:val="clear" w:color="auto" w:fill="auto"/>
        </w:rPr>
        <w:t>施工人员生活污水</w:t>
      </w:r>
      <w:r>
        <w:rPr>
          <w:rFonts w:hint="eastAsia"/>
          <w:color w:val="auto"/>
          <w:shd w:val="clear" w:color="auto" w:fill="auto"/>
          <w:lang w:val="en-US" w:eastAsia="zh-CN"/>
        </w:rPr>
        <w:t>可</w:t>
      </w:r>
      <w:r>
        <w:rPr>
          <w:rFonts w:hint="eastAsia"/>
          <w:color w:val="auto"/>
          <w:shd w:val="clear" w:color="auto" w:fill="auto"/>
        </w:rPr>
        <w:t>设立</w:t>
      </w:r>
      <w:r>
        <w:rPr>
          <w:rFonts w:hint="eastAsia"/>
          <w:color w:val="auto"/>
          <w:shd w:val="clear" w:color="auto" w:fill="auto"/>
          <w:lang w:val="en-US" w:eastAsia="zh-CN"/>
        </w:rPr>
        <w:t>临时旱厕1座</w:t>
      </w:r>
      <w:r>
        <w:rPr>
          <w:color w:val="auto"/>
          <w:shd w:val="clear" w:color="auto" w:fill="auto"/>
        </w:rPr>
        <w:t>，</w:t>
      </w:r>
      <w:r>
        <w:rPr>
          <w:rFonts w:hint="eastAsia"/>
          <w:color w:val="auto"/>
          <w:shd w:val="clear" w:color="auto" w:fill="auto"/>
        </w:rPr>
        <w:t>粪便定期清理肥田，污水不直接排入</w:t>
      </w:r>
      <w:r>
        <w:rPr>
          <w:rFonts w:hint="eastAsia"/>
          <w:color w:val="auto"/>
          <w:shd w:val="clear" w:color="auto" w:fill="auto"/>
          <w:lang w:val="en-US" w:eastAsia="zh-CN"/>
        </w:rPr>
        <w:t>沙颍河</w:t>
      </w:r>
      <w:r>
        <w:rPr>
          <w:rFonts w:hint="eastAsia"/>
          <w:color w:val="auto"/>
          <w:shd w:val="clear" w:color="auto" w:fill="auto"/>
        </w:rPr>
        <w:t>，</w:t>
      </w:r>
      <w:r>
        <w:rPr>
          <w:color w:val="auto"/>
          <w:shd w:val="clear" w:color="auto" w:fill="auto"/>
        </w:rPr>
        <w:t>不会对地表水环境质量产生影响。</w:t>
      </w:r>
    </w:p>
    <w:p>
      <w:pPr>
        <w:pStyle w:val="12"/>
        <w:ind w:firstLine="480"/>
        <w:rPr>
          <w:color w:val="auto"/>
          <w:shd w:val="clear" w:color="auto" w:fill="auto"/>
        </w:rPr>
      </w:pPr>
      <w:r>
        <w:rPr>
          <w:color w:val="auto"/>
          <w:shd w:val="clear" w:color="auto" w:fill="auto"/>
        </w:rPr>
        <w:t>施工期各类废水均可得到妥善处置，对地表水环境影响不大。</w:t>
      </w:r>
    </w:p>
    <w:p>
      <w:pPr>
        <w:pStyle w:val="12"/>
        <w:ind w:left="480" w:leftChars="200" w:firstLine="0" w:firstLineChars="0"/>
        <w:rPr>
          <w:color w:val="auto"/>
          <w:shd w:val="clear" w:color="auto" w:fill="auto"/>
        </w:rPr>
      </w:pPr>
      <w:r>
        <w:rPr>
          <w:rFonts w:hint="eastAsia"/>
          <w:color w:val="auto"/>
          <w:shd w:val="clear" w:color="auto" w:fill="auto"/>
        </w:rPr>
        <w:t>3、噪声影响</w:t>
      </w:r>
    </w:p>
    <w:p>
      <w:pPr>
        <w:ind w:firstLine="480"/>
        <w:rPr>
          <w:rFonts w:hint="eastAsia"/>
          <w:color w:val="auto"/>
          <w:highlight w:val="none"/>
          <w:shd w:val="clear" w:color="auto" w:fill="auto"/>
        </w:rPr>
      </w:pPr>
      <w:r>
        <w:rPr>
          <w:rFonts w:hint="eastAsia"/>
          <w:color w:val="auto"/>
          <w:highlight w:val="none"/>
          <w:shd w:val="clear" w:color="auto" w:fill="auto"/>
        </w:rPr>
        <w:t>根据预测结果，多台施工机械同时施工时，昼间在65</w:t>
      </w:r>
      <w:r>
        <w:rPr>
          <w:rFonts w:hint="eastAsia"/>
          <w:color w:val="auto"/>
          <w:highlight w:val="none"/>
          <w:shd w:val="clear" w:color="auto" w:fill="auto"/>
          <w:lang w:eastAsia="zh-CN"/>
        </w:rPr>
        <w:t>m</w:t>
      </w:r>
      <w:r>
        <w:rPr>
          <w:rFonts w:hint="eastAsia"/>
          <w:color w:val="auto"/>
          <w:highlight w:val="none"/>
          <w:shd w:val="clear" w:color="auto" w:fill="auto"/>
        </w:rPr>
        <w:t>处，夜间在368</w:t>
      </w:r>
      <w:r>
        <w:rPr>
          <w:rFonts w:hint="eastAsia"/>
          <w:color w:val="auto"/>
          <w:highlight w:val="none"/>
          <w:shd w:val="clear" w:color="auto" w:fill="auto"/>
          <w:lang w:eastAsia="zh-CN"/>
        </w:rPr>
        <w:t>m</w:t>
      </w:r>
      <w:r>
        <w:rPr>
          <w:rFonts w:hint="eastAsia"/>
          <w:color w:val="auto"/>
          <w:highlight w:val="none"/>
          <w:shd w:val="clear" w:color="auto" w:fill="auto"/>
        </w:rPr>
        <w:t>处可满足标准要求，可见，夜间施工噪声影响很大。</w:t>
      </w:r>
    </w:p>
    <w:p>
      <w:pPr>
        <w:ind w:firstLine="480"/>
        <w:rPr>
          <w:rFonts w:hint="eastAsia"/>
          <w:color w:val="auto"/>
          <w:highlight w:val="none"/>
          <w:shd w:val="clear" w:color="auto" w:fill="auto"/>
        </w:rPr>
      </w:pPr>
      <w:r>
        <w:rPr>
          <w:rFonts w:hint="eastAsia"/>
          <w:color w:val="auto"/>
          <w:highlight w:val="none"/>
          <w:shd w:val="clear" w:color="auto" w:fill="auto"/>
        </w:rPr>
        <w:t>由于</w:t>
      </w:r>
      <w:r>
        <w:rPr>
          <w:rFonts w:hint="eastAsia"/>
          <w:color w:val="auto"/>
          <w:highlight w:val="none"/>
          <w:shd w:val="clear" w:color="auto" w:fill="auto"/>
          <w:lang w:eastAsia="zh-CN"/>
        </w:rPr>
        <w:t>项目施工期噪声影响</w:t>
      </w:r>
      <w:r>
        <w:rPr>
          <w:rFonts w:hint="eastAsia"/>
          <w:color w:val="auto"/>
          <w:highlight w:val="none"/>
          <w:shd w:val="clear" w:color="auto" w:fill="auto"/>
        </w:rPr>
        <w:t>范围内有</w:t>
      </w:r>
      <w:r>
        <w:rPr>
          <w:rFonts w:hint="eastAsia"/>
          <w:color w:val="auto"/>
          <w:highlight w:val="none"/>
          <w:shd w:val="clear" w:color="auto" w:fill="auto"/>
          <w:lang w:val="en-US" w:eastAsia="zh-CN"/>
        </w:rPr>
        <w:t>2</w:t>
      </w:r>
      <w:r>
        <w:rPr>
          <w:rFonts w:hint="eastAsia"/>
          <w:color w:val="auto"/>
          <w:highlight w:val="none"/>
          <w:shd w:val="clear" w:color="auto" w:fill="auto"/>
        </w:rPr>
        <w:t>处声环境敏感点</w:t>
      </w:r>
      <w:r>
        <w:rPr>
          <w:rFonts w:hint="eastAsia"/>
          <w:color w:val="auto"/>
          <w:highlight w:val="none"/>
          <w:shd w:val="clear" w:color="auto" w:fill="auto"/>
          <w:lang w:eastAsia="zh-CN"/>
        </w:rPr>
        <w:t>（后陶桥</w:t>
      </w:r>
      <w:r>
        <w:rPr>
          <w:rFonts w:hint="eastAsia"/>
          <w:color w:val="auto"/>
          <w:highlight w:val="none"/>
          <w:shd w:val="clear" w:color="auto" w:fill="auto"/>
          <w:lang w:val="en-US" w:eastAsia="zh-CN"/>
        </w:rPr>
        <w:t>70m、玫瑰园沿346m</w:t>
      </w:r>
      <w:r>
        <w:rPr>
          <w:rFonts w:hint="eastAsia"/>
          <w:color w:val="auto"/>
          <w:highlight w:val="none"/>
          <w:shd w:val="clear" w:color="auto" w:fill="auto"/>
          <w:lang w:eastAsia="zh-CN"/>
        </w:rPr>
        <w:t>），</w:t>
      </w:r>
      <w:r>
        <w:rPr>
          <w:rFonts w:hint="eastAsia"/>
          <w:color w:val="auto"/>
          <w:highlight w:val="none"/>
          <w:shd w:val="clear" w:color="auto" w:fill="auto"/>
        </w:rPr>
        <w:t>工程施工的周期相对较长、施工机械较多，距本工程较近的居民受噪声影响较大，但这种影响多限于夜间，故施工单位尽量减少夜间作业，必要时在敏感点一侧设置移动声屏障，施工期在协调工程建设与周围居民生活的前提下，不会对附近居民生活产生明显影响。</w:t>
      </w:r>
    </w:p>
    <w:p>
      <w:pPr>
        <w:pStyle w:val="12"/>
        <w:ind w:firstLine="480"/>
        <w:rPr>
          <w:color w:val="auto"/>
          <w:shd w:val="clear" w:color="auto" w:fill="auto"/>
        </w:rPr>
      </w:pPr>
      <w:r>
        <w:rPr>
          <w:rFonts w:hint="eastAsia"/>
          <w:color w:val="auto"/>
          <w:shd w:val="clear" w:color="auto" w:fill="auto"/>
        </w:rPr>
        <w:t>4、</w:t>
      </w:r>
      <w:r>
        <w:rPr>
          <w:color w:val="auto"/>
          <w:shd w:val="clear" w:color="auto" w:fill="auto"/>
        </w:rPr>
        <w:t>固废影响</w:t>
      </w:r>
    </w:p>
    <w:p>
      <w:pPr>
        <w:ind w:firstLine="480"/>
        <w:rPr>
          <w:color w:val="auto"/>
          <w:shd w:val="clear" w:color="auto" w:fill="auto"/>
        </w:rPr>
      </w:pPr>
      <w:r>
        <w:rPr>
          <w:rFonts w:hint="eastAsia"/>
          <w:color w:val="auto"/>
          <w:shd w:val="clear" w:color="auto" w:fill="auto"/>
        </w:rPr>
        <w:t>本项目施工期固体废物主要包括工程弃土、建筑垃圾和生活垃圾、施工船舶垃圾。</w:t>
      </w:r>
    </w:p>
    <w:p>
      <w:pPr>
        <w:pStyle w:val="2"/>
        <w:ind w:firstLine="480"/>
        <w:rPr>
          <w:color w:val="auto"/>
          <w:shd w:val="clear" w:color="auto" w:fill="auto"/>
        </w:rPr>
      </w:pPr>
      <w:r>
        <w:rPr>
          <w:rFonts w:hint="eastAsia"/>
          <w:color w:val="auto"/>
          <w:shd w:val="clear" w:color="auto" w:fill="auto"/>
        </w:rPr>
        <w:t>施工活动中产生的固体废物主要有工程弃土、废弃的碎砖、石、砼、冲洗残渣、各类建材的包装箱、袋及生活垃圾等。建设单位应根据《建筑垃圾和工程渣土处置管理规定》要求，于开工前向渣土管理部门申报建筑垃圾和工程渣土处置计划，获批后再进行。施工过程中的建筑垃圾应进行必要的分类，以便回收可以二次利用的废物；不能利用的建筑垃圾要及时清运至专门的建筑垃圾堆放场地堆置，避免任意堆弃影响土地利用及造成二次污染等。</w:t>
      </w:r>
    </w:p>
    <w:p>
      <w:pPr>
        <w:pStyle w:val="2"/>
        <w:ind w:firstLine="480"/>
        <w:rPr>
          <w:color w:val="auto"/>
          <w:shd w:val="clear" w:color="auto" w:fill="auto"/>
        </w:rPr>
      </w:pPr>
      <w:r>
        <w:rPr>
          <w:rFonts w:hint="eastAsia"/>
          <w:color w:val="auto"/>
          <w:shd w:val="clear" w:color="auto" w:fill="auto"/>
        </w:rPr>
        <w:t>施工船舶垃圾包括船舶保养垃圾和生活垃圾，施工船舶保养垃圾废弃机器零件、脱落的漆皮和铁屑、船舶机械设备旁边的沉积物、更新的绳索等，应交由海事局认定的船舶污染物接收</w:t>
      </w:r>
      <w:r>
        <w:rPr>
          <w:rFonts w:hint="eastAsia"/>
          <w:color w:val="auto"/>
          <w:shd w:val="clear" w:color="auto" w:fill="auto"/>
          <w:lang w:eastAsia="zh-CN"/>
        </w:rPr>
        <w:t>单位</w:t>
      </w:r>
      <w:r>
        <w:rPr>
          <w:rFonts w:hint="eastAsia"/>
          <w:color w:val="auto"/>
          <w:shd w:val="clear" w:color="auto" w:fill="auto"/>
        </w:rPr>
        <w:t>接收处理。施工船舶生活垃圾与施工人员生活垃圾一起交由环卫部门处置。</w:t>
      </w:r>
    </w:p>
    <w:p>
      <w:pPr>
        <w:ind w:firstLine="480"/>
        <w:rPr>
          <w:color w:val="auto"/>
          <w:shd w:val="clear" w:color="auto" w:fill="auto"/>
        </w:rPr>
      </w:pPr>
      <w:r>
        <w:rPr>
          <w:color w:val="auto"/>
          <w:shd w:val="clear" w:color="auto" w:fill="auto"/>
        </w:rPr>
        <w:t>采取上述措施后施工期产生的固废对环境的影响较小。</w:t>
      </w:r>
    </w:p>
    <w:p>
      <w:pPr>
        <w:ind w:firstLine="480"/>
        <w:rPr>
          <w:color w:val="auto"/>
          <w:shd w:val="clear" w:color="auto" w:fill="auto"/>
        </w:rPr>
      </w:pPr>
      <w:r>
        <w:rPr>
          <w:rFonts w:hint="eastAsia"/>
          <w:color w:val="auto"/>
          <w:shd w:val="clear" w:color="auto" w:fill="auto"/>
        </w:rPr>
        <w:t>5、</w:t>
      </w:r>
      <w:r>
        <w:rPr>
          <w:color w:val="auto"/>
          <w:shd w:val="clear" w:color="auto" w:fill="auto"/>
        </w:rPr>
        <w:t>生态环境影响</w:t>
      </w:r>
    </w:p>
    <w:p>
      <w:pPr>
        <w:ind w:firstLine="480"/>
        <w:rPr>
          <w:color w:val="auto"/>
          <w:shd w:val="clear" w:color="auto" w:fill="auto"/>
        </w:rPr>
      </w:pPr>
      <w:r>
        <w:rPr>
          <w:color w:val="auto"/>
          <w:shd w:val="clear" w:color="auto" w:fill="auto"/>
        </w:rPr>
        <w:t>经调查，拟建项目</w:t>
      </w:r>
      <w:r>
        <w:rPr>
          <w:rFonts w:hint="eastAsia"/>
          <w:color w:val="auto"/>
          <w:shd w:val="clear" w:color="auto" w:fill="auto"/>
          <w:lang w:val="en-US" w:eastAsia="zh-CN"/>
        </w:rPr>
        <w:t>不涉及</w:t>
      </w:r>
      <w:r>
        <w:rPr>
          <w:color w:val="auto"/>
          <w:shd w:val="clear" w:color="auto" w:fill="auto"/>
        </w:rPr>
        <w:t>自然保护区、生态功能区、森林公园分布，项目陆域范围内无珍稀野生动物、水域范围内无渔业三场（鱼、虾、蟹、贝的产卵场、索饵场、越冬场）。</w:t>
      </w:r>
    </w:p>
    <w:p>
      <w:pPr>
        <w:ind w:firstLine="480"/>
        <w:rPr>
          <w:color w:val="auto"/>
          <w:shd w:val="clear" w:color="auto" w:fill="auto"/>
        </w:rPr>
      </w:pPr>
      <w:r>
        <w:rPr>
          <w:color w:val="auto"/>
          <w:shd w:val="clear" w:color="auto" w:fill="auto"/>
        </w:rPr>
        <w:t>码头建设对生态环境的影响主要来自由于土地利用格局的变化而改变了原有的生态系统功能和结构，使生物丧失了部分栖息地，施工造成了水体中悬浮物质的增加影响了水体的透光性，进而影响了浮游植物的光合作用，对渔业资源也带来了一定的不利影响。施工期的影响会随着施工结束而逐渐恢复。施工结束运营一段时间后，生物种群数量、群落结构、生物量会趋于增加，使生态系统恢复生机。</w:t>
      </w:r>
    </w:p>
    <w:p>
      <w:pPr>
        <w:pStyle w:val="5"/>
        <w:rPr>
          <w:color w:val="auto"/>
          <w:highlight w:val="none"/>
          <w:shd w:val="clear" w:color="auto" w:fill="auto"/>
        </w:rPr>
      </w:pPr>
      <w:bookmarkStart w:id="505" w:name="_Toc30618"/>
      <w:r>
        <w:rPr>
          <w:rFonts w:hint="eastAsia"/>
          <w:color w:val="auto"/>
          <w:highlight w:val="none"/>
          <w:shd w:val="clear" w:color="auto" w:fill="auto"/>
          <w:lang w:val="en-US" w:eastAsia="zh-CN"/>
        </w:rPr>
        <w:t>9</w:t>
      </w:r>
      <w:r>
        <w:rPr>
          <w:rFonts w:hint="eastAsia"/>
          <w:color w:val="auto"/>
          <w:highlight w:val="none"/>
          <w:shd w:val="clear" w:color="auto" w:fill="auto"/>
        </w:rPr>
        <w:t xml:space="preserve">.4.2 </w:t>
      </w:r>
      <w:r>
        <w:rPr>
          <w:color w:val="auto"/>
          <w:highlight w:val="none"/>
          <w:shd w:val="clear" w:color="auto" w:fill="auto"/>
        </w:rPr>
        <w:t>运营期环境影响评价</w:t>
      </w:r>
      <w:bookmarkEnd w:id="505"/>
    </w:p>
    <w:p>
      <w:pPr>
        <w:pStyle w:val="58"/>
        <w:tabs>
          <w:tab w:val="left" w:pos="4144"/>
        </w:tabs>
        <w:rPr>
          <w:color w:val="auto"/>
          <w:shd w:val="clear" w:color="auto" w:fill="auto"/>
        </w:rPr>
      </w:pPr>
      <w:r>
        <w:rPr>
          <w:color w:val="auto"/>
          <w:shd w:val="clear" w:color="auto" w:fill="auto"/>
        </w:rPr>
        <w:t>（1）大气环境影响</w:t>
      </w:r>
      <w:r>
        <w:rPr>
          <w:rFonts w:hint="eastAsia"/>
          <w:color w:val="auto"/>
          <w:shd w:val="clear" w:color="auto" w:fill="auto"/>
        </w:rPr>
        <w:t>结论</w:t>
      </w:r>
    </w:p>
    <w:p>
      <w:pPr>
        <w:spacing w:line="460" w:lineRule="exact"/>
        <w:ind w:firstLine="600" w:firstLineChars="250"/>
        <w:rPr>
          <w:color w:val="auto"/>
          <w:sz w:val="24"/>
          <w:shd w:val="clear" w:color="auto" w:fill="auto"/>
        </w:rPr>
      </w:pPr>
      <w:r>
        <w:rPr>
          <w:bCs/>
          <w:color w:val="auto"/>
          <w:sz w:val="24"/>
          <w:shd w:val="clear" w:color="auto" w:fill="auto"/>
        </w:rPr>
        <w:t>运输车辆</w:t>
      </w:r>
      <w:r>
        <w:rPr>
          <w:rFonts w:hint="eastAsia"/>
          <w:bCs/>
          <w:color w:val="auto"/>
          <w:sz w:val="24"/>
          <w:shd w:val="clear" w:color="auto" w:fill="auto"/>
        </w:rPr>
        <w:t>和</w:t>
      </w:r>
      <w:r>
        <w:rPr>
          <w:bCs/>
          <w:color w:val="auto"/>
          <w:sz w:val="24"/>
          <w:shd w:val="clear" w:color="auto" w:fill="auto"/>
        </w:rPr>
        <w:t>到港船舶尾气</w:t>
      </w:r>
      <w:r>
        <w:rPr>
          <w:rFonts w:hint="eastAsia" w:hAnsi="宋体"/>
          <w:color w:val="auto"/>
          <w:sz w:val="24"/>
          <w:shd w:val="clear" w:color="auto" w:fill="auto"/>
        </w:rPr>
        <w:t>经自然扩散后</w:t>
      </w:r>
      <w:r>
        <w:rPr>
          <w:rFonts w:hAnsi="宋体"/>
          <w:color w:val="auto"/>
          <w:sz w:val="24"/>
          <w:shd w:val="clear" w:color="auto" w:fill="auto"/>
        </w:rPr>
        <w:t>，</w:t>
      </w:r>
      <w:r>
        <w:rPr>
          <w:rFonts w:hint="eastAsia" w:hAnsi="宋体"/>
          <w:color w:val="auto"/>
          <w:sz w:val="24"/>
          <w:shd w:val="clear" w:color="auto" w:fill="auto"/>
          <w:lang w:eastAsia="zh-CN"/>
        </w:rPr>
        <w:t>散货装卸扬尘及</w:t>
      </w:r>
      <w:r>
        <w:rPr>
          <w:rFonts w:hint="eastAsia" w:hAnsi="宋体"/>
          <w:color w:val="auto"/>
          <w:sz w:val="24"/>
          <w:shd w:val="clear" w:color="auto" w:fill="auto"/>
        </w:rPr>
        <w:t>运输扬尘</w:t>
      </w:r>
      <w:r>
        <w:rPr>
          <w:rFonts w:hAnsi="宋体"/>
          <w:color w:val="auto"/>
          <w:sz w:val="24"/>
          <w:shd w:val="clear" w:color="auto" w:fill="auto"/>
        </w:rPr>
        <w:t>经洒水抑尘后，</w:t>
      </w:r>
      <w:r>
        <w:rPr>
          <w:rFonts w:hint="eastAsia" w:hAnsi="宋体"/>
          <w:color w:val="auto"/>
          <w:sz w:val="24"/>
          <w:shd w:val="clear" w:color="auto" w:fill="auto"/>
        </w:rPr>
        <w:t>对</w:t>
      </w:r>
      <w:r>
        <w:rPr>
          <w:rFonts w:hAnsi="宋体"/>
          <w:color w:val="auto"/>
          <w:sz w:val="24"/>
          <w:shd w:val="clear" w:color="auto" w:fill="auto"/>
        </w:rPr>
        <w:t>外环境影响较小。</w:t>
      </w:r>
      <w:r>
        <w:rPr>
          <w:rFonts w:hint="eastAsia" w:hAnsi="宋体"/>
          <w:color w:val="auto"/>
          <w:sz w:val="24"/>
          <w:shd w:val="clear" w:color="auto" w:fill="auto"/>
        </w:rPr>
        <w:t>总体上，项目实施对</w:t>
      </w:r>
      <w:r>
        <w:rPr>
          <w:rFonts w:hAnsi="宋体"/>
          <w:color w:val="auto"/>
          <w:sz w:val="24"/>
          <w:shd w:val="clear" w:color="auto" w:fill="auto"/>
        </w:rPr>
        <w:t>周边环境空气影响较小。</w:t>
      </w:r>
    </w:p>
    <w:p>
      <w:pPr>
        <w:spacing w:line="460" w:lineRule="exact"/>
        <w:ind w:firstLine="480"/>
        <w:jc w:val="left"/>
        <w:rPr>
          <w:snapToGrid w:val="0"/>
          <w:color w:val="auto"/>
          <w:sz w:val="24"/>
          <w:shd w:val="clear" w:color="auto" w:fill="auto"/>
        </w:rPr>
      </w:pPr>
      <w:r>
        <w:rPr>
          <w:snapToGrid w:val="0"/>
          <w:color w:val="auto"/>
          <w:sz w:val="24"/>
          <w:shd w:val="clear" w:color="auto" w:fill="auto"/>
        </w:rPr>
        <w:t>（2）地表水环境影响</w:t>
      </w:r>
      <w:r>
        <w:rPr>
          <w:rFonts w:hint="eastAsia"/>
          <w:snapToGrid w:val="0"/>
          <w:color w:val="auto"/>
          <w:sz w:val="24"/>
          <w:shd w:val="clear" w:color="auto" w:fill="auto"/>
        </w:rPr>
        <w:t>结论</w:t>
      </w:r>
    </w:p>
    <w:p>
      <w:pPr>
        <w:bidi w:val="0"/>
        <w:rPr>
          <w:color w:val="auto"/>
          <w:shd w:val="clear" w:color="auto" w:fill="auto"/>
        </w:rPr>
      </w:pPr>
      <w:r>
        <w:rPr>
          <w:rFonts w:hint="eastAsia"/>
          <w:color w:val="auto"/>
          <w:shd w:val="clear" w:color="auto" w:fill="auto"/>
          <w:lang w:eastAsia="zh-CN"/>
        </w:rPr>
        <w:t>本项目废水不外排。因此，</w:t>
      </w:r>
      <w:r>
        <w:rPr>
          <w:rFonts w:hint="eastAsia" w:hAnsi="宋体"/>
          <w:color w:val="auto"/>
          <w:sz w:val="24"/>
          <w:shd w:val="clear" w:color="auto" w:fill="auto"/>
        </w:rPr>
        <w:t>对</w:t>
      </w:r>
      <w:r>
        <w:rPr>
          <w:rFonts w:hint="eastAsia" w:hAnsi="宋体"/>
          <w:color w:val="auto"/>
          <w:sz w:val="24"/>
          <w:shd w:val="clear" w:color="auto" w:fill="auto"/>
          <w:lang w:eastAsia="zh-CN"/>
        </w:rPr>
        <w:t>沙颍河</w:t>
      </w:r>
      <w:r>
        <w:rPr>
          <w:rFonts w:hint="eastAsia" w:hAnsi="宋体"/>
          <w:color w:val="auto"/>
          <w:sz w:val="24"/>
          <w:shd w:val="clear" w:color="auto" w:fill="auto"/>
        </w:rPr>
        <w:t>水质影响程度较小</w:t>
      </w:r>
      <w:r>
        <w:rPr>
          <w:rFonts w:hint="eastAsia"/>
          <w:color w:val="auto"/>
          <w:shd w:val="clear" w:color="auto" w:fill="auto"/>
          <w:lang w:eastAsia="zh-CN"/>
        </w:rPr>
        <w:t>。</w:t>
      </w:r>
    </w:p>
    <w:p>
      <w:pPr>
        <w:pStyle w:val="58"/>
        <w:tabs>
          <w:tab w:val="left" w:pos="4144"/>
        </w:tabs>
        <w:rPr>
          <w:color w:val="auto"/>
          <w:shd w:val="clear" w:color="auto" w:fill="auto"/>
        </w:rPr>
      </w:pPr>
      <w:r>
        <w:rPr>
          <w:color w:val="auto"/>
          <w:shd w:val="clear" w:color="auto" w:fill="auto"/>
        </w:rPr>
        <w:t>（3</w:t>
      </w:r>
      <w:r>
        <w:rPr>
          <w:rFonts w:hint="eastAsia"/>
          <w:color w:val="auto"/>
          <w:shd w:val="clear" w:color="auto" w:fill="auto"/>
        </w:rPr>
        <w:t>）</w:t>
      </w:r>
      <w:r>
        <w:rPr>
          <w:color w:val="auto"/>
          <w:shd w:val="clear" w:color="auto" w:fill="auto"/>
        </w:rPr>
        <w:t>声环境影响</w:t>
      </w:r>
      <w:r>
        <w:rPr>
          <w:rFonts w:hint="eastAsia"/>
          <w:color w:val="auto"/>
          <w:shd w:val="clear" w:color="auto" w:fill="auto"/>
        </w:rPr>
        <w:t>结论</w:t>
      </w:r>
    </w:p>
    <w:p>
      <w:pPr>
        <w:spacing w:line="460" w:lineRule="exact"/>
        <w:ind w:firstLine="480" w:firstLineChars="200"/>
        <w:rPr>
          <w:rFonts w:hint="eastAsia" w:eastAsia="宋体"/>
          <w:color w:val="auto"/>
          <w:sz w:val="24"/>
          <w:shd w:val="clear" w:color="auto" w:fill="auto"/>
          <w:lang w:eastAsia="zh-CN"/>
        </w:rPr>
      </w:pPr>
      <w:r>
        <w:rPr>
          <w:rFonts w:hint="eastAsia" w:hAnsi="宋体"/>
          <w:color w:val="auto"/>
          <w:sz w:val="24"/>
          <w:shd w:val="clear" w:color="auto" w:fill="auto"/>
        </w:rPr>
        <w:t>经预测，项目运营期各向厂界噪声满足</w:t>
      </w:r>
      <w:r>
        <w:rPr>
          <w:color w:val="auto"/>
          <w:sz w:val="24"/>
          <w:shd w:val="clear" w:color="auto" w:fill="auto"/>
        </w:rPr>
        <w:t>《工业企业厂界</w:t>
      </w:r>
      <w:r>
        <w:rPr>
          <w:rFonts w:hint="eastAsia"/>
          <w:color w:val="auto"/>
          <w:sz w:val="24"/>
          <w:shd w:val="clear" w:color="auto" w:fill="auto"/>
        </w:rPr>
        <w:t>环境</w:t>
      </w:r>
      <w:r>
        <w:rPr>
          <w:color w:val="auto"/>
          <w:sz w:val="24"/>
          <w:shd w:val="clear" w:color="auto" w:fill="auto"/>
        </w:rPr>
        <w:t>噪声</w:t>
      </w:r>
      <w:r>
        <w:rPr>
          <w:rFonts w:hint="eastAsia"/>
          <w:color w:val="auto"/>
          <w:sz w:val="24"/>
          <w:shd w:val="clear" w:color="auto" w:fill="auto"/>
        </w:rPr>
        <w:t>排放</w:t>
      </w:r>
      <w:r>
        <w:rPr>
          <w:color w:val="auto"/>
          <w:sz w:val="24"/>
          <w:shd w:val="clear" w:color="auto" w:fill="auto"/>
        </w:rPr>
        <w:t>标准》</w:t>
      </w:r>
      <w:r>
        <w:rPr>
          <w:rFonts w:hint="eastAsia"/>
          <w:color w:val="auto"/>
          <w:sz w:val="24"/>
          <w:shd w:val="clear" w:color="auto" w:fill="auto"/>
          <w:lang w:eastAsia="zh-CN"/>
        </w:rPr>
        <w:t>（</w:t>
      </w:r>
      <w:r>
        <w:rPr>
          <w:rFonts w:hint="eastAsia" w:hAnsi="宋体"/>
          <w:color w:val="auto"/>
          <w:sz w:val="24"/>
          <w:shd w:val="clear" w:color="auto" w:fill="auto"/>
        </w:rPr>
        <w:t>GB12348-2008</w:t>
      </w:r>
      <w:r>
        <w:rPr>
          <w:rFonts w:hint="eastAsia"/>
          <w:color w:val="auto"/>
          <w:sz w:val="24"/>
          <w:shd w:val="clear" w:color="auto" w:fill="auto"/>
          <w:lang w:eastAsia="zh-CN"/>
        </w:rPr>
        <w:t>）</w:t>
      </w:r>
      <w:r>
        <w:rPr>
          <w:rFonts w:hint="eastAsia" w:hAnsi="宋体"/>
          <w:color w:val="auto"/>
          <w:sz w:val="24"/>
          <w:shd w:val="clear" w:color="auto" w:fill="auto"/>
        </w:rPr>
        <w:t>中的相关标准限值</w:t>
      </w:r>
      <w:r>
        <w:rPr>
          <w:rFonts w:hint="eastAsia" w:hAnsi="宋体"/>
          <w:color w:val="auto"/>
          <w:sz w:val="24"/>
          <w:shd w:val="clear" w:color="auto" w:fill="auto"/>
          <w:lang w:eastAsia="zh-CN"/>
        </w:rPr>
        <w:t>；</w:t>
      </w:r>
      <w:r>
        <w:rPr>
          <w:rFonts w:hint="eastAsia" w:cs="Times New Roman"/>
          <w:color w:val="auto"/>
          <w:kern w:val="2"/>
          <w:sz w:val="24"/>
          <w:szCs w:val="24"/>
          <w:shd w:val="clear" w:color="auto" w:fill="auto"/>
          <w:lang w:val="en-US" w:eastAsia="zh-CN" w:bidi="ar-SA"/>
        </w:rPr>
        <w:t>厂界外200m范围内敏感点后陶桥</w:t>
      </w:r>
      <w:r>
        <w:rPr>
          <w:rFonts w:hint="eastAsia" w:hAnsi="宋体"/>
          <w:color w:val="auto"/>
          <w:sz w:val="24"/>
          <w:shd w:val="clear" w:color="auto" w:fill="auto"/>
          <w:lang w:eastAsia="zh-CN"/>
        </w:rPr>
        <w:t>噪声满足</w:t>
      </w:r>
      <w:r>
        <w:rPr>
          <w:rFonts w:hint="eastAsia" w:ascii="Times New Roman" w:hAnsi="Times New Roman" w:eastAsia="宋体" w:cs="Times New Roman"/>
          <w:color w:val="auto"/>
          <w:kern w:val="2"/>
          <w:sz w:val="24"/>
          <w:szCs w:val="24"/>
          <w:shd w:val="clear" w:color="auto" w:fill="auto"/>
          <w:lang w:val="en-US" w:eastAsia="zh-CN" w:bidi="ar-SA"/>
        </w:rPr>
        <w:t>《声环境质量标准》（GB3096</w:t>
      </w:r>
      <w:r>
        <w:rPr>
          <w:rFonts w:hint="eastAsia" w:cs="Times New Roman"/>
          <w:color w:val="auto"/>
          <w:kern w:val="2"/>
          <w:sz w:val="24"/>
          <w:szCs w:val="24"/>
          <w:shd w:val="clear" w:color="auto" w:fill="auto"/>
          <w:lang w:val="en-US" w:eastAsia="zh-CN" w:bidi="ar-SA"/>
        </w:rPr>
        <w:t>-</w:t>
      </w:r>
      <w:r>
        <w:rPr>
          <w:rFonts w:hint="eastAsia" w:ascii="Times New Roman" w:hAnsi="Times New Roman" w:eastAsia="宋体" w:cs="Times New Roman"/>
          <w:color w:val="auto"/>
          <w:kern w:val="2"/>
          <w:sz w:val="24"/>
          <w:szCs w:val="24"/>
          <w:shd w:val="clear" w:color="auto" w:fill="auto"/>
          <w:lang w:val="en-US" w:eastAsia="zh-CN" w:bidi="ar-SA"/>
        </w:rPr>
        <w:t>2008）中的</w:t>
      </w:r>
      <w:r>
        <w:rPr>
          <w:rFonts w:hint="eastAsia" w:hAnsi="宋体"/>
          <w:color w:val="auto"/>
          <w:sz w:val="24"/>
          <w:shd w:val="clear" w:color="auto" w:fill="auto"/>
        </w:rPr>
        <w:t>相关标准限值</w:t>
      </w:r>
      <w:r>
        <w:rPr>
          <w:rFonts w:hint="eastAsia" w:hAnsi="宋体"/>
          <w:color w:val="auto"/>
          <w:sz w:val="24"/>
          <w:shd w:val="clear" w:color="auto" w:fill="auto"/>
          <w:lang w:eastAsia="zh-CN"/>
        </w:rPr>
        <w:t>。</w:t>
      </w:r>
    </w:p>
    <w:p>
      <w:pPr>
        <w:pStyle w:val="58"/>
        <w:tabs>
          <w:tab w:val="left" w:pos="4144"/>
        </w:tabs>
        <w:rPr>
          <w:color w:val="auto"/>
          <w:shd w:val="clear" w:color="auto" w:fill="auto"/>
        </w:rPr>
      </w:pPr>
      <w:r>
        <w:rPr>
          <w:color w:val="auto"/>
          <w:shd w:val="clear" w:color="auto" w:fill="auto"/>
        </w:rPr>
        <w:t>（</w:t>
      </w:r>
      <w:r>
        <w:rPr>
          <w:rFonts w:hint="eastAsia"/>
          <w:color w:val="auto"/>
          <w:shd w:val="clear" w:color="auto" w:fill="auto"/>
        </w:rPr>
        <w:t>4</w:t>
      </w:r>
      <w:r>
        <w:rPr>
          <w:color w:val="auto"/>
          <w:shd w:val="clear" w:color="auto" w:fill="auto"/>
        </w:rPr>
        <w:t>）固废环境影响</w:t>
      </w:r>
      <w:r>
        <w:rPr>
          <w:rFonts w:hint="eastAsia"/>
          <w:color w:val="auto"/>
          <w:shd w:val="clear" w:color="auto" w:fill="auto"/>
        </w:rPr>
        <w:t>结论</w:t>
      </w:r>
    </w:p>
    <w:p>
      <w:pPr>
        <w:pStyle w:val="58"/>
        <w:tabs>
          <w:tab w:val="left" w:pos="4144"/>
        </w:tabs>
        <w:rPr>
          <w:color w:val="auto"/>
          <w:shd w:val="clear" w:color="auto" w:fill="auto"/>
        </w:rPr>
      </w:pPr>
      <w:r>
        <w:rPr>
          <w:color w:val="auto"/>
          <w:shd w:val="clear" w:color="auto" w:fill="auto"/>
        </w:rPr>
        <w:t>本项目固废进行综合利用及安全处置后可做到零排放，不会对环境产生不良影响和二次污染。</w:t>
      </w:r>
    </w:p>
    <w:p>
      <w:pPr>
        <w:pStyle w:val="5"/>
        <w:rPr>
          <w:color w:val="auto"/>
          <w:shd w:val="clear" w:color="auto" w:fill="auto"/>
        </w:rPr>
      </w:pPr>
      <w:bookmarkStart w:id="506" w:name="_Toc30192"/>
      <w:r>
        <w:rPr>
          <w:rFonts w:hint="eastAsia"/>
          <w:color w:val="auto"/>
          <w:shd w:val="clear" w:color="auto" w:fill="auto"/>
          <w:lang w:val="en-US" w:eastAsia="zh-CN"/>
        </w:rPr>
        <w:t>9</w:t>
      </w:r>
      <w:r>
        <w:rPr>
          <w:rFonts w:hint="eastAsia"/>
          <w:color w:val="auto"/>
          <w:shd w:val="clear" w:color="auto" w:fill="auto"/>
        </w:rPr>
        <w:t>.4.3</w:t>
      </w:r>
      <w:r>
        <w:rPr>
          <w:rFonts w:hint="eastAsia"/>
          <w:color w:val="auto"/>
          <w:shd w:val="clear" w:color="auto" w:fill="auto"/>
          <w:lang w:val="en-US" w:eastAsia="zh-CN"/>
        </w:rPr>
        <w:t xml:space="preserve"> </w:t>
      </w:r>
      <w:r>
        <w:rPr>
          <w:rFonts w:hint="eastAsia"/>
          <w:color w:val="auto"/>
          <w:shd w:val="clear" w:color="auto" w:fill="auto"/>
        </w:rPr>
        <w:t>环境</w:t>
      </w:r>
      <w:r>
        <w:rPr>
          <w:color w:val="auto"/>
          <w:shd w:val="clear" w:color="auto" w:fill="auto"/>
        </w:rPr>
        <w:t>风险评价结论</w:t>
      </w:r>
      <w:bookmarkEnd w:id="506"/>
    </w:p>
    <w:p>
      <w:pPr>
        <w:ind w:firstLine="480"/>
        <w:rPr>
          <w:color w:val="auto"/>
          <w:shd w:val="clear" w:color="auto" w:fill="auto"/>
        </w:rPr>
      </w:pPr>
      <w:r>
        <w:rPr>
          <w:rFonts w:hint="eastAsia"/>
          <w:color w:val="auto"/>
          <w:shd w:val="clear" w:color="auto" w:fill="auto"/>
        </w:rPr>
        <w:t>本项目为散货码头，主要矿建材料（</w:t>
      </w:r>
      <w:r>
        <w:rPr>
          <w:rFonts w:hint="eastAsia"/>
          <w:color w:val="auto"/>
          <w:shd w:val="clear" w:color="auto" w:fill="auto"/>
          <w:lang w:val="en-US" w:eastAsia="zh-CN"/>
        </w:rPr>
        <w:t>黄砂</w:t>
      </w:r>
      <w:r>
        <w:rPr>
          <w:rFonts w:hint="eastAsia"/>
          <w:color w:val="auto"/>
          <w:shd w:val="clear" w:color="auto" w:fill="auto"/>
        </w:rPr>
        <w:t>、碎石等），无重大危险源。施工期和运行期发生环境风险事故的可能性是船舶溢油事故。</w:t>
      </w:r>
    </w:p>
    <w:p>
      <w:pPr>
        <w:pStyle w:val="2"/>
        <w:ind w:firstLine="480"/>
        <w:rPr>
          <w:color w:val="auto"/>
          <w:shd w:val="clear" w:color="auto" w:fill="auto"/>
        </w:rPr>
      </w:pPr>
      <w:r>
        <w:rPr>
          <w:rFonts w:hint="eastAsia"/>
          <w:color w:val="auto"/>
          <w:shd w:val="clear" w:color="auto" w:fill="auto"/>
        </w:rPr>
        <w:t>本项目在采取风险防范措施后，环境风险是可以接受的。建设单位必须根据事故应急预案及时采取事故应急措施，以减少此类事故的环境污染。建设单位应制定事故风险防范措施和应急预案，配置应急设备和器材。在发生溢油事故时及时启动应急预案，采取援救行动，处理污染事故，并通知相关部门。</w:t>
      </w:r>
      <w:r>
        <w:rPr>
          <w:color w:val="auto"/>
          <w:shd w:val="clear" w:color="auto" w:fill="auto"/>
        </w:rPr>
        <w:t>在建立了风险管理、应急预案和应急措施之后，环境风险处于可控范围内，可以避免大的环境风险。</w:t>
      </w:r>
    </w:p>
    <w:p>
      <w:pPr>
        <w:pStyle w:val="4"/>
        <w:spacing w:before="0" w:beforeLines="0" w:after="0" w:afterLines="0"/>
        <w:rPr>
          <w:rFonts w:hint="eastAsia" w:ascii="Times New Roman" w:hAnsi="Times New Roman" w:cs="Times New Roman"/>
          <w:color w:val="auto"/>
          <w:sz w:val="28"/>
          <w:szCs w:val="28"/>
          <w:highlight w:val="none"/>
          <w:shd w:val="clear" w:color="auto" w:fill="auto"/>
          <w:lang w:val="en-US" w:eastAsia="zh-CN"/>
        </w:rPr>
      </w:pPr>
      <w:bookmarkStart w:id="507" w:name="_Toc11323_WPSOffice_Level2"/>
      <w:bookmarkStart w:id="508" w:name="_Toc12315_WPSOffice_Level2"/>
      <w:bookmarkStart w:id="509" w:name="_Toc5434"/>
      <w:r>
        <w:rPr>
          <w:rFonts w:hint="eastAsia" w:ascii="Times New Roman" w:hAnsi="Times New Roman" w:cs="Times New Roman"/>
          <w:color w:val="auto"/>
          <w:sz w:val="28"/>
          <w:szCs w:val="28"/>
          <w:highlight w:val="none"/>
          <w:shd w:val="clear" w:color="auto" w:fill="auto"/>
          <w:lang w:val="en-US" w:eastAsia="zh-CN"/>
        </w:rPr>
        <w:t>9.5 污染防治措施结论</w:t>
      </w:r>
      <w:bookmarkEnd w:id="507"/>
      <w:bookmarkEnd w:id="508"/>
      <w:bookmarkEnd w:id="509"/>
    </w:p>
    <w:p>
      <w:pPr>
        <w:rPr>
          <w:rFonts w:hint="eastAsia"/>
          <w:color w:val="auto"/>
          <w:shd w:val="clear" w:color="auto" w:fill="auto"/>
          <w:lang w:val="en-US" w:eastAsia="zh-CN"/>
        </w:rPr>
      </w:pPr>
      <w:r>
        <w:rPr>
          <w:rFonts w:hint="eastAsia"/>
          <w:color w:val="auto"/>
          <w:shd w:val="clear" w:color="auto" w:fill="auto"/>
          <w:lang w:val="en-US" w:eastAsia="zh-CN"/>
        </w:rPr>
        <w:t>（1）废气污染防治措施</w:t>
      </w:r>
    </w:p>
    <w:p>
      <w:pPr>
        <w:ind w:firstLine="480"/>
        <w:rPr>
          <w:color w:val="auto"/>
          <w:shd w:val="clear" w:color="auto" w:fill="auto"/>
        </w:rPr>
      </w:pPr>
      <w:r>
        <w:rPr>
          <w:rFonts w:hint="eastAsia"/>
          <w:color w:val="auto"/>
          <w:shd w:val="clear" w:color="auto" w:fill="auto"/>
          <w:lang w:eastAsia="zh-CN"/>
        </w:rPr>
        <w:t>散货装卸作业设置喷雾抑尘装置</w:t>
      </w:r>
      <w:r>
        <w:rPr>
          <w:color w:val="auto"/>
          <w:shd w:val="clear" w:color="auto" w:fill="auto"/>
        </w:rPr>
        <w:t>，保证</w:t>
      </w:r>
      <w:r>
        <w:rPr>
          <w:rFonts w:hint="eastAsia"/>
          <w:color w:val="auto"/>
          <w:shd w:val="clear" w:color="auto" w:fill="auto"/>
        </w:rPr>
        <w:t>矿建材料（</w:t>
      </w:r>
      <w:r>
        <w:rPr>
          <w:rFonts w:hint="eastAsia"/>
          <w:color w:val="auto"/>
          <w:shd w:val="clear" w:color="auto" w:fill="auto"/>
          <w:lang w:eastAsia="zh-CN"/>
        </w:rPr>
        <w:t>黄砂</w:t>
      </w:r>
      <w:r>
        <w:rPr>
          <w:rFonts w:hint="eastAsia"/>
          <w:color w:val="auto"/>
          <w:shd w:val="clear" w:color="auto" w:fill="auto"/>
        </w:rPr>
        <w:t>、碎石等）</w:t>
      </w:r>
      <w:r>
        <w:rPr>
          <w:color w:val="auto"/>
          <w:shd w:val="clear" w:color="auto" w:fill="auto"/>
        </w:rPr>
        <w:t>含水量，减少装卸过程中的起尘。</w:t>
      </w:r>
    </w:p>
    <w:p>
      <w:pPr>
        <w:ind w:firstLine="480"/>
        <w:rPr>
          <w:color w:val="auto"/>
          <w:shd w:val="clear" w:color="auto" w:fill="auto"/>
        </w:rPr>
      </w:pPr>
      <w:r>
        <w:rPr>
          <w:rFonts w:hint="eastAsia"/>
          <w:color w:val="auto"/>
          <w:shd w:val="clear" w:color="auto" w:fill="auto"/>
        </w:rPr>
        <w:t>港区内</w:t>
      </w:r>
      <w:r>
        <w:rPr>
          <w:rFonts w:hint="eastAsia"/>
          <w:color w:val="auto"/>
          <w:shd w:val="clear" w:color="auto" w:fill="auto"/>
          <w:lang w:val="en-US" w:eastAsia="zh-CN"/>
        </w:rPr>
        <w:t>运输道路需硬化，定期洒水抑尘，并</w:t>
      </w:r>
      <w:r>
        <w:rPr>
          <w:rFonts w:hint="eastAsia"/>
          <w:color w:val="auto"/>
          <w:shd w:val="clear" w:color="auto" w:fill="auto"/>
        </w:rPr>
        <w:t>安排专人对运输道路及时清扫</w:t>
      </w:r>
      <w:r>
        <w:rPr>
          <w:rFonts w:hint="eastAsia"/>
          <w:color w:val="auto"/>
          <w:shd w:val="clear" w:color="auto" w:fill="auto"/>
          <w:lang w:eastAsia="zh-CN"/>
        </w:rPr>
        <w:t>；</w:t>
      </w:r>
      <w:r>
        <w:rPr>
          <w:color w:val="auto"/>
          <w:shd w:val="clear" w:color="auto" w:fill="auto"/>
        </w:rPr>
        <w:t>选择环保型高效装卸机械和运输车辆</w:t>
      </w:r>
      <w:r>
        <w:rPr>
          <w:rFonts w:hint="eastAsia"/>
          <w:color w:val="auto"/>
          <w:shd w:val="clear" w:color="auto" w:fill="auto"/>
          <w:lang w:eastAsia="zh-CN"/>
        </w:rPr>
        <w:t>；</w:t>
      </w:r>
      <w:r>
        <w:rPr>
          <w:color w:val="auto"/>
          <w:shd w:val="clear" w:color="auto" w:fill="auto"/>
        </w:rPr>
        <w:t>加强机械、车辆的保养、维修</w:t>
      </w:r>
      <w:r>
        <w:rPr>
          <w:rFonts w:hint="eastAsia"/>
          <w:color w:val="auto"/>
          <w:shd w:val="clear" w:color="auto" w:fill="auto"/>
          <w:lang w:eastAsia="zh-CN"/>
        </w:rPr>
        <w:t>；</w:t>
      </w:r>
      <w:r>
        <w:rPr>
          <w:color w:val="auto"/>
          <w:shd w:val="clear" w:color="auto" w:fill="auto"/>
        </w:rPr>
        <w:t>使用合格的燃料油</w:t>
      </w:r>
      <w:r>
        <w:rPr>
          <w:rFonts w:hint="eastAsia"/>
          <w:color w:val="auto"/>
          <w:shd w:val="clear" w:color="auto" w:fill="auto"/>
          <w:lang w:eastAsia="zh-CN"/>
        </w:rPr>
        <w:t>；</w:t>
      </w:r>
      <w:r>
        <w:rPr>
          <w:color w:val="auto"/>
          <w:shd w:val="clear" w:color="auto" w:fill="auto"/>
        </w:rPr>
        <w:t>做好港区绿化工作</w:t>
      </w:r>
      <w:r>
        <w:rPr>
          <w:rFonts w:hint="eastAsia"/>
          <w:color w:val="auto"/>
          <w:shd w:val="clear" w:color="auto" w:fill="auto"/>
          <w:lang w:eastAsia="zh-CN"/>
        </w:rPr>
        <w:t>，</w:t>
      </w:r>
      <w:r>
        <w:rPr>
          <w:color w:val="auto"/>
          <w:shd w:val="clear" w:color="auto" w:fill="auto"/>
        </w:rPr>
        <w:t>发挥绿化植物吸烟滞尘和美化环境的作用</w:t>
      </w:r>
      <w:r>
        <w:rPr>
          <w:rFonts w:hint="eastAsia"/>
          <w:color w:val="auto"/>
          <w:shd w:val="clear" w:color="auto" w:fill="auto"/>
          <w:lang w:val="en-US" w:eastAsia="zh-CN"/>
        </w:rPr>
        <w:t>等</w:t>
      </w:r>
      <w:r>
        <w:rPr>
          <w:color w:val="auto"/>
          <w:shd w:val="clear" w:color="auto" w:fill="auto"/>
        </w:rPr>
        <w:t>。</w:t>
      </w:r>
    </w:p>
    <w:p>
      <w:pPr>
        <w:pStyle w:val="2"/>
        <w:rPr>
          <w:rFonts w:hint="eastAsia"/>
          <w:color w:val="auto"/>
          <w:shd w:val="clear" w:color="auto" w:fill="auto"/>
          <w:lang w:val="en-US" w:eastAsia="zh-CN"/>
        </w:rPr>
      </w:pPr>
      <w:r>
        <w:rPr>
          <w:rFonts w:hint="eastAsia"/>
          <w:color w:val="auto"/>
          <w:shd w:val="clear" w:color="auto" w:fill="auto"/>
          <w:lang w:val="en-US" w:eastAsia="zh-CN"/>
        </w:rPr>
        <w:t>通过采取以上大气污染防治措施，使大气污染物排放达到《大气污染物综合排放标准》（GB16297-1996）无组织排放浓度限值。</w:t>
      </w:r>
    </w:p>
    <w:p>
      <w:pPr>
        <w:pStyle w:val="2"/>
        <w:numPr>
          <w:ilvl w:val="0"/>
          <w:numId w:val="0"/>
        </w:numPr>
        <w:ind w:leftChars="200"/>
        <w:rPr>
          <w:rFonts w:hint="eastAsia"/>
          <w:color w:val="auto"/>
          <w:shd w:val="clear" w:color="auto" w:fill="auto"/>
          <w:lang w:val="en-US" w:eastAsia="zh-CN"/>
        </w:rPr>
      </w:pPr>
      <w:r>
        <w:rPr>
          <w:rFonts w:hint="eastAsia"/>
          <w:color w:val="auto"/>
          <w:shd w:val="clear" w:color="auto" w:fill="auto"/>
          <w:lang w:val="en-US" w:eastAsia="zh-CN"/>
        </w:rPr>
        <w:t>（2）水污染防治措施</w:t>
      </w:r>
    </w:p>
    <w:p>
      <w:pPr>
        <w:ind w:firstLine="480"/>
        <w:rPr>
          <w:rFonts w:hint="eastAsia"/>
          <w:color w:val="auto"/>
          <w:shd w:val="clear" w:color="auto" w:fill="auto"/>
          <w:lang w:val="en-US" w:eastAsia="zh-CN"/>
        </w:rPr>
      </w:pPr>
      <w:r>
        <w:rPr>
          <w:rFonts w:hint="eastAsia"/>
          <w:color w:val="auto"/>
          <w:shd w:val="clear" w:color="auto" w:fill="auto"/>
        </w:rPr>
        <w:t>港区生活污水由</w:t>
      </w:r>
      <w:r>
        <w:rPr>
          <w:rFonts w:hint="default"/>
          <w:color w:val="auto"/>
          <w:shd w:val="clear" w:color="auto" w:fill="auto"/>
        </w:rPr>
        <w:t>移动厕所</w:t>
      </w:r>
      <w:r>
        <w:rPr>
          <w:rFonts w:hint="eastAsia"/>
          <w:color w:val="auto"/>
          <w:shd w:val="clear" w:color="auto" w:fill="auto"/>
        </w:rPr>
        <w:t>收集</w:t>
      </w:r>
      <w:r>
        <w:rPr>
          <w:rFonts w:hint="default"/>
          <w:color w:val="auto"/>
          <w:shd w:val="clear" w:color="auto" w:fill="auto"/>
        </w:rPr>
        <w:t>储存，</w:t>
      </w:r>
      <w:r>
        <w:rPr>
          <w:rFonts w:hint="eastAsia"/>
          <w:color w:val="auto"/>
          <w:shd w:val="clear" w:color="auto" w:fill="auto"/>
        </w:rPr>
        <w:t>定期由清掏车外运至相关接收处理单位；流动机械冲洗废水</w:t>
      </w:r>
      <w:r>
        <w:rPr>
          <w:rFonts w:hAnsi="宋体"/>
          <w:color w:val="auto"/>
          <w:shd w:val="clear" w:color="auto" w:fill="auto"/>
        </w:rPr>
        <w:t>经隔油沉淀池</w:t>
      </w:r>
      <w:r>
        <w:rPr>
          <w:rFonts w:hint="eastAsia" w:hAnsi="宋体"/>
          <w:color w:val="auto"/>
          <w:shd w:val="clear" w:color="auto" w:fill="auto"/>
          <w:lang w:val="en-US" w:eastAsia="zh-CN"/>
        </w:rPr>
        <w:t>处理</w:t>
      </w:r>
      <w:r>
        <w:rPr>
          <w:rFonts w:hAnsi="宋体"/>
          <w:color w:val="auto"/>
          <w:shd w:val="clear" w:color="auto" w:fill="auto"/>
        </w:rPr>
        <w:t>后</w:t>
      </w:r>
      <w:r>
        <w:rPr>
          <w:rFonts w:hint="eastAsia" w:hAnsi="宋体"/>
          <w:color w:val="auto"/>
          <w:shd w:val="clear" w:color="auto" w:fill="auto"/>
        </w:rPr>
        <w:t>，</w:t>
      </w:r>
      <w:r>
        <w:rPr>
          <w:rFonts w:hint="eastAsia" w:hAnsi="宋体"/>
          <w:color w:val="auto"/>
          <w:shd w:val="clear" w:color="auto" w:fill="auto"/>
          <w:lang w:eastAsia="zh-CN"/>
        </w:rPr>
        <w:t>循环使用，不外排；</w:t>
      </w:r>
      <w:r>
        <w:rPr>
          <w:rFonts w:hint="eastAsia"/>
          <w:color w:val="auto"/>
          <w:shd w:val="clear" w:color="auto" w:fill="auto"/>
        </w:rPr>
        <w:t>码头面冲洗废水和初期雨水采用排水明沟收集，排入沉淀池经沉淀处理后，可去除大部分悬浮物，污水处理后全部回用于</w:t>
      </w:r>
      <w:r>
        <w:rPr>
          <w:rFonts w:hint="eastAsia"/>
          <w:color w:val="auto"/>
          <w:shd w:val="clear" w:color="auto" w:fill="auto"/>
          <w:lang w:val="en-US" w:eastAsia="zh-CN"/>
        </w:rPr>
        <w:t>港区</w:t>
      </w:r>
      <w:r>
        <w:rPr>
          <w:rFonts w:hint="eastAsia"/>
          <w:color w:val="auto"/>
          <w:shd w:val="clear" w:color="auto" w:fill="auto"/>
        </w:rPr>
        <w:t>洒水抑尘等，不外排</w:t>
      </w:r>
      <w:r>
        <w:rPr>
          <w:rFonts w:hint="eastAsia"/>
          <w:color w:val="auto"/>
          <w:shd w:val="clear" w:color="auto" w:fill="auto"/>
          <w:lang w:eastAsia="zh-CN"/>
        </w:rPr>
        <w:t>。</w:t>
      </w:r>
      <w:r>
        <w:rPr>
          <w:rFonts w:hint="eastAsia" w:ascii="Times New Roman" w:hAnsi="Times New Roman" w:eastAsia="宋体" w:cstheme="minorBidi"/>
          <w:color w:val="auto"/>
          <w:kern w:val="2"/>
          <w:sz w:val="24"/>
          <w:szCs w:val="24"/>
          <w:shd w:val="clear" w:color="auto" w:fill="auto"/>
          <w:lang w:val="en-US" w:eastAsia="zh-CN" w:bidi="ar-SA"/>
        </w:rPr>
        <w:t>船舶生活污水由船舶生活污水收集罐车收集，定期外运至有资质的接收处理单位；船舶油污水由船舶油污水收集罐车收集后，定期外运至有资质的接收处理单位。</w:t>
      </w:r>
      <w:r>
        <w:rPr>
          <w:rFonts w:hint="eastAsia"/>
          <w:color w:val="auto"/>
          <w:shd w:val="clear" w:color="auto" w:fill="auto"/>
          <w:lang w:eastAsia="zh-CN"/>
        </w:rPr>
        <w:t>因此，</w:t>
      </w:r>
      <w:r>
        <w:rPr>
          <w:rFonts w:hint="eastAsia"/>
          <w:color w:val="auto"/>
          <w:shd w:val="clear" w:color="auto" w:fill="auto"/>
        </w:rPr>
        <w:t>不会对</w:t>
      </w:r>
      <w:r>
        <w:rPr>
          <w:rFonts w:hint="eastAsia"/>
          <w:color w:val="auto"/>
          <w:shd w:val="clear" w:color="auto" w:fill="auto"/>
          <w:lang w:eastAsia="zh-CN"/>
        </w:rPr>
        <w:t>沙颍河</w:t>
      </w:r>
      <w:r>
        <w:rPr>
          <w:rFonts w:hint="eastAsia"/>
          <w:color w:val="auto"/>
          <w:shd w:val="clear" w:color="auto" w:fill="auto"/>
        </w:rPr>
        <w:t>水环境造成影响。</w:t>
      </w:r>
    </w:p>
    <w:p>
      <w:pPr>
        <w:pStyle w:val="2"/>
        <w:numPr>
          <w:ilvl w:val="0"/>
          <w:numId w:val="8"/>
        </w:numPr>
        <w:ind w:left="0" w:leftChars="0" w:firstLine="480" w:firstLineChars="200"/>
        <w:rPr>
          <w:rFonts w:hint="eastAsia"/>
          <w:color w:val="auto"/>
          <w:shd w:val="clear" w:color="auto" w:fill="auto"/>
          <w:lang w:val="en-US" w:eastAsia="zh-CN"/>
        </w:rPr>
      </w:pPr>
      <w:r>
        <w:rPr>
          <w:rFonts w:hint="eastAsia"/>
          <w:color w:val="auto"/>
          <w:shd w:val="clear" w:color="auto" w:fill="auto"/>
          <w:lang w:val="en-US" w:eastAsia="zh-CN"/>
        </w:rPr>
        <w:t>噪声污染防治措施</w:t>
      </w:r>
    </w:p>
    <w:p>
      <w:pPr>
        <w:spacing w:line="460" w:lineRule="exact"/>
        <w:ind w:firstLine="480" w:firstLineChars="200"/>
        <w:rPr>
          <w:rFonts w:hint="eastAsia"/>
          <w:color w:val="auto"/>
          <w:shd w:val="clear" w:color="auto" w:fill="auto"/>
          <w:lang w:val="en-US" w:eastAsia="zh-CN"/>
        </w:rPr>
      </w:pPr>
      <w:r>
        <w:rPr>
          <w:color w:val="auto"/>
          <w:sz w:val="24"/>
          <w:shd w:val="clear" w:color="auto" w:fill="auto"/>
        </w:rPr>
        <w:t>项目拟通过优先选用低噪声设备，并加强厂区绿化等措施，确保厂界</w:t>
      </w:r>
      <w:r>
        <w:rPr>
          <w:rFonts w:hint="eastAsia"/>
          <w:color w:val="auto"/>
          <w:sz w:val="24"/>
          <w:shd w:val="clear" w:color="auto" w:fill="auto"/>
        </w:rPr>
        <w:t>、敏感点</w:t>
      </w:r>
      <w:r>
        <w:rPr>
          <w:color w:val="auto"/>
          <w:sz w:val="24"/>
          <w:shd w:val="clear" w:color="auto" w:fill="auto"/>
        </w:rPr>
        <w:t>达标。</w:t>
      </w:r>
    </w:p>
    <w:p>
      <w:pPr>
        <w:ind w:firstLine="480"/>
        <w:rPr>
          <w:color w:val="auto"/>
          <w:shd w:val="clear" w:color="auto" w:fill="auto"/>
        </w:rPr>
      </w:pPr>
      <w:r>
        <w:rPr>
          <w:rFonts w:hint="eastAsia"/>
          <w:color w:val="auto"/>
          <w:shd w:val="clear" w:color="auto" w:fill="auto"/>
          <w:lang w:val="en-US" w:eastAsia="zh-CN"/>
        </w:rPr>
        <w:t>（4）</w:t>
      </w:r>
      <w:r>
        <w:rPr>
          <w:rFonts w:hint="eastAsia"/>
          <w:color w:val="auto"/>
          <w:shd w:val="clear" w:color="auto" w:fill="auto"/>
        </w:rPr>
        <w:t>固废处置措施</w:t>
      </w:r>
    </w:p>
    <w:p>
      <w:pPr>
        <w:rPr>
          <w:rFonts w:hint="eastAsia" w:eastAsia="宋体"/>
          <w:color w:val="auto"/>
          <w:shd w:val="clear" w:color="auto" w:fill="auto"/>
          <w:lang w:val="en-US" w:eastAsia="zh-CN"/>
        </w:rPr>
      </w:pPr>
      <w:r>
        <w:rPr>
          <w:rFonts w:hint="eastAsia"/>
          <w:color w:val="auto"/>
          <w:sz w:val="24"/>
          <w:shd w:val="clear" w:color="auto" w:fill="auto"/>
        </w:rPr>
        <w:t>港区生活</w:t>
      </w:r>
      <w:r>
        <w:rPr>
          <w:color w:val="auto"/>
          <w:sz w:val="24"/>
          <w:shd w:val="clear" w:color="auto" w:fill="auto"/>
        </w:rPr>
        <w:t>垃圾</w:t>
      </w:r>
      <w:r>
        <w:rPr>
          <w:rFonts w:hint="eastAsia"/>
          <w:color w:val="auto"/>
          <w:sz w:val="24"/>
          <w:shd w:val="clear" w:color="auto" w:fill="auto"/>
        </w:rPr>
        <w:t>、</w:t>
      </w:r>
      <w:r>
        <w:rPr>
          <w:rFonts w:hint="eastAsia"/>
          <w:color w:val="auto"/>
          <w:sz w:val="24"/>
          <w:shd w:val="clear" w:color="auto" w:fill="auto"/>
          <w:lang w:eastAsia="zh-CN"/>
        </w:rPr>
        <w:t>沉淀池污泥集中</w:t>
      </w:r>
      <w:r>
        <w:rPr>
          <w:color w:val="auto"/>
          <w:sz w:val="24"/>
          <w:shd w:val="clear" w:color="auto" w:fill="auto"/>
        </w:rPr>
        <w:t>收集，交由环卫部门统一处理</w:t>
      </w:r>
      <w:r>
        <w:rPr>
          <w:rFonts w:hint="eastAsia"/>
          <w:color w:val="auto"/>
          <w:sz w:val="24"/>
          <w:shd w:val="clear" w:color="auto" w:fill="auto"/>
        </w:rPr>
        <w:t>。</w:t>
      </w:r>
      <w:r>
        <w:rPr>
          <w:rFonts w:hint="eastAsia"/>
          <w:color w:val="auto"/>
          <w:sz w:val="24"/>
          <w:shd w:val="clear" w:color="auto" w:fill="auto"/>
          <w:lang w:eastAsia="zh-CN"/>
        </w:rPr>
        <w:t>隔油沉淀池浮油</w:t>
      </w:r>
      <w:r>
        <w:rPr>
          <w:rFonts w:hint="eastAsia"/>
          <w:color w:val="auto"/>
          <w:sz w:val="24"/>
          <w:shd w:val="clear" w:color="auto" w:fill="auto"/>
        </w:rPr>
        <w:t>等</w:t>
      </w:r>
      <w:r>
        <w:rPr>
          <w:color w:val="auto"/>
          <w:sz w:val="24"/>
          <w:shd w:val="clear" w:color="auto" w:fill="auto"/>
        </w:rPr>
        <w:t>危险废物</w:t>
      </w:r>
      <w:r>
        <w:rPr>
          <w:rFonts w:hint="eastAsia"/>
          <w:color w:val="auto"/>
          <w:sz w:val="24"/>
          <w:shd w:val="clear" w:color="auto" w:fill="auto"/>
          <w:lang w:eastAsia="zh-CN"/>
        </w:rPr>
        <w:t>妥善暂存后</w:t>
      </w:r>
      <w:r>
        <w:rPr>
          <w:color w:val="auto"/>
          <w:sz w:val="24"/>
          <w:shd w:val="clear" w:color="auto" w:fill="auto"/>
        </w:rPr>
        <w:t>，</w:t>
      </w:r>
      <w:r>
        <w:rPr>
          <w:rFonts w:hint="eastAsia"/>
          <w:color w:val="auto"/>
          <w:sz w:val="24"/>
          <w:shd w:val="clear" w:color="auto" w:fill="auto"/>
        </w:rPr>
        <w:t>定期</w:t>
      </w:r>
      <w:r>
        <w:rPr>
          <w:color w:val="auto"/>
          <w:sz w:val="24"/>
          <w:shd w:val="clear" w:color="auto" w:fill="auto"/>
        </w:rPr>
        <w:t>委托有资质单位进行处理。</w:t>
      </w:r>
      <w:r>
        <w:rPr>
          <w:rFonts w:hint="eastAsia"/>
          <w:color w:val="auto"/>
          <w:sz w:val="24"/>
          <w:shd w:val="clear" w:color="auto" w:fill="auto"/>
        </w:rPr>
        <w:t>船舶</w:t>
      </w:r>
      <w:r>
        <w:rPr>
          <w:rFonts w:hint="eastAsia"/>
          <w:color w:val="auto"/>
          <w:sz w:val="24"/>
          <w:shd w:val="clear" w:color="auto" w:fill="auto"/>
          <w:lang w:eastAsia="zh-CN"/>
        </w:rPr>
        <w:t>生活垃圾和船舶保养废物</w:t>
      </w:r>
      <w:r>
        <w:rPr>
          <w:rFonts w:hint="eastAsia"/>
          <w:color w:val="auto"/>
          <w:sz w:val="24"/>
          <w:shd w:val="clear" w:color="auto" w:fill="auto"/>
        </w:rPr>
        <w:t>收集后交</w:t>
      </w:r>
      <w:r>
        <w:rPr>
          <w:color w:val="auto"/>
          <w:sz w:val="24"/>
          <w:shd w:val="clear" w:color="auto" w:fill="auto"/>
        </w:rPr>
        <w:t>由</w:t>
      </w:r>
      <w:r>
        <w:rPr>
          <w:rFonts w:hint="eastAsia"/>
          <w:color w:val="auto"/>
          <w:sz w:val="24"/>
          <w:shd w:val="clear" w:color="auto" w:fill="auto"/>
        </w:rPr>
        <w:t>海事部门认可的有资质单位接收处理</w:t>
      </w:r>
      <w:r>
        <w:rPr>
          <w:rFonts w:hint="eastAsia"/>
          <w:color w:val="auto"/>
          <w:sz w:val="24"/>
          <w:shd w:val="clear" w:color="auto" w:fill="auto"/>
          <w:lang w:eastAsia="zh-CN"/>
        </w:rPr>
        <w:t>。</w:t>
      </w:r>
    </w:p>
    <w:p>
      <w:pPr>
        <w:pStyle w:val="4"/>
        <w:spacing w:before="0" w:beforeLines="0" w:after="0" w:afterLines="0"/>
        <w:rPr>
          <w:rFonts w:hint="eastAsia" w:ascii="Times New Roman" w:hAnsi="Times New Roman" w:cs="Times New Roman"/>
          <w:color w:val="auto"/>
          <w:sz w:val="28"/>
          <w:szCs w:val="28"/>
          <w:highlight w:val="none"/>
          <w:shd w:val="clear" w:color="auto" w:fill="auto"/>
          <w:lang w:val="en-US" w:eastAsia="zh-CN"/>
        </w:rPr>
      </w:pPr>
      <w:bookmarkStart w:id="510" w:name="_Toc28757"/>
      <w:r>
        <w:rPr>
          <w:rFonts w:hint="eastAsia" w:ascii="Times New Roman" w:hAnsi="Times New Roman" w:cs="Times New Roman"/>
          <w:color w:val="auto"/>
          <w:sz w:val="28"/>
          <w:szCs w:val="28"/>
          <w:highlight w:val="none"/>
          <w:shd w:val="clear" w:color="auto" w:fill="auto"/>
          <w:lang w:val="en-US" w:eastAsia="zh-CN"/>
        </w:rPr>
        <w:t>9.</w:t>
      </w:r>
      <w:r>
        <w:rPr>
          <w:rFonts w:hint="eastAsia" w:cs="Times New Roman"/>
          <w:color w:val="auto"/>
          <w:sz w:val="28"/>
          <w:szCs w:val="28"/>
          <w:highlight w:val="none"/>
          <w:shd w:val="clear" w:color="auto" w:fill="auto"/>
          <w:lang w:val="en-US" w:eastAsia="zh-CN"/>
        </w:rPr>
        <w:t>6</w:t>
      </w:r>
      <w:r>
        <w:rPr>
          <w:rFonts w:hint="eastAsia" w:ascii="Times New Roman" w:hAnsi="Times New Roman" w:cs="Times New Roman"/>
          <w:color w:val="auto"/>
          <w:sz w:val="28"/>
          <w:szCs w:val="28"/>
          <w:highlight w:val="none"/>
          <w:shd w:val="clear" w:color="auto" w:fill="auto"/>
          <w:lang w:val="en-US" w:eastAsia="zh-CN"/>
        </w:rPr>
        <w:t xml:space="preserve"> 总量控制</w:t>
      </w:r>
      <w:bookmarkEnd w:id="510"/>
    </w:p>
    <w:p>
      <w:pPr>
        <w:bidi w:val="0"/>
        <w:rPr>
          <w:rFonts w:hint="default"/>
          <w:color w:val="auto"/>
          <w:shd w:val="clear" w:color="auto" w:fill="auto"/>
          <w:lang w:val="en-US" w:eastAsia="zh-CN"/>
        </w:rPr>
      </w:pPr>
      <w:r>
        <w:rPr>
          <w:rFonts w:hint="eastAsia"/>
          <w:color w:val="auto"/>
          <w:shd w:val="clear" w:color="auto" w:fill="auto"/>
        </w:rPr>
        <w:t>项目运营期</w:t>
      </w:r>
      <w:r>
        <w:rPr>
          <w:color w:val="auto"/>
          <w:shd w:val="clear" w:color="auto" w:fill="auto"/>
        </w:rPr>
        <w:t>无</w:t>
      </w:r>
      <w:r>
        <w:rPr>
          <w:rFonts w:hint="eastAsia"/>
          <w:color w:val="auto"/>
          <w:shd w:val="clear" w:color="auto" w:fill="auto"/>
          <w:lang w:eastAsia="zh-CN"/>
        </w:rPr>
        <w:t>废水外排，无</w:t>
      </w:r>
      <w:r>
        <w:rPr>
          <w:rFonts w:hint="eastAsia"/>
          <w:color w:val="auto"/>
          <w:shd w:val="clear" w:color="auto" w:fill="auto"/>
        </w:rPr>
        <w:t>生产型</w:t>
      </w:r>
      <w:r>
        <w:rPr>
          <w:color w:val="auto"/>
          <w:shd w:val="clear" w:color="auto" w:fill="auto"/>
        </w:rPr>
        <w:t>废气排放</w:t>
      </w:r>
      <w:r>
        <w:rPr>
          <w:rFonts w:hint="eastAsia"/>
          <w:color w:val="auto"/>
          <w:shd w:val="clear" w:color="auto" w:fill="auto"/>
          <w:lang w:eastAsia="zh-CN"/>
        </w:rPr>
        <w:t>。因此，</w:t>
      </w:r>
      <w:r>
        <w:rPr>
          <w:color w:val="auto"/>
          <w:shd w:val="clear" w:color="auto" w:fill="auto"/>
        </w:rPr>
        <w:t>无需申请总量。</w:t>
      </w:r>
    </w:p>
    <w:p>
      <w:pPr>
        <w:pStyle w:val="4"/>
        <w:spacing w:before="0" w:beforeLines="0" w:after="0" w:afterLines="0"/>
        <w:rPr>
          <w:color w:val="auto"/>
          <w:highlight w:val="none"/>
          <w:shd w:val="clear" w:color="auto" w:fill="auto"/>
        </w:rPr>
      </w:pPr>
      <w:bookmarkStart w:id="511" w:name="_Toc13422"/>
      <w:bookmarkStart w:id="512" w:name="_Toc18636"/>
      <w:bookmarkStart w:id="513" w:name="_Toc328986667"/>
      <w:bookmarkStart w:id="514" w:name="_Toc6464"/>
      <w:bookmarkStart w:id="515" w:name="_Toc9583"/>
      <w:bookmarkStart w:id="516" w:name="_Toc28851_WPSOffice_Level2"/>
      <w:bookmarkStart w:id="517" w:name="_Toc2756"/>
      <w:bookmarkStart w:id="518" w:name="_Toc2374"/>
      <w:bookmarkStart w:id="519" w:name="_Toc15818"/>
      <w:bookmarkStart w:id="520" w:name="_Toc9612_WPSOffice_Level2"/>
      <w:r>
        <w:rPr>
          <w:rFonts w:hint="eastAsia"/>
          <w:color w:val="auto"/>
          <w:sz w:val="28"/>
          <w:szCs w:val="28"/>
          <w:highlight w:val="none"/>
          <w:shd w:val="clear" w:color="auto" w:fill="auto"/>
          <w:lang w:val="en-US" w:eastAsia="zh-CN"/>
        </w:rPr>
        <w:t>9</w:t>
      </w:r>
      <w:r>
        <w:rPr>
          <w:rFonts w:hint="eastAsia"/>
          <w:color w:val="auto"/>
          <w:sz w:val="28"/>
          <w:szCs w:val="28"/>
          <w:highlight w:val="none"/>
          <w:shd w:val="clear" w:color="auto" w:fill="auto"/>
        </w:rPr>
        <w:t>.</w:t>
      </w:r>
      <w:r>
        <w:rPr>
          <w:rFonts w:hint="eastAsia"/>
          <w:color w:val="auto"/>
          <w:sz w:val="28"/>
          <w:szCs w:val="28"/>
          <w:highlight w:val="none"/>
          <w:shd w:val="clear" w:color="auto" w:fill="auto"/>
          <w:lang w:val="en-US" w:eastAsia="zh-CN"/>
        </w:rPr>
        <w:t xml:space="preserve">7 </w:t>
      </w:r>
      <w:r>
        <w:rPr>
          <w:color w:val="auto"/>
          <w:sz w:val="28"/>
          <w:szCs w:val="28"/>
          <w:highlight w:val="none"/>
          <w:shd w:val="clear" w:color="auto" w:fill="auto"/>
        </w:rPr>
        <w:t>“三同时”验收</w:t>
      </w:r>
      <w:r>
        <w:rPr>
          <w:color w:val="auto"/>
          <w:highlight w:val="none"/>
          <w:shd w:val="clear" w:color="auto" w:fill="auto"/>
        </w:rPr>
        <w:t>要求</w:t>
      </w:r>
      <w:bookmarkEnd w:id="511"/>
      <w:bookmarkEnd w:id="512"/>
      <w:bookmarkEnd w:id="513"/>
      <w:bookmarkEnd w:id="514"/>
      <w:bookmarkEnd w:id="515"/>
      <w:bookmarkEnd w:id="516"/>
      <w:bookmarkEnd w:id="517"/>
      <w:bookmarkEnd w:id="518"/>
      <w:bookmarkEnd w:id="519"/>
      <w:bookmarkEnd w:id="520"/>
    </w:p>
    <w:p>
      <w:pPr>
        <w:spacing w:line="360" w:lineRule="auto"/>
        <w:rPr>
          <w:color w:val="auto"/>
          <w:shd w:val="clear" w:color="auto" w:fill="auto"/>
        </w:rPr>
      </w:pPr>
      <w:r>
        <w:rPr>
          <w:color w:val="auto"/>
          <w:sz w:val="24"/>
          <w:shd w:val="clear" w:color="auto" w:fill="auto"/>
        </w:rPr>
        <w:t xml:space="preserve"> 本项目</w:t>
      </w:r>
      <w:r>
        <w:rPr>
          <w:rFonts w:hint="eastAsia"/>
          <w:color w:val="auto"/>
          <w:sz w:val="24"/>
          <w:shd w:val="clear" w:color="auto" w:fill="auto"/>
        </w:rPr>
        <w:t>“</w:t>
      </w:r>
      <w:r>
        <w:rPr>
          <w:color w:val="auto"/>
          <w:sz w:val="24"/>
          <w:shd w:val="clear" w:color="auto" w:fill="auto"/>
        </w:rPr>
        <w:t>三同时</w:t>
      </w:r>
      <w:r>
        <w:rPr>
          <w:rFonts w:hint="eastAsia"/>
          <w:color w:val="auto"/>
          <w:sz w:val="24"/>
          <w:shd w:val="clear" w:color="auto" w:fill="auto"/>
        </w:rPr>
        <w:t>”</w:t>
      </w:r>
      <w:r>
        <w:rPr>
          <w:color w:val="auto"/>
          <w:sz w:val="24"/>
          <w:shd w:val="clear" w:color="auto" w:fill="auto"/>
        </w:rPr>
        <w:t>验收一览表见</w:t>
      </w:r>
      <w:r>
        <w:rPr>
          <w:rFonts w:hint="eastAsia"/>
          <w:color w:val="auto"/>
          <w:sz w:val="24"/>
          <w:shd w:val="clear" w:color="auto" w:fill="auto"/>
        </w:rPr>
        <w:t>下</w:t>
      </w:r>
      <w:r>
        <w:rPr>
          <w:color w:val="auto"/>
          <w:sz w:val="24"/>
          <w:shd w:val="clear" w:color="auto" w:fill="auto"/>
        </w:rPr>
        <w:t>表</w:t>
      </w:r>
      <w:r>
        <w:rPr>
          <w:rFonts w:hint="eastAsia"/>
          <w:color w:val="auto"/>
          <w:sz w:val="24"/>
          <w:shd w:val="clear" w:color="auto" w:fill="auto"/>
          <w:lang w:val="en-US" w:eastAsia="zh-CN"/>
        </w:rPr>
        <w:t>9.7-1</w:t>
      </w:r>
      <w:r>
        <w:rPr>
          <w:color w:val="auto"/>
          <w:sz w:val="24"/>
          <w:shd w:val="clear" w:color="auto" w:fill="auto"/>
        </w:rPr>
        <w:t>。</w:t>
      </w:r>
    </w:p>
    <w:p>
      <w:pPr>
        <w:pStyle w:val="34"/>
        <w:tabs>
          <w:tab w:val="left" w:pos="3255"/>
        </w:tabs>
        <w:spacing w:before="120" w:line="360" w:lineRule="auto"/>
        <w:ind w:firstLine="480"/>
        <w:rPr>
          <w:rFonts w:eastAsia="黑体" w:cs="Times New Roman"/>
          <w:color w:val="auto"/>
          <w:sz w:val="21"/>
          <w:szCs w:val="21"/>
          <w:highlight w:val="none"/>
          <w:shd w:val="clear" w:color="auto" w:fill="auto"/>
        </w:rPr>
      </w:pPr>
      <w:r>
        <w:rPr>
          <w:rFonts w:eastAsia="黑体" w:cs="Times New Roman"/>
          <w:color w:val="auto"/>
          <w:sz w:val="21"/>
          <w:szCs w:val="21"/>
          <w:highlight w:val="none"/>
          <w:shd w:val="clear" w:color="auto" w:fill="auto"/>
        </w:rPr>
        <w:t>表</w:t>
      </w:r>
      <w:r>
        <w:rPr>
          <w:rFonts w:hint="eastAsia" w:eastAsia="黑体" w:cs="Times New Roman"/>
          <w:color w:val="auto"/>
          <w:sz w:val="21"/>
          <w:szCs w:val="21"/>
          <w:highlight w:val="none"/>
          <w:shd w:val="clear" w:color="auto" w:fill="auto"/>
          <w:lang w:val="en-US" w:eastAsia="zh-CN"/>
        </w:rPr>
        <w:t>9</w:t>
      </w:r>
      <w:r>
        <w:rPr>
          <w:rFonts w:hint="eastAsia" w:eastAsia="黑体" w:cs="Times New Roman"/>
          <w:color w:val="auto"/>
          <w:sz w:val="21"/>
          <w:szCs w:val="21"/>
          <w:highlight w:val="none"/>
          <w:shd w:val="clear" w:color="auto" w:fill="auto"/>
        </w:rPr>
        <w:t xml:space="preserve">.7-1 </w:t>
      </w:r>
      <w:r>
        <w:rPr>
          <w:rFonts w:eastAsia="黑体" w:cs="Times New Roman"/>
          <w:color w:val="auto"/>
          <w:sz w:val="21"/>
          <w:szCs w:val="21"/>
          <w:highlight w:val="none"/>
          <w:shd w:val="clear" w:color="auto" w:fill="auto"/>
        </w:rPr>
        <w:t xml:space="preserve"> 污染防治措施“三同时”一览表</w:t>
      </w:r>
    </w:p>
    <w:tbl>
      <w:tblPr>
        <w:tblStyle w:val="26"/>
        <w:tblW w:w="84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53"/>
        <w:gridCol w:w="1665"/>
        <w:gridCol w:w="3034"/>
        <w:gridCol w:w="2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418" w:type="dxa"/>
            <w:gridSpan w:val="2"/>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项目</w:t>
            </w:r>
          </w:p>
        </w:tc>
        <w:tc>
          <w:tcPr>
            <w:tcW w:w="3034"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val="en-US"/>
              </w:rPr>
            </w:pPr>
            <w:r>
              <w:rPr>
                <w:rFonts w:hint="default" w:ascii="Times New Roman" w:hAnsi="Times New Roman" w:cs="Times New Roman"/>
                <w:color w:val="auto"/>
                <w:sz w:val="21"/>
                <w:szCs w:val="21"/>
                <w:shd w:val="clear" w:color="auto" w:fill="auto"/>
                <w:lang w:val="en-US" w:eastAsia="zh-CN"/>
              </w:rPr>
              <w:t>验收内容</w:t>
            </w:r>
          </w:p>
        </w:tc>
        <w:tc>
          <w:tcPr>
            <w:tcW w:w="2968"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53" w:type="dxa"/>
            <w:vMerge w:val="restart"/>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废水</w:t>
            </w:r>
          </w:p>
        </w:tc>
        <w:tc>
          <w:tcPr>
            <w:tcW w:w="1665"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生活污水</w:t>
            </w:r>
          </w:p>
        </w:tc>
        <w:tc>
          <w:tcPr>
            <w:tcW w:w="3034"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rPr>
              <w:t>由</w:t>
            </w:r>
            <w:r>
              <w:rPr>
                <w:rFonts w:hint="default" w:ascii="Times New Roman" w:hAnsi="Times New Roman" w:cs="Times New Roman"/>
                <w:color w:val="auto"/>
                <w:sz w:val="21"/>
                <w:szCs w:val="21"/>
                <w:shd w:val="clear" w:color="auto" w:fill="auto"/>
              </w:rPr>
              <w:t>移动厕所</w:t>
            </w:r>
            <w:r>
              <w:rPr>
                <w:rFonts w:hint="eastAsia" w:ascii="Times New Roman" w:hAnsi="Times New Roman" w:cs="Times New Roman"/>
                <w:color w:val="auto"/>
                <w:sz w:val="21"/>
                <w:szCs w:val="21"/>
                <w:shd w:val="clear" w:color="auto" w:fill="auto"/>
              </w:rPr>
              <w:t>收集</w:t>
            </w:r>
            <w:r>
              <w:rPr>
                <w:rFonts w:hint="default" w:ascii="Times New Roman" w:hAnsi="Times New Roman" w:cs="Times New Roman"/>
                <w:color w:val="auto"/>
                <w:sz w:val="21"/>
                <w:szCs w:val="21"/>
                <w:shd w:val="clear" w:color="auto" w:fill="auto"/>
              </w:rPr>
              <w:t>储存，</w:t>
            </w:r>
            <w:r>
              <w:rPr>
                <w:rFonts w:hint="eastAsia" w:ascii="Times New Roman" w:hAnsi="Times New Roman" w:cs="Times New Roman"/>
                <w:color w:val="auto"/>
                <w:sz w:val="21"/>
                <w:szCs w:val="21"/>
                <w:shd w:val="clear" w:color="auto" w:fill="auto"/>
              </w:rPr>
              <w:t>定期由清掏车外运至相关接收处理单位</w:t>
            </w:r>
          </w:p>
        </w:tc>
        <w:tc>
          <w:tcPr>
            <w:tcW w:w="2968"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53" w:type="dxa"/>
            <w:vMerge w:val="continue"/>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1665"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机械冲洗废水</w:t>
            </w:r>
          </w:p>
        </w:tc>
        <w:tc>
          <w:tcPr>
            <w:tcW w:w="3034"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eastAsia" w:cs="Times New Roman"/>
                <w:color w:val="auto"/>
                <w:sz w:val="21"/>
                <w:szCs w:val="21"/>
                <w:shd w:val="clear" w:color="auto" w:fill="auto"/>
                <w:lang w:val="en-US" w:eastAsia="zh-CN"/>
              </w:rPr>
              <w:t>1个隔油沉淀池（容积10</w:t>
            </w:r>
            <w:r>
              <w:rPr>
                <w:rFonts w:hint="eastAsia" w:cs="Times New Roman"/>
                <w:color w:val="auto"/>
                <w:sz w:val="21"/>
                <w:szCs w:val="21"/>
                <w:shd w:val="clear" w:color="auto" w:fill="auto"/>
                <w:vertAlign w:val="baseline"/>
                <w:lang w:val="en-US" w:eastAsia="zh-CN"/>
              </w:rPr>
              <w:t>m</w:t>
            </w:r>
            <w:r>
              <w:rPr>
                <w:rFonts w:hint="eastAsia" w:cs="Times New Roman"/>
                <w:color w:val="auto"/>
                <w:sz w:val="21"/>
                <w:szCs w:val="21"/>
                <w:shd w:val="clear" w:color="auto" w:fill="auto"/>
                <w:vertAlign w:val="superscript"/>
                <w:lang w:val="en-US" w:eastAsia="zh-CN"/>
              </w:rPr>
              <w:t>3</w:t>
            </w:r>
            <w:r>
              <w:rPr>
                <w:rFonts w:hint="eastAsia" w:cs="Times New Roman"/>
                <w:color w:val="auto"/>
                <w:sz w:val="21"/>
                <w:szCs w:val="21"/>
                <w:shd w:val="clear" w:color="auto" w:fill="auto"/>
                <w:lang w:val="en-US" w:eastAsia="zh-CN"/>
              </w:rPr>
              <w:t>）</w:t>
            </w:r>
          </w:p>
        </w:tc>
        <w:tc>
          <w:tcPr>
            <w:tcW w:w="2968" w:type="dxa"/>
            <w:vMerge w:val="restart"/>
            <w:tcMar>
              <w:top w:w="0" w:type="dxa"/>
              <w:left w:w="57" w:type="dxa"/>
              <w:bottom w:w="0" w:type="dxa"/>
              <w:right w:w="57" w:type="dxa"/>
            </w:tcMar>
            <w:vAlign w:val="center"/>
          </w:tcPr>
          <w:p>
            <w:pPr>
              <w:spacing w:line="240" w:lineRule="auto"/>
              <w:ind w:firstLine="0" w:firstLineChars="0"/>
              <w:jc w:val="center"/>
              <w:rPr>
                <w:rFonts w:hint="eastAsia"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val="en-US" w:eastAsia="zh-CN"/>
              </w:rPr>
              <w:t>回</w:t>
            </w:r>
            <w:r>
              <w:rPr>
                <w:rFonts w:hint="default" w:ascii="Times New Roman" w:hAnsi="Times New Roman" w:cs="Times New Roman"/>
                <w:color w:val="auto"/>
                <w:sz w:val="21"/>
                <w:szCs w:val="21"/>
                <w:shd w:val="clear" w:color="auto" w:fill="auto"/>
              </w:rPr>
              <w:t>用于洒水抑尘</w:t>
            </w:r>
            <w:r>
              <w:rPr>
                <w:rFonts w:hint="eastAsia" w:cs="Times New Roman"/>
                <w:color w:val="auto"/>
                <w:sz w:val="21"/>
                <w:szCs w:val="21"/>
                <w:shd w:val="clear" w:color="auto" w:fill="auto"/>
                <w:lang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53" w:type="dxa"/>
            <w:vMerge w:val="continue"/>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1665"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码头面冲洗</w:t>
            </w:r>
          </w:p>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rPr>
              <w:t>废水</w:t>
            </w:r>
            <w:r>
              <w:rPr>
                <w:rFonts w:hint="default" w:ascii="Times New Roman" w:hAnsi="Times New Roman" w:cs="Times New Roman"/>
                <w:color w:val="auto"/>
                <w:sz w:val="21"/>
                <w:szCs w:val="21"/>
                <w:shd w:val="clear" w:color="auto" w:fill="auto"/>
                <w:lang w:eastAsia="zh-CN"/>
              </w:rPr>
              <w:t>、</w:t>
            </w:r>
            <w:r>
              <w:rPr>
                <w:rFonts w:hint="default" w:ascii="Times New Roman" w:hAnsi="Times New Roman" w:cs="Times New Roman"/>
                <w:color w:val="auto"/>
                <w:sz w:val="21"/>
                <w:szCs w:val="21"/>
                <w:shd w:val="clear" w:color="auto" w:fill="auto"/>
                <w:lang w:val="en-US" w:eastAsia="zh-CN"/>
              </w:rPr>
              <w:t>初期雨水</w:t>
            </w:r>
          </w:p>
        </w:tc>
        <w:tc>
          <w:tcPr>
            <w:tcW w:w="3034" w:type="dxa"/>
            <w:tcMar>
              <w:top w:w="0" w:type="dxa"/>
              <w:left w:w="57" w:type="dxa"/>
              <w:bottom w:w="0" w:type="dxa"/>
              <w:right w:w="57" w:type="dxa"/>
            </w:tcMar>
            <w:vAlign w:val="center"/>
          </w:tcPr>
          <w:p>
            <w:pPr>
              <w:spacing w:line="240" w:lineRule="auto"/>
              <w:ind w:firstLine="0" w:firstLineChars="0"/>
              <w:jc w:val="center"/>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排水沟（尺寸：</w:t>
            </w:r>
            <w:r>
              <w:rPr>
                <w:rFonts w:hint="eastAsia" w:ascii="Times New Roman" w:hAnsi="Times New Roman" w:cs="Times New Roman"/>
                <w:color w:val="auto"/>
                <w:sz w:val="21"/>
                <w:szCs w:val="21"/>
                <w:shd w:val="clear" w:color="auto" w:fill="auto"/>
              </w:rPr>
              <w:t>500</w:t>
            </w:r>
            <w:r>
              <w:rPr>
                <w:rFonts w:hint="default" w:ascii="Arial" w:hAnsi="Arial" w:cs="Arial"/>
                <w:color w:val="auto"/>
                <w:sz w:val="21"/>
                <w:szCs w:val="21"/>
                <w:shd w:val="clear" w:color="auto" w:fill="auto"/>
              </w:rPr>
              <w:t>×</w:t>
            </w:r>
            <w:r>
              <w:rPr>
                <w:rFonts w:hint="eastAsia" w:ascii="Times New Roman" w:hAnsi="Times New Roman" w:cs="Times New Roman"/>
                <w:color w:val="auto"/>
                <w:sz w:val="21"/>
                <w:szCs w:val="21"/>
                <w:shd w:val="clear" w:color="auto" w:fill="auto"/>
              </w:rPr>
              <w:t>350</w:t>
            </w:r>
            <w:r>
              <w:rPr>
                <w:rFonts w:hint="eastAsia" w:cs="Times New Roman"/>
                <w:color w:val="auto"/>
                <w:sz w:val="21"/>
                <w:szCs w:val="21"/>
                <w:shd w:val="clear" w:color="auto" w:fill="auto"/>
                <w:lang w:eastAsia="zh-CN"/>
              </w:rPr>
              <w:t>mm</w:t>
            </w:r>
            <w:r>
              <w:rPr>
                <w:rFonts w:hint="eastAsia" w:ascii="Times New Roman" w:hAnsi="Times New Roman" w:cs="Times New Roman"/>
                <w:color w:val="auto"/>
                <w:sz w:val="21"/>
                <w:szCs w:val="21"/>
                <w:shd w:val="clear" w:color="auto" w:fill="auto"/>
                <w:lang w:val="en-US" w:eastAsia="zh-CN"/>
              </w:rPr>
              <w:t>）、三级</w:t>
            </w:r>
            <w:r>
              <w:rPr>
                <w:rFonts w:hint="default" w:ascii="Times New Roman" w:hAnsi="Times New Roman" w:cs="Times New Roman"/>
                <w:color w:val="auto"/>
                <w:sz w:val="21"/>
                <w:szCs w:val="21"/>
                <w:shd w:val="clear" w:color="auto" w:fill="auto"/>
              </w:rPr>
              <w:t>沉淀池</w:t>
            </w:r>
            <w:r>
              <w:rPr>
                <w:rFonts w:hint="eastAsia" w:ascii="Times New Roman" w:hAnsi="Times New Roman" w:cs="Times New Roman"/>
                <w:color w:val="auto"/>
                <w:sz w:val="21"/>
                <w:szCs w:val="21"/>
                <w:shd w:val="clear" w:color="auto" w:fill="auto"/>
                <w:lang w:eastAsia="zh-CN"/>
              </w:rPr>
              <w:t>（尺寸：</w:t>
            </w:r>
            <w:r>
              <w:rPr>
                <w:rFonts w:hint="eastAsia" w:ascii="Times New Roman" w:hAnsi="Times New Roman" w:cs="Times New Roman"/>
                <w:color w:val="auto"/>
                <w:sz w:val="21"/>
                <w:szCs w:val="21"/>
                <w:shd w:val="clear" w:color="auto" w:fill="auto"/>
              </w:rPr>
              <w:t>17</w:t>
            </w:r>
            <w:r>
              <w:rPr>
                <w:rFonts w:hint="default" w:ascii="Arial" w:hAnsi="Arial" w:cs="Arial"/>
                <w:color w:val="auto"/>
                <w:sz w:val="21"/>
                <w:szCs w:val="21"/>
                <w:shd w:val="clear" w:color="auto" w:fill="auto"/>
              </w:rPr>
              <w:t>×</w:t>
            </w:r>
            <w:r>
              <w:rPr>
                <w:rFonts w:hint="eastAsia" w:ascii="Times New Roman" w:hAnsi="Times New Roman" w:cs="Times New Roman"/>
                <w:color w:val="auto"/>
                <w:sz w:val="21"/>
                <w:szCs w:val="21"/>
                <w:shd w:val="clear" w:color="auto" w:fill="auto"/>
              </w:rPr>
              <w:t>10</w:t>
            </w:r>
            <w:r>
              <w:rPr>
                <w:rFonts w:hint="default" w:ascii="Arial" w:hAnsi="Arial" w:cs="Arial"/>
                <w:color w:val="auto"/>
                <w:sz w:val="21"/>
                <w:szCs w:val="21"/>
                <w:shd w:val="clear" w:color="auto" w:fill="auto"/>
              </w:rPr>
              <w:t>×</w:t>
            </w:r>
            <w:r>
              <w:rPr>
                <w:rFonts w:hint="eastAsia" w:ascii="Times New Roman" w:hAnsi="Times New Roman" w:cs="Times New Roman"/>
                <w:color w:val="auto"/>
                <w:sz w:val="21"/>
                <w:szCs w:val="21"/>
                <w:shd w:val="clear" w:color="auto" w:fill="auto"/>
              </w:rPr>
              <w:t>4</w:t>
            </w:r>
            <w:r>
              <w:rPr>
                <w:rFonts w:hint="eastAsia" w:cs="Times New Roman"/>
                <w:color w:val="auto"/>
                <w:sz w:val="21"/>
                <w:szCs w:val="21"/>
                <w:shd w:val="clear" w:color="auto" w:fill="auto"/>
                <w:lang w:eastAsia="zh-CN"/>
              </w:rPr>
              <w:t>m）</w:t>
            </w:r>
          </w:p>
        </w:tc>
        <w:tc>
          <w:tcPr>
            <w:tcW w:w="2968" w:type="dxa"/>
            <w:vMerge w:val="continue"/>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53" w:type="dxa"/>
            <w:vMerge w:val="restart"/>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废气</w:t>
            </w:r>
          </w:p>
        </w:tc>
        <w:tc>
          <w:tcPr>
            <w:tcW w:w="1665"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rPr>
              <w:t>运输车辆尾气</w:t>
            </w:r>
            <w:r>
              <w:rPr>
                <w:rFonts w:hint="default" w:ascii="Times New Roman" w:hAnsi="Times New Roman" w:cs="Times New Roman"/>
                <w:color w:val="auto"/>
                <w:sz w:val="21"/>
                <w:szCs w:val="21"/>
                <w:shd w:val="clear" w:color="auto" w:fill="auto"/>
              </w:rPr>
              <w:t>、到港船舶尾气</w:t>
            </w:r>
          </w:p>
        </w:tc>
        <w:tc>
          <w:tcPr>
            <w:tcW w:w="3034"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rPr>
              <w:t>自然扩散</w:t>
            </w:r>
          </w:p>
        </w:tc>
        <w:tc>
          <w:tcPr>
            <w:tcW w:w="2968" w:type="dxa"/>
            <w:vMerge w:val="restart"/>
            <w:tcMar>
              <w:top w:w="0" w:type="dxa"/>
              <w:left w:w="57" w:type="dxa"/>
              <w:bottom w:w="0" w:type="dxa"/>
              <w:right w:w="57" w:type="dxa"/>
            </w:tcMar>
            <w:vAlign w:val="center"/>
          </w:tcPr>
          <w:p>
            <w:pPr>
              <w:spacing w:line="240" w:lineRule="auto"/>
              <w:ind w:firstLine="0" w:firstLineChars="0"/>
              <w:jc w:val="center"/>
              <w:rPr>
                <w:color w:val="auto"/>
                <w:szCs w:val="21"/>
                <w:shd w:val="clear" w:color="auto" w:fill="auto"/>
              </w:rPr>
            </w:pPr>
            <w:r>
              <w:rPr>
                <w:color w:val="auto"/>
                <w:szCs w:val="21"/>
                <w:shd w:val="clear" w:color="auto" w:fill="auto"/>
              </w:rPr>
              <w:t>《</w:t>
            </w:r>
            <w:r>
              <w:rPr>
                <w:rFonts w:hint="default" w:ascii="Times New Roman" w:hAnsi="Times New Roman" w:cs="Times New Roman"/>
                <w:color w:val="auto"/>
                <w:sz w:val="21"/>
                <w:szCs w:val="21"/>
                <w:shd w:val="clear" w:color="auto" w:fill="auto"/>
                <w:lang w:val="en-US" w:eastAsia="zh-CN"/>
              </w:rPr>
              <w:t>大气污染物综合排放标准》（GB16297-1996）</w:t>
            </w:r>
            <w:r>
              <w:rPr>
                <w:rFonts w:hint="eastAsia" w:ascii="Times New Roman" w:hAnsi="Times New Roman" w:cs="Times New Roman"/>
                <w:color w:val="auto"/>
                <w:sz w:val="21"/>
                <w:szCs w:val="21"/>
                <w:shd w:val="clear" w:color="auto" w:fill="auto"/>
                <w:lang w:val="en-US" w:eastAsia="zh-CN"/>
              </w:rPr>
              <w:t>无组织排放浓度限值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53" w:type="dxa"/>
            <w:vMerge w:val="continue"/>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p>
        </w:tc>
        <w:tc>
          <w:tcPr>
            <w:tcW w:w="1665"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散货</w:t>
            </w:r>
            <w:r>
              <w:rPr>
                <w:rFonts w:hint="eastAsia" w:cs="Times New Roman"/>
                <w:color w:val="auto"/>
                <w:sz w:val="21"/>
                <w:szCs w:val="21"/>
                <w:shd w:val="clear" w:color="auto" w:fill="auto"/>
                <w:lang w:val="en-US" w:eastAsia="zh-CN"/>
              </w:rPr>
              <w:t>装卸及道路</w:t>
            </w:r>
            <w:r>
              <w:rPr>
                <w:rFonts w:hint="default" w:ascii="Times New Roman" w:hAnsi="Times New Roman" w:cs="Times New Roman"/>
                <w:color w:val="auto"/>
                <w:sz w:val="21"/>
                <w:szCs w:val="21"/>
                <w:shd w:val="clear" w:color="auto" w:fill="auto"/>
                <w:lang w:val="en-US" w:eastAsia="zh-CN"/>
              </w:rPr>
              <w:t>扬</w:t>
            </w:r>
            <w:r>
              <w:rPr>
                <w:rFonts w:hint="default" w:ascii="Times New Roman" w:hAnsi="Times New Roman" w:cs="Times New Roman"/>
                <w:color w:val="auto"/>
                <w:sz w:val="21"/>
                <w:szCs w:val="21"/>
                <w:shd w:val="clear" w:color="auto" w:fill="auto"/>
              </w:rPr>
              <w:t>尘</w:t>
            </w:r>
          </w:p>
        </w:tc>
        <w:tc>
          <w:tcPr>
            <w:tcW w:w="3034" w:type="dxa"/>
            <w:tcMar>
              <w:top w:w="0" w:type="dxa"/>
              <w:left w:w="57" w:type="dxa"/>
              <w:bottom w:w="0" w:type="dxa"/>
              <w:right w:w="57" w:type="dxa"/>
            </w:tcMar>
            <w:vAlign w:val="center"/>
          </w:tcPr>
          <w:p>
            <w:pPr>
              <w:spacing w:line="240" w:lineRule="auto"/>
              <w:ind w:firstLine="0" w:firstLineChars="0"/>
              <w:jc w:val="center"/>
              <w:rPr>
                <w:rFonts w:hint="eastAsia"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eastAsia="zh-CN"/>
              </w:rPr>
              <w:t>喷雾抑尘装置（</w:t>
            </w:r>
            <w:r>
              <w:rPr>
                <w:rFonts w:hint="default" w:ascii="Times New Roman" w:hAnsi="Times New Roman" w:cs="Times New Roman"/>
                <w:color w:val="auto"/>
                <w:sz w:val="21"/>
                <w:szCs w:val="21"/>
                <w:shd w:val="clear" w:color="auto" w:fill="auto"/>
                <w:lang w:eastAsia="zh-CN"/>
              </w:rPr>
              <w:t>3台雾炮机</w:t>
            </w:r>
            <w:r>
              <w:rPr>
                <w:rFonts w:hint="eastAsia" w:ascii="Times New Roman" w:hAnsi="Times New Roman" w:cs="Times New Roman"/>
                <w:color w:val="auto"/>
                <w:sz w:val="21"/>
                <w:szCs w:val="21"/>
                <w:shd w:val="clear" w:color="auto" w:fill="auto"/>
                <w:lang w:eastAsia="zh-CN"/>
              </w:rPr>
              <w:t>）</w:t>
            </w:r>
            <w:r>
              <w:rPr>
                <w:rFonts w:hint="eastAsia" w:cs="Times New Roman"/>
                <w:color w:val="auto"/>
                <w:sz w:val="21"/>
                <w:szCs w:val="21"/>
                <w:shd w:val="clear" w:color="auto" w:fill="auto"/>
                <w:lang w:eastAsia="zh-CN"/>
              </w:rPr>
              <w:t>、洒水车</w:t>
            </w:r>
            <w:r>
              <w:rPr>
                <w:rFonts w:hint="eastAsia" w:cs="Times New Roman"/>
                <w:color w:val="auto"/>
                <w:sz w:val="21"/>
                <w:szCs w:val="21"/>
                <w:shd w:val="clear" w:color="auto" w:fill="auto"/>
                <w:lang w:val="en-US" w:eastAsia="zh-CN"/>
              </w:rPr>
              <w:t>一</w:t>
            </w:r>
            <w:r>
              <w:rPr>
                <w:rFonts w:hint="eastAsia" w:cs="Times New Roman"/>
                <w:color w:val="auto"/>
                <w:sz w:val="21"/>
                <w:szCs w:val="21"/>
                <w:shd w:val="clear" w:color="auto" w:fill="auto"/>
                <w:lang w:eastAsia="zh-CN"/>
              </w:rPr>
              <w:t>辆</w:t>
            </w:r>
          </w:p>
        </w:tc>
        <w:tc>
          <w:tcPr>
            <w:tcW w:w="2968" w:type="dxa"/>
            <w:vMerge w:val="continue"/>
            <w:tcMar>
              <w:top w:w="0" w:type="dxa"/>
              <w:left w:w="57" w:type="dxa"/>
              <w:bottom w:w="0" w:type="dxa"/>
              <w:right w:w="57" w:type="dxa"/>
            </w:tcMar>
            <w:vAlign w:val="center"/>
          </w:tcPr>
          <w:p>
            <w:pPr>
              <w:spacing w:line="240" w:lineRule="auto"/>
              <w:ind w:firstLine="0" w:firstLineChars="0"/>
              <w:jc w:val="center"/>
              <w:rPr>
                <w:color w:val="auto"/>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53"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噪声</w:t>
            </w:r>
          </w:p>
        </w:tc>
        <w:tc>
          <w:tcPr>
            <w:tcW w:w="1665"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装卸设备</w:t>
            </w:r>
            <w:r>
              <w:rPr>
                <w:rFonts w:hint="eastAsia" w:cs="Times New Roman"/>
                <w:color w:val="auto"/>
                <w:sz w:val="21"/>
                <w:szCs w:val="21"/>
                <w:shd w:val="clear" w:color="auto" w:fill="auto"/>
                <w:lang w:eastAsia="zh-CN"/>
              </w:rPr>
              <w:t>、运输车辆</w:t>
            </w:r>
            <w:r>
              <w:rPr>
                <w:rFonts w:hint="default" w:ascii="Times New Roman" w:hAnsi="Times New Roman" w:cs="Times New Roman"/>
                <w:color w:val="auto"/>
                <w:sz w:val="21"/>
                <w:szCs w:val="21"/>
                <w:shd w:val="clear" w:color="auto" w:fill="auto"/>
              </w:rPr>
              <w:t>等噪声</w:t>
            </w:r>
          </w:p>
        </w:tc>
        <w:tc>
          <w:tcPr>
            <w:tcW w:w="3034"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lang w:val="en-US" w:eastAsia="zh-CN"/>
              </w:rPr>
              <w:t>采用低噪声设备，基础</w:t>
            </w:r>
            <w:r>
              <w:rPr>
                <w:rFonts w:hint="default" w:ascii="Times New Roman" w:hAnsi="Times New Roman" w:cs="Times New Roman"/>
                <w:color w:val="auto"/>
                <w:sz w:val="21"/>
                <w:szCs w:val="21"/>
                <w:shd w:val="clear" w:color="auto" w:fill="auto"/>
              </w:rPr>
              <w:t>减振等</w:t>
            </w:r>
          </w:p>
        </w:tc>
        <w:tc>
          <w:tcPr>
            <w:tcW w:w="2968"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lang w:val="en-US" w:eastAsia="zh-CN"/>
              </w:rPr>
              <w:t>厂界满足</w:t>
            </w:r>
            <w:r>
              <w:rPr>
                <w:rFonts w:hint="default" w:ascii="Times New Roman" w:hAnsi="Times New Roman" w:cs="Times New Roman"/>
                <w:color w:val="auto"/>
                <w:sz w:val="21"/>
                <w:szCs w:val="21"/>
                <w:shd w:val="clear" w:color="auto" w:fill="auto"/>
                <w:lang w:val="en-US" w:eastAsia="zh-CN"/>
              </w:rPr>
              <w:t>《工业企业厂界环境噪声排放标准》</w:t>
            </w:r>
            <w:r>
              <w:rPr>
                <w:rFonts w:hint="eastAsia" w:cs="Times New Roman"/>
                <w:color w:val="auto"/>
                <w:sz w:val="21"/>
                <w:szCs w:val="21"/>
                <w:shd w:val="clear" w:color="auto" w:fill="auto"/>
                <w:lang w:val="en-US" w:eastAsia="zh-CN"/>
              </w:rPr>
              <w:t>（</w:t>
            </w:r>
            <w:r>
              <w:rPr>
                <w:rFonts w:hint="default" w:ascii="Times New Roman" w:hAnsi="Times New Roman" w:cs="Times New Roman"/>
                <w:color w:val="auto"/>
                <w:sz w:val="21"/>
                <w:szCs w:val="21"/>
                <w:shd w:val="clear" w:color="auto" w:fill="auto"/>
                <w:lang w:val="en-US" w:eastAsia="zh-CN"/>
              </w:rPr>
              <w:t>GB12348-2008</w:t>
            </w:r>
            <w:r>
              <w:rPr>
                <w:rFonts w:hint="eastAsia" w:cs="Times New Roman"/>
                <w:color w:val="auto"/>
                <w:sz w:val="21"/>
                <w:szCs w:val="21"/>
                <w:shd w:val="clear" w:color="auto" w:fill="auto"/>
                <w:lang w:val="en-US" w:eastAsia="zh-CN"/>
              </w:rPr>
              <w:t>）3</w:t>
            </w:r>
            <w:r>
              <w:rPr>
                <w:rFonts w:hint="eastAsia" w:ascii="Times New Roman" w:hAnsi="Times New Roman" w:cs="Times New Roman"/>
                <w:color w:val="auto"/>
                <w:sz w:val="21"/>
                <w:szCs w:val="21"/>
                <w:shd w:val="clear" w:color="auto" w:fill="auto"/>
                <w:lang w:val="en-US" w:eastAsia="zh-CN"/>
              </w:rPr>
              <w:t>和4</w:t>
            </w:r>
            <w:r>
              <w:rPr>
                <w:rFonts w:hint="default" w:ascii="Times New Roman" w:hAnsi="Times New Roman" w:cs="Times New Roman"/>
                <w:color w:val="auto"/>
                <w:sz w:val="21"/>
                <w:szCs w:val="21"/>
                <w:shd w:val="clear" w:color="auto" w:fill="auto"/>
                <w:lang w:val="en-US" w:eastAsia="zh-CN"/>
              </w:rPr>
              <w:t>类标准</w:t>
            </w:r>
            <w:r>
              <w:rPr>
                <w:rFonts w:hint="eastAsia" w:ascii="Times New Roman" w:hAnsi="Times New Roman" w:cs="Times New Roman"/>
                <w:color w:val="auto"/>
                <w:sz w:val="21"/>
                <w:szCs w:val="21"/>
                <w:shd w:val="clear" w:color="auto" w:fill="auto"/>
                <w:lang w:val="en-US" w:eastAsia="zh-CN"/>
              </w:rPr>
              <w:t>；敏感点满足</w:t>
            </w:r>
            <w:r>
              <w:rPr>
                <w:rFonts w:hint="default" w:ascii="Times New Roman" w:hAnsi="Times New Roman" w:cs="Times New Roman"/>
                <w:color w:val="auto"/>
                <w:sz w:val="21"/>
                <w:szCs w:val="21"/>
                <w:shd w:val="clear" w:color="auto" w:fill="auto"/>
                <w:lang w:val="en-US" w:eastAsia="zh-CN"/>
              </w:rPr>
              <w:t>《声环境质量标准》（GB3096-2008）中</w:t>
            </w:r>
            <w:r>
              <w:rPr>
                <w:rFonts w:hint="eastAsia" w:ascii="Times New Roman" w:hAnsi="Times New Roman" w:cs="Times New Roman"/>
                <w:color w:val="auto"/>
                <w:sz w:val="21"/>
                <w:szCs w:val="21"/>
                <w:shd w:val="clear" w:color="auto" w:fill="auto"/>
                <w:lang w:val="en-US" w:eastAsia="zh-CN"/>
              </w:rPr>
              <w:t>2类</w:t>
            </w:r>
            <w:r>
              <w:rPr>
                <w:rFonts w:hint="default" w:ascii="Times New Roman" w:hAnsi="Times New Roman" w:cs="Times New Roman"/>
                <w:color w:val="auto"/>
                <w:sz w:val="21"/>
                <w:szCs w:val="21"/>
                <w:shd w:val="clear" w:color="auto" w:fill="auto"/>
                <w:lang w:val="en-US" w:eastAsia="zh-CN"/>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23" w:hRule="atLeast"/>
          <w:jc w:val="center"/>
        </w:trPr>
        <w:tc>
          <w:tcPr>
            <w:tcW w:w="753" w:type="dxa"/>
            <w:vMerge w:val="restart"/>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val="en-US" w:eastAsia="zh-CN"/>
              </w:rPr>
              <w:t>固废</w:t>
            </w:r>
          </w:p>
        </w:tc>
        <w:tc>
          <w:tcPr>
            <w:tcW w:w="1665"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lang w:val="en-US" w:eastAsia="zh-CN"/>
              </w:rPr>
              <w:t>一般固废</w:t>
            </w:r>
          </w:p>
        </w:tc>
        <w:tc>
          <w:tcPr>
            <w:tcW w:w="3034"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生活垃圾</w:t>
            </w:r>
            <w:r>
              <w:rPr>
                <w:rFonts w:hint="eastAsia" w:cs="Times New Roman"/>
                <w:color w:val="auto"/>
                <w:sz w:val="21"/>
                <w:szCs w:val="21"/>
                <w:shd w:val="clear" w:color="auto" w:fill="auto"/>
                <w:lang w:eastAsia="zh-CN"/>
              </w:rPr>
              <w:t>、沉淀池污泥等集中收集后</w:t>
            </w:r>
            <w:r>
              <w:rPr>
                <w:rFonts w:hint="eastAsia" w:cs="Times New Roman"/>
                <w:color w:val="auto"/>
                <w:sz w:val="21"/>
                <w:szCs w:val="21"/>
                <w:shd w:val="clear" w:color="auto" w:fill="auto"/>
                <w:lang w:val="en-US" w:eastAsia="zh-CN"/>
              </w:rPr>
              <w:t>交由</w:t>
            </w:r>
            <w:r>
              <w:rPr>
                <w:rFonts w:hint="default" w:ascii="Times New Roman" w:hAnsi="Times New Roman" w:cs="Times New Roman"/>
                <w:color w:val="auto"/>
                <w:sz w:val="21"/>
                <w:szCs w:val="21"/>
                <w:shd w:val="clear" w:color="auto" w:fill="auto"/>
              </w:rPr>
              <w:t>环卫部门清运处理</w:t>
            </w:r>
          </w:p>
        </w:tc>
        <w:tc>
          <w:tcPr>
            <w:tcW w:w="2968"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rPr>
            </w:pPr>
            <w:r>
              <w:rPr>
                <w:rFonts w:hint="eastAsia" w:cs="Times New Roman"/>
                <w:color w:val="auto"/>
                <w:sz w:val="21"/>
                <w:szCs w:val="21"/>
                <w:shd w:val="clear" w:color="auto" w:fill="auto"/>
                <w:lang w:eastAsia="zh-CN"/>
              </w:rPr>
              <w:t>一般废物贮存执行《一般工业固体废物贮存、处理场污染控制标准》（GB18599-2001）及其2013修改单内容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53" w:type="dxa"/>
            <w:vMerge w:val="continue"/>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val="en-US" w:eastAsia="zh-CN"/>
              </w:rPr>
            </w:pPr>
          </w:p>
        </w:tc>
        <w:tc>
          <w:tcPr>
            <w:tcW w:w="1665" w:type="dxa"/>
            <w:tcMar>
              <w:top w:w="0" w:type="dxa"/>
              <w:left w:w="57" w:type="dxa"/>
              <w:bottom w:w="0" w:type="dxa"/>
              <w:right w:w="57" w:type="dxa"/>
            </w:tcMar>
            <w:vAlign w:val="center"/>
          </w:tcPr>
          <w:p>
            <w:pPr>
              <w:spacing w:line="240" w:lineRule="auto"/>
              <w:ind w:firstLine="0" w:firstLineChars="0"/>
              <w:jc w:val="center"/>
              <w:rPr>
                <w:rFonts w:hint="default"/>
                <w:color w:val="auto"/>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危险固废</w:t>
            </w:r>
          </w:p>
        </w:tc>
        <w:tc>
          <w:tcPr>
            <w:tcW w:w="3034"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eastAsia="zh-CN"/>
              </w:rPr>
              <w:t>隔油沉淀池池浮油用</w:t>
            </w:r>
            <w:r>
              <w:rPr>
                <w:rFonts w:hint="eastAsia" w:ascii="Times New Roman" w:hAnsi="Times New Roman" w:cs="Times New Roman"/>
                <w:color w:val="auto"/>
                <w:sz w:val="21"/>
                <w:szCs w:val="21"/>
                <w:shd w:val="clear" w:color="auto" w:fill="auto"/>
              </w:rPr>
              <w:t>油污收集桶进行收集</w:t>
            </w:r>
            <w:r>
              <w:rPr>
                <w:rFonts w:hint="eastAsia" w:cs="Times New Roman"/>
                <w:color w:val="auto"/>
                <w:sz w:val="21"/>
                <w:szCs w:val="21"/>
                <w:shd w:val="clear" w:color="auto" w:fill="auto"/>
                <w:lang w:eastAsia="zh-CN"/>
              </w:rPr>
              <w:t>后，妥善暂存于危废暂存间，再</w:t>
            </w:r>
            <w:r>
              <w:rPr>
                <w:rFonts w:hint="eastAsia" w:cs="Times New Roman"/>
                <w:color w:val="auto"/>
                <w:sz w:val="21"/>
                <w:szCs w:val="21"/>
                <w:shd w:val="clear" w:color="auto" w:fill="auto"/>
                <w:lang w:val="en-US" w:eastAsia="zh-CN"/>
              </w:rPr>
              <w:t>交由</w:t>
            </w:r>
            <w:r>
              <w:rPr>
                <w:rFonts w:hint="default" w:ascii="Times New Roman" w:hAnsi="Times New Roman" w:cs="Times New Roman"/>
                <w:color w:val="auto"/>
                <w:sz w:val="21"/>
                <w:szCs w:val="21"/>
                <w:shd w:val="clear" w:color="auto" w:fill="auto"/>
                <w:lang w:val="en-US" w:eastAsia="zh-CN"/>
              </w:rPr>
              <w:t>有资质单位安全处置</w:t>
            </w:r>
            <w:r>
              <w:rPr>
                <w:rFonts w:hint="eastAsia" w:cs="Times New Roman"/>
                <w:color w:val="auto"/>
                <w:sz w:val="21"/>
                <w:szCs w:val="21"/>
                <w:shd w:val="clear" w:color="auto" w:fill="auto"/>
                <w:lang w:eastAsia="zh-CN"/>
              </w:rPr>
              <w:t>；设置</w:t>
            </w:r>
            <w:r>
              <w:rPr>
                <w:rFonts w:hint="eastAsia" w:cs="Times New Roman"/>
                <w:color w:val="auto"/>
                <w:sz w:val="21"/>
                <w:szCs w:val="21"/>
                <w:shd w:val="clear" w:color="auto" w:fill="auto"/>
                <w:lang w:val="en-US" w:eastAsia="zh-CN"/>
              </w:rPr>
              <w:t>1间5</w:t>
            </w:r>
            <w:r>
              <w:rPr>
                <w:rFonts w:hint="eastAsia" w:cs="Times New Roman"/>
                <w:color w:val="auto"/>
                <w:sz w:val="21"/>
                <w:szCs w:val="21"/>
                <w:shd w:val="clear" w:color="auto" w:fill="auto"/>
                <w:vertAlign w:val="baseline"/>
                <w:lang w:val="en-US" w:eastAsia="zh-CN"/>
              </w:rPr>
              <w:t>m</w:t>
            </w:r>
            <w:r>
              <w:rPr>
                <w:rFonts w:hint="eastAsia" w:cs="Times New Roman"/>
                <w:color w:val="auto"/>
                <w:sz w:val="21"/>
                <w:szCs w:val="21"/>
                <w:shd w:val="clear" w:color="auto" w:fill="auto"/>
                <w:vertAlign w:val="superscript"/>
                <w:lang w:val="en-US" w:eastAsia="zh-CN"/>
              </w:rPr>
              <w:t>2</w:t>
            </w:r>
            <w:r>
              <w:rPr>
                <w:rFonts w:hint="eastAsia" w:cs="Times New Roman"/>
                <w:color w:val="auto"/>
                <w:sz w:val="21"/>
                <w:szCs w:val="21"/>
                <w:shd w:val="clear" w:color="auto" w:fill="auto"/>
                <w:vertAlign w:val="baseline"/>
                <w:lang w:val="en-US" w:eastAsia="zh-CN"/>
              </w:rPr>
              <w:t>的危废暂存间，并</w:t>
            </w:r>
            <w:r>
              <w:rPr>
                <w:rFonts w:hint="eastAsia" w:ascii="Times New Roman" w:hAnsi="Times New Roman" w:cs="Times New Roman"/>
                <w:color w:val="auto"/>
                <w:sz w:val="21"/>
                <w:szCs w:val="21"/>
                <w:shd w:val="clear" w:color="auto" w:fill="auto"/>
                <w:lang w:val="en-US" w:eastAsia="zh-CN"/>
              </w:rPr>
              <w:t>满足防风、防雨、防晒、防渗的要求。</w:t>
            </w:r>
          </w:p>
        </w:tc>
        <w:tc>
          <w:tcPr>
            <w:tcW w:w="2968" w:type="dxa"/>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val="en-US" w:eastAsia="zh-CN"/>
              </w:rPr>
            </w:pPr>
            <w:r>
              <w:rPr>
                <w:rFonts w:hint="eastAsia" w:cs="Times New Roman"/>
                <w:color w:val="auto"/>
                <w:sz w:val="21"/>
                <w:szCs w:val="21"/>
                <w:shd w:val="clear" w:color="auto" w:fill="auto"/>
                <w:lang w:eastAsia="zh-CN"/>
              </w:rPr>
              <w:t>危险废物暂存应严格按照</w:t>
            </w:r>
            <w:r>
              <w:rPr>
                <w:rFonts w:hint="default" w:ascii="Times New Roman" w:hAnsi="Times New Roman" w:cs="Times New Roman"/>
                <w:color w:val="auto"/>
                <w:sz w:val="21"/>
                <w:szCs w:val="21"/>
                <w:shd w:val="clear" w:color="auto" w:fill="auto"/>
              </w:rPr>
              <w:t>《危险废物贮存污染控制标准》GB18597-2001</w:t>
            </w:r>
            <w:r>
              <w:rPr>
                <w:rFonts w:hint="eastAsia" w:ascii="Times New Roman" w:hAnsi="Times New Roman" w:cs="Times New Roman"/>
                <w:color w:val="auto"/>
                <w:sz w:val="21"/>
                <w:szCs w:val="21"/>
                <w:shd w:val="clear" w:color="auto" w:fill="auto"/>
              </w:rPr>
              <w:t>及其2013修改单内容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418" w:type="dxa"/>
            <w:gridSpan w:val="2"/>
            <w:tcMar>
              <w:top w:w="0" w:type="dxa"/>
              <w:left w:w="57" w:type="dxa"/>
              <w:bottom w:w="0" w:type="dxa"/>
              <w:right w:w="57" w:type="dxa"/>
            </w:tcMar>
            <w:vAlign w:val="center"/>
          </w:tcPr>
          <w:p>
            <w:pPr>
              <w:spacing w:line="240" w:lineRule="auto"/>
              <w:ind w:firstLine="0" w:firstLineChars="0"/>
              <w:jc w:val="center"/>
              <w:rPr>
                <w:rFonts w:hint="default" w:cs="Times New Roman"/>
                <w:color w:val="auto"/>
                <w:sz w:val="21"/>
                <w:szCs w:val="21"/>
                <w:shd w:val="clear" w:color="auto" w:fill="auto"/>
                <w:lang w:val="en-US" w:eastAsia="zh-CN"/>
              </w:rPr>
            </w:pPr>
            <w:r>
              <w:rPr>
                <w:rFonts w:hint="default" w:cs="Times New Roman"/>
                <w:color w:val="auto"/>
                <w:sz w:val="21"/>
                <w:szCs w:val="21"/>
                <w:shd w:val="clear" w:color="auto" w:fill="auto"/>
                <w:lang w:val="en-US" w:eastAsia="zh-CN"/>
              </w:rPr>
              <w:t>环境风险</w:t>
            </w:r>
          </w:p>
        </w:tc>
        <w:tc>
          <w:tcPr>
            <w:tcW w:w="6002" w:type="dxa"/>
            <w:gridSpan w:val="2"/>
            <w:tcMar>
              <w:top w:w="0" w:type="dxa"/>
              <w:left w:w="57" w:type="dxa"/>
              <w:bottom w:w="0" w:type="dxa"/>
              <w:right w:w="57" w:type="dxa"/>
            </w:tcMar>
            <w:vAlign w:val="center"/>
          </w:tcPr>
          <w:p>
            <w:pPr>
              <w:spacing w:line="240" w:lineRule="auto"/>
              <w:ind w:firstLine="0" w:firstLineChars="0"/>
              <w:jc w:val="center"/>
              <w:rPr>
                <w:rFonts w:hint="eastAsia"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①</w:t>
            </w:r>
            <w:r>
              <w:rPr>
                <w:rFonts w:hint="eastAsia" w:ascii="Times New Roman" w:hAnsi="Times New Roman" w:cs="Times New Roman"/>
                <w:color w:val="auto"/>
                <w:sz w:val="21"/>
                <w:szCs w:val="21"/>
                <w:shd w:val="clear" w:color="auto" w:fill="auto"/>
                <w:lang w:val="en-US" w:eastAsia="zh-CN"/>
              </w:rPr>
              <w:t>配备必要的溢油应急设备，包括：围油栏及附属设备、收油机、油拖网、吸油毡、溢油分散剂、溢油分散剂喷洒装置、回收废油储存装置等；</w:t>
            </w:r>
            <w:r>
              <w:rPr>
                <w:rFonts w:hint="default" w:ascii="Times New Roman" w:hAnsi="Times New Roman" w:cs="Times New Roman"/>
                <w:color w:val="auto"/>
                <w:sz w:val="21"/>
                <w:szCs w:val="21"/>
                <w:shd w:val="clear" w:color="auto" w:fill="auto"/>
                <w:lang w:val="en-US" w:eastAsia="zh-CN"/>
              </w:rPr>
              <w:t>②</w:t>
            </w:r>
            <w:r>
              <w:rPr>
                <w:rFonts w:hint="eastAsia" w:ascii="Times New Roman" w:hAnsi="Times New Roman" w:cs="Times New Roman"/>
                <w:color w:val="auto"/>
                <w:sz w:val="21"/>
                <w:szCs w:val="21"/>
                <w:shd w:val="clear" w:color="auto" w:fill="auto"/>
                <w:lang w:val="en-US" w:eastAsia="zh-CN"/>
              </w:rPr>
              <w:t>按要求建立溢油应急体系和制订溢油应急预案；</w:t>
            </w:r>
            <w:r>
              <w:rPr>
                <w:rFonts w:hint="default" w:ascii="Times New Roman" w:hAnsi="Times New Roman" w:cs="Times New Roman"/>
                <w:color w:val="auto"/>
                <w:sz w:val="21"/>
                <w:szCs w:val="21"/>
                <w:shd w:val="clear" w:color="auto" w:fill="auto"/>
                <w:lang w:val="en-US" w:eastAsia="zh-CN"/>
              </w:rPr>
              <w:t>③</w:t>
            </w:r>
            <w:r>
              <w:rPr>
                <w:rFonts w:hint="eastAsia" w:ascii="Times New Roman" w:hAnsi="Times New Roman" w:cs="Times New Roman"/>
                <w:color w:val="auto"/>
                <w:sz w:val="21"/>
                <w:szCs w:val="21"/>
                <w:shd w:val="clear" w:color="auto" w:fill="auto"/>
                <w:lang w:val="en-US" w:eastAsia="zh-CN"/>
              </w:rPr>
              <w:t>加强环保宣传教育，提高船员和全体人员的环保意识；④制定一整套严格的安全生产操作规章制度</w:t>
            </w:r>
            <w:r>
              <w:rPr>
                <w:rFonts w:hint="eastAsia" w:cs="Times New Roman"/>
                <w:color w:val="auto"/>
                <w:sz w:val="21"/>
                <w:szCs w:val="21"/>
                <w:shd w:val="clear" w:color="auto" w:fil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418" w:type="dxa"/>
            <w:gridSpan w:val="2"/>
            <w:tcMar>
              <w:top w:w="0" w:type="dxa"/>
              <w:left w:w="57" w:type="dxa"/>
              <w:bottom w:w="0" w:type="dxa"/>
              <w:right w:w="57" w:type="dxa"/>
            </w:tcMar>
            <w:vAlign w:val="center"/>
          </w:tcPr>
          <w:p>
            <w:pPr>
              <w:spacing w:line="240" w:lineRule="auto"/>
              <w:ind w:firstLine="0" w:firstLineChars="0"/>
              <w:jc w:val="center"/>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生态补偿措施</w:t>
            </w:r>
          </w:p>
        </w:tc>
        <w:tc>
          <w:tcPr>
            <w:tcW w:w="6002" w:type="dxa"/>
            <w:gridSpan w:val="2"/>
            <w:tcMar>
              <w:top w:w="0" w:type="dxa"/>
              <w:left w:w="57" w:type="dxa"/>
              <w:bottom w:w="0" w:type="dxa"/>
              <w:right w:w="57" w:type="dxa"/>
            </w:tcMar>
            <w:vAlign w:val="center"/>
          </w:tcPr>
          <w:p>
            <w:pPr>
              <w:spacing w:line="240" w:lineRule="auto"/>
              <w:ind w:firstLine="0" w:firstLineChars="0"/>
              <w:jc w:val="center"/>
              <w:rPr>
                <w:rFonts w:hint="eastAsia" w:ascii="Times New Roman" w:hAnsi="Times New Roman" w:cs="Times New Roman"/>
                <w:color w:val="auto"/>
                <w:sz w:val="21"/>
                <w:szCs w:val="21"/>
                <w:shd w:val="clear" w:color="auto" w:fill="auto"/>
                <w:vertAlign w:val="baseline"/>
                <w:lang w:val="en-US" w:eastAsia="zh-CN"/>
              </w:rPr>
            </w:pPr>
            <w:r>
              <w:rPr>
                <w:rFonts w:hint="eastAsia" w:cs="Times New Roman"/>
                <w:color w:val="auto"/>
                <w:sz w:val="21"/>
                <w:szCs w:val="21"/>
                <w:shd w:val="clear" w:color="auto" w:fill="auto"/>
                <w:lang w:val="en-US" w:eastAsia="zh-CN"/>
              </w:rPr>
              <w:t>厂区</w:t>
            </w:r>
            <w:r>
              <w:rPr>
                <w:rFonts w:hint="default" w:ascii="Times New Roman" w:hAnsi="Times New Roman" w:cs="Times New Roman"/>
                <w:color w:val="auto"/>
                <w:sz w:val="21"/>
                <w:szCs w:val="21"/>
                <w:shd w:val="clear" w:color="auto" w:fill="auto"/>
                <w:lang w:val="en-US" w:eastAsia="zh-CN"/>
              </w:rPr>
              <w:t>绿化、水土保持等</w:t>
            </w:r>
            <w:r>
              <w:rPr>
                <w:rFonts w:hint="eastAsia" w:cs="Times New Roman"/>
                <w:color w:val="auto"/>
                <w:sz w:val="21"/>
                <w:szCs w:val="21"/>
                <w:shd w:val="clear" w:color="auto" w:fill="auto"/>
                <w:lang w:val="en-US" w:eastAsia="zh-CN"/>
              </w:rPr>
              <w:t>，绿化</w:t>
            </w:r>
            <w:r>
              <w:rPr>
                <w:rFonts w:hint="eastAsia" w:cs="Times New Roman"/>
                <w:color w:val="auto"/>
                <w:sz w:val="21"/>
                <w:szCs w:val="21"/>
                <w:shd w:val="clear" w:color="auto" w:fill="auto"/>
                <w:lang w:eastAsia="zh-CN"/>
              </w:rPr>
              <w:t>面积</w:t>
            </w:r>
            <w:r>
              <w:rPr>
                <w:rFonts w:hint="eastAsia" w:cs="Times New Roman"/>
                <w:color w:val="FF0000"/>
                <w:sz w:val="21"/>
                <w:szCs w:val="21"/>
                <w:shd w:val="clear" w:color="auto" w:fill="auto"/>
                <w:lang w:val="en-US" w:eastAsia="zh-CN"/>
              </w:rPr>
              <w:t>10000</w:t>
            </w:r>
            <w:r>
              <w:rPr>
                <w:rFonts w:hint="eastAsia" w:cs="Times New Roman"/>
                <w:color w:val="auto"/>
                <w:sz w:val="21"/>
                <w:szCs w:val="21"/>
                <w:shd w:val="clear" w:color="auto" w:fill="auto"/>
                <w:vertAlign w:val="baseline"/>
                <w:lang w:val="en-US" w:eastAsia="zh-CN"/>
              </w:rPr>
              <w:t>m</w:t>
            </w:r>
            <w:r>
              <w:rPr>
                <w:rFonts w:hint="eastAsia" w:cs="Times New Roman"/>
                <w:color w:val="auto"/>
                <w:sz w:val="21"/>
                <w:szCs w:val="21"/>
                <w:shd w:val="clear" w:color="auto" w:fill="auto"/>
                <w:vertAlign w:val="superscript"/>
                <w:lang w:val="en-US" w:eastAsia="zh-CN"/>
              </w:rPr>
              <w:t>2</w:t>
            </w:r>
            <w:r>
              <w:rPr>
                <w:rFonts w:hint="eastAsia" w:cs="Times New Roman"/>
                <w:color w:val="auto"/>
                <w:sz w:val="21"/>
                <w:szCs w:val="21"/>
                <w:shd w:val="clear" w:color="auto" w:fill="auto"/>
                <w:vertAlign w:val="baseline"/>
                <w:lang w:val="en-US" w:eastAsia="zh-CN"/>
              </w:rPr>
              <w:t>。</w:t>
            </w:r>
          </w:p>
        </w:tc>
      </w:tr>
    </w:tbl>
    <w:p>
      <w:pPr>
        <w:pStyle w:val="4"/>
        <w:spacing w:before="156" w:after="156"/>
        <w:rPr>
          <w:color w:val="auto"/>
          <w:shd w:val="clear" w:color="auto" w:fill="auto"/>
        </w:rPr>
      </w:pPr>
      <w:bookmarkStart w:id="521" w:name="_Toc27894"/>
      <w:bookmarkStart w:id="522" w:name="_Toc3328_WPSOffice_Level2"/>
      <w:bookmarkStart w:id="523" w:name="_Toc17976_WPSOffice_Level2"/>
      <w:r>
        <w:rPr>
          <w:rFonts w:hint="eastAsia"/>
          <w:color w:val="auto"/>
          <w:shd w:val="clear" w:color="auto" w:fill="auto"/>
          <w:lang w:val="en-US" w:eastAsia="zh-CN"/>
        </w:rPr>
        <w:t>9</w:t>
      </w:r>
      <w:r>
        <w:rPr>
          <w:rFonts w:hint="eastAsia"/>
          <w:color w:val="auto"/>
          <w:shd w:val="clear" w:color="auto" w:fill="auto"/>
        </w:rPr>
        <w:t>.</w:t>
      </w:r>
      <w:r>
        <w:rPr>
          <w:rFonts w:hint="eastAsia"/>
          <w:color w:val="auto"/>
          <w:shd w:val="clear" w:color="auto" w:fill="auto"/>
          <w:lang w:val="en-US" w:eastAsia="zh-CN"/>
        </w:rPr>
        <w:t xml:space="preserve">8 </w:t>
      </w:r>
      <w:r>
        <w:rPr>
          <w:rFonts w:hint="eastAsia"/>
          <w:color w:val="auto"/>
          <w:shd w:val="clear" w:color="auto" w:fill="auto"/>
        </w:rPr>
        <w:t>总体评价结论</w:t>
      </w:r>
      <w:bookmarkEnd w:id="521"/>
      <w:bookmarkEnd w:id="522"/>
      <w:bookmarkEnd w:id="523"/>
    </w:p>
    <w:p>
      <w:pPr>
        <w:ind w:firstLine="480"/>
        <w:rPr>
          <w:color w:val="auto"/>
          <w:shd w:val="clear" w:color="auto" w:fill="auto"/>
        </w:rPr>
      </w:pPr>
      <w:r>
        <w:rPr>
          <w:rFonts w:hint="eastAsia"/>
          <w:color w:val="auto"/>
          <w:shd w:val="clear" w:color="auto" w:fill="auto"/>
          <w:lang w:val="en-US" w:eastAsia="zh-CN"/>
        </w:rPr>
        <w:t>阜阳港太和港区陶庙作业区码头工程</w:t>
      </w:r>
      <w:r>
        <w:rPr>
          <w:color w:val="auto"/>
          <w:shd w:val="clear" w:color="auto" w:fill="auto"/>
        </w:rPr>
        <w:t>符合《</w:t>
      </w:r>
      <w:r>
        <w:rPr>
          <w:rFonts w:hint="eastAsia"/>
          <w:color w:val="auto"/>
          <w:shd w:val="clear" w:color="auto" w:fill="auto"/>
          <w:lang w:val="en-US" w:eastAsia="zh-CN"/>
        </w:rPr>
        <w:t>太和</w:t>
      </w:r>
      <w:r>
        <w:rPr>
          <w:rFonts w:hint="eastAsia"/>
          <w:color w:val="auto"/>
          <w:shd w:val="clear" w:color="auto" w:fill="auto"/>
        </w:rPr>
        <w:t>县</w:t>
      </w:r>
      <w:r>
        <w:rPr>
          <w:color w:val="auto"/>
          <w:shd w:val="clear" w:color="auto" w:fill="auto"/>
        </w:rPr>
        <w:t>总体规划</w:t>
      </w:r>
      <w:r>
        <w:rPr>
          <w:rFonts w:hint="eastAsia"/>
          <w:color w:val="auto"/>
          <w:shd w:val="clear" w:color="auto" w:fill="auto"/>
          <w:lang w:eastAsia="zh-CN"/>
        </w:rPr>
        <w:t>（</w:t>
      </w:r>
      <w:r>
        <w:rPr>
          <w:rFonts w:hint="eastAsia"/>
          <w:color w:val="auto"/>
          <w:shd w:val="clear" w:color="auto" w:fill="auto"/>
          <w:lang w:val="en-US" w:eastAsia="zh-CN"/>
        </w:rPr>
        <w:t>2013-2030</w:t>
      </w:r>
      <w:r>
        <w:rPr>
          <w:rFonts w:hint="eastAsia"/>
          <w:color w:val="auto"/>
          <w:shd w:val="clear" w:color="auto" w:fill="auto"/>
          <w:lang w:eastAsia="zh-CN"/>
        </w:rPr>
        <w:t>）</w:t>
      </w:r>
      <w:r>
        <w:rPr>
          <w:color w:val="auto"/>
          <w:shd w:val="clear" w:color="auto" w:fill="auto"/>
        </w:rPr>
        <w:t>》及《</w:t>
      </w:r>
      <w:r>
        <w:rPr>
          <w:rFonts w:hint="eastAsia"/>
          <w:color w:val="auto"/>
          <w:shd w:val="clear" w:color="auto" w:fill="auto"/>
          <w:lang w:val="en-US" w:eastAsia="zh-CN"/>
        </w:rPr>
        <w:t>阜阳</w:t>
      </w:r>
      <w:r>
        <w:rPr>
          <w:color w:val="auto"/>
          <w:shd w:val="clear" w:color="auto" w:fill="auto"/>
        </w:rPr>
        <w:t>港总体规划</w:t>
      </w:r>
      <w:r>
        <w:rPr>
          <w:rFonts w:hint="eastAsia"/>
          <w:color w:val="auto"/>
          <w:shd w:val="clear" w:color="auto" w:fill="auto"/>
        </w:rPr>
        <w:t>（调整）</w:t>
      </w:r>
      <w:r>
        <w:rPr>
          <w:color w:val="auto"/>
          <w:shd w:val="clear" w:color="auto" w:fill="auto"/>
        </w:rPr>
        <w:t>》</w:t>
      </w:r>
      <w:r>
        <w:rPr>
          <w:color w:val="auto"/>
          <w:shd w:val="clear" w:color="auto" w:fill="auto"/>
        </w:rPr>
        <w:t>的要求。根据</w:t>
      </w:r>
      <w:r>
        <w:rPr>
          <w:rFonts w:hint="eastAsia"/>
          <w:color w:val="auto"/>
          <w:shd w:val="clear" w:color="auto" w:fill="auto"/>
          <w:lang w:eastAsia="zh-CN"/>
        </w:rPr>
        <w:t>《产业结构调整指导目录（2019年本）》</w:t>
      </w:r>
      <w:r>
        <w:rPr>
          <w:color w:val="auto"/>
          <w:shd w:val="clear" w:color="auto" w:fill="auto"/>
        </w:rPr>
        <w:t>，本项目属于国家鼓励类发展产业。</w:t>
      </w:r>
      <w:r>
        <w:rPr>
          <w:rFonts w:hint="eastAsia"/>
          <w:color w:val="auto"/>
          <w:shd w:val="clear" w:color="auto" w:fill="auto"/>
        </w:rPr>
        <w:t>工程的实施对于带动</w:t>
      </w:r>
      <w:r>
        <w:rPr>
          <w:rFonts w:hint="eastAsia"/>
          <w:color w:val="auto"/>
          <w:shd w:val="clear" w:color="auto" w:fill="auto"/>
          <w:lang w:val="en-US" w:eastAsia="zh-CN"/>
        </w:rPr>
        <w:t>太和县</w:t>
      </w:r>
      <w:r>
        <w:rPr>
          <w:rFonts w:hint="eastAsia"/>
          <w:color w:val="auto"/>
          <w:shd w:val="clear" w:color="auto" w:fill="auto"/>
        </w:rPr>
        <w:t>的内河航运，沟通</w:t>
      </w:r>
      <w:r>
        <w:rPr>
          <w:rFonts w:hint="eastAsia"/>
          <w:color w:val="auto"/>
          <w:shd w:val="clear" w:color="auto" w:fill="auto"/>
          <w:lang w:val="en-US" w:eastAsia="zh-CN"/>
        </w:rPr>
        <w:t>太和县</w:t>
      </w:r>
      <w:r>
        <w:rPr>
          <w:rFonts w:hint="eastAsia"/>
          <w:color w:val="auto"/>
          <w:shd w:val="clear" w:color="auto" w:fill="auto"/>
        </w:rPr>
        <w:t>内外贸易、提升岸线的经济价值乃至带动整个</w:t>
      </w:r>
      <w:r>
        <w:rPr>
          <w:rFonts w:hint="eastAsia"/>
          <w:color w:val="auto"/>
          <w:shd w:val="clear" w:color="auto" w:fill="auto"/>
          <w:lang w:val="en-US" w:eastAsia="zh-CN"/>
        </w:rPr>
        <w:t>太和</w:t>
      </w:r>
      <w:r>
        <w:rPr>
          <w:rFonts w:hint="eastAsia"/>
          <w:color w:val="auto"/>
          <w:shd w:val="clear" w:color="auto" w:fill="auto"/>
        </w:rPr>
        <w:t>县的经济发展都具有较大的促进作用。</w:t>
      </w:r>
    </w:p>
    <w:p>
      <w:pPr>
        <w:ind w:firstLine="480"/>
        <w:rPr>
          <w:color w:val="auto"/>
          <w:shd w:val="clear" w:color="auto" w:fill="auto"/>
        </w:rPr>
        <w:sectPr>
          <w:headerReference r:id="rId11" w:type="default"/>
          <w:type w:val="continuous"/>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color w:val="auto"/>
          <w:shd w:val="clear" w:color="auto" w:fill="auto"/>
        </w:rPr>
        <w:t>项目在建设和生产运行过程中，只要施工单位和建设单位切实做好环境保护工作，认真落实本报告书提出的各项污染防治对策和生态恢复措施，使项目对环境的影响降至最低。在正常工况下对</w:t>
      </w:r>
      <w:r>
        <w:rPr>
          <w:rFonts w:hint="eastAsia"/>
          <w:color w:val="auto"/>
          <w:shd w:val="clear" w:color="auto" w:fill="auto"/>
          <w:lang w:val="en-US" w:eastAsia="zh-CN"/>
        </w:rPr>
        <w:t>沙颍河</w:t>
      </w:r>
      <w:r>
        <w:rPr>
          <w:color w:val="auto"/>
          <w:shd w:val="clear" w:color="auto" w:fill="auto"/>
        </w:rPr>
        <w:t>水体影响较小，大气环境、声环境影响范围有限，不会降低现有环境功能。从环境</w:t>
      </w:r>
      <w:r>
        <w:rPr>
          <w:rFonts w:hint="eastAsia"/>
          <w:color w:val="auto"/>
          <w:shd w:val="clear" w:color="auto" w:fill="auto"/>
          <w:lang w:eastAsia="zh-CN"/>
        </w:rPr>
        <w:t>影响评价</w:t>
      </w:r>
      <w:r>
        <w:rPr>
          <w:color w:val="auto"/>
          <w:shd w:val="clear" w:color="auto" w:fill="auto"/>
        </w:rPr>
        <w:t>角度</w:t>
      </w:r>
      <w:r>
        <w:rPr>
          <w:rFonts w:hint="eastAsia"/>
          <w:color w:val="auto"/>
          <w:shd w:val="clear" w:color="auto" w:fill="auto"/>
          <w:lang w:eastAsia="zh-CN"/>
        </w:rPr>
        <w:t>分析</w:t>
      </w:r>
      <w:r>
        <w:rPr>
          <w:color w:val="auto"/>
          <w:shd w:val="clear" w:color="auto" w:fill="auto"/>
        </w:rPr>
        <w:t>，</w:t>
      </w:r>
      <w:r>
        <w:rPr>
          <w:rFonts w:hint="eastAsia"/>
          <w:color w:val="auto"/>
          <w:shd w:val="clear" w:color="auto" w:fill="auto"/>
          <w:lang w:val="en-US" w:eastAsia="zh-CN"/>
        </w:rPr>
        <w:t>阜阳港太和港区陶庙作业区码头工程</w:t>
      </w:r>
      <w:r>
        <w:rPr>
          <w:color w:val="auto"/>
          <w:shd w:val="clear" w:color="auto" w:fill="auto"/>
        </w:rPr>
        <w:t>的建设是可行的。</w:t>
      </w:r>
    </w:p>
    <w:p>
      <w:pPr>
        <w:pStyle w:val="2"/>
        <w:ind w:left="0" w:leftChars="0" w:firstLine="0" w:firstLineChars="0"/>
        <w:jc w:val="center"/>
        <w:rPr>
          <w:rFonts w:hint="default"/>
          <w:lang w:val="en-US" w:eastAsia="zh-CN"/>
        </w:rPr>
      </w:pPr>
    </w:p>
    <w:sectPr>
      <w:type w:val="continuous"/>
      <w:pgSz w:w="23757" w:h="16783" w:orient="landscape"/>
      <w:pgMar w:top="1440" w:right="1797" w:bottom="1440" w:left="1797"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swiss"/>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0002AFF" w:usb1="C000247B" w:usb2="00000009" w:usb3="00000000" w:csb0="200001FF" w:csb1="00000000"/>
  </w:font>
  <w:font w:name="长城黑体">
    <w:altName w:val="宋体"/>
    <w:panose1 w:val="00000000000000000000"/>
    <w:charset w:val="86"/>
    <w:family w:val="modern"/>
    <w:pitch w:val="default"/>
    <w:sig w:usb0="00000000" w:usb1="00000000" w:usb2="00000010" w:usb3="00000000" w:csb0="00040000" w:csb1="00000000"/>
  </w:font>
  <w:font w:name="Calibri">
    <w:panose1 w:val="020F0502020204030204"/>
    <w:charset w:val="86"/>
    <w:family w:val="swiss"/>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楷体_GB2312">
    <w:altName w:val="楷体"/>
    <w:panose1 w:val="00000000000000000000"/>
    <w:charset w:val="00"/>
    <w:family w:val="auto"/>
    <w:pitch w:val="default"/>
    <w:sig w:usb0="00000000" w:usb1="00000000" w:usb2="00000000"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Swis721 BT">
    <w:panose1 w:val="020B0504020202020204"/>
    <w:charset w:val="00"/>
    <w:family w:val="swiss"/>
    <w:pitch w:val="default"/>
    <w:sig w:usb0="00000000" w:usb1="00000000" w:usb2="00000000" w:usb3="00000000" w:csb0="00000000" w:csb1="00000000"/>
  </w:font>
  <w:font w:name="宋体t.....">
    <w:altName w:val="宋体"/>
    <w:panose1 w:val="00000000000000000000"/>
    <w:charset w:val="86"/>
    <w:family w:val="roman"/>
    <w:pitch w:val="default"/>
    <w:sig w:usb0="00000000" w:usb1="00000000" w:usb2="00000000" w:usb3="00000000" w:csb0="00040000" w:csb1="00000000"/>
  </w:font>
  <w:font w:name="SimSun-Identity-H">
    <w:altName w:val="宋体"/>
    <w:panose1 w:val="00000000000000000000"/>
    <w:charset w:val="86"/>
    <w:family w:val="auto"/>
    <w:pitch w:val="default"/>
    <w:sig w:usb0="00000000" w:usb1="00000000" w:usb2="00000000" w:usb3="00000000" w:csb0="00040000" w:csb1="00000000"/>
  </w:font>
  <w:font w:name="TimesNewRomanPSMT-Identity-H">
    <w:altName w:val="Yu Gothic"/>
    <w:panose1 w:val="00000000000000000000"/>
    <w:charset w:val="80"/>
    <w:family w:val="auto"/>
    <w:pitch w:val="default"/>
    <w:sig w:usb0="00000000" w:usb1="00000000" w:usb2="00000000" w:usb3="00000000" w:csb0="00020000" w:csb1="00000000"/>
  </w:font>
  <w:font w:name="瀹嬩綋">
    <w:altName w:val="宋体"/>
    <w:panose1 w:val="00000000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Microsoft JhengHei Light">
    <w:panose1 w:val="020B0304030504040204"/>
    <w:charset w:val="88"/>
    <w:family w:val="swiss"/>
    <w:pitch w:val="default"/>
    <w:sig w:usb0="800002A7" w:usb1="28CF4400" w:usb2="00000016" w:usb3="00000000" w:csb0="00100009" w:csb1="00000000"/>
  </w:font>
  <w:font w:name="Microsoft JhengHei">
    <w:panose1 w:val="020B0604030504040204"/>
    <w:charset w:val="88"/>
    <w:family w:val="swiss"/>
    <w:pitch w:val="default"/>
    <w:sig w:usb0="000002A7" w:usb1="28CF4400" w:usb2="00000016" w:usb3="00000000" w:csb0="00100009" w:csb1="00000000"/>
  </w:font>
  <w:font w:name="Wingdings 2">
    <w:panose1 w:val="05020102010507070707"/>
    <w:charset w:val="02"/>
    <w:family w:val="roman"/>
    <w:pitch w:val="default"/>
    <w:sig w:usb0="00000000" w:usb1="00000000" w:usb2="00000000" w:usb3="00000000" w:csb0="80000000"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 w:name="Yu Gothic">
    <w:panose1 w:val="020B0400000000000000"/>
    <w:charset w:val="80"/>
    <w:family w:val="auto"/>
    <w:pitch w:val="default"/>
    <w:sig w:usb0="E00002FF" w:usb1="2AC7FDFF" w:usb2="00000016" w:usb3="00000000" w:csb0="2002009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Arial">
    <w:panose1 w:val="020B0604020202020204"/>
    <w:charset w:val="00"/>
    <w:family w:val="auto"/>
    <w:pitch w:val="default"/>
    <w:sig w:usb0="E0002EFF" w:usb1="C000785B" w:usb2="00000009" w:usb3="00000000" w:csb0="400001FF" w:csb1="FFFF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00"/>
    <w:family w:val="auto"/>
    <w:pitch w:val="default"/>
    <w:sig w:usb0="E0002AFF" w:usb1="C000247B" w:usb2="00000009" w:usb3="00000000" w:csb0="200001FF" w:csb1="00000000"/>
  </w:font>
  <w:font w:name="楷体_GB2312">
    <w:altName w:val="楷体"/>
    <w:panose1 w:val="02010609030101010101"/>
    <w:charset w:val="86"/>
    <w:family w:val="modern"/>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I</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zql5uc8AAAAFAQAADwAAAAAAAAABACAAAAAi&#10;AAAAZHJzL2Rvd25yZXYueG1sUEsBAhQAFAAAAAgAh07iQOAgzVYTAgAAFQQAAA4AAAAAAAAAAQAg&#10;AAAAHgEAAGRycy9lMm9Eb2MueG1sUEsFBgAAAAAGAAYAWQEAAKMFAAAAAA==&#10;">
              <v:fill on="f" focussize="0,0"/>
              <v:stroke on="f"/>
              <v:imagedata o:title=""/>
              <o:lock v:ext="edit" aspectratio="f"/>
              <v:textbox inset="0mm,0mm,0mm,0mm" style="mso-fit-shape-to-text:t;">
                <w:txbxContent>
                  <w:p>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I</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XXXIX</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zql5uc8AAAAFAQAADwAAAAAAAAABACAA&#10;AAAiAAAAZHJzL2Rvd25yZXYueG1sUEsBAhQAFAAAAAgAh07iQFX60cIWAgAAFQQAAA4AAAAAAAAA&#10;AQAgAAAAHgEAAGRycy9lMm9Eb2MueG1sUEsFBgAAAAAGAAYAWQEAAKYFAAAAAA==&#10;">
              <v:fill on="f" focussize="0,0"/>
              <v:stroke on="f"/>
              <v:imagedata o:title=""/>
              <o:lock v:ext="edit" aspectratio="f"/>
              <v:textbox inset="0mm,0mm,0mm,0mm" style="mso-fit-shape-to-text:t;">
                <w:txbxContent>
                  <w:p>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XXXIX</w:t>
                    </w:r>
                    <w:r>
                      <w:rPr>
                        <w:rFonts w:hint="eastAsia"/>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r>
      <w:rPr>
        <w:sz w:val="18"/>
      </w:rPr>
      <mc:AlternateContent>
        <mc:Choice Requires="wps">
          <w:drawing>
            <wp:anchor distT="0" distB="0" distL="114300" distR="114300" simplePos="0" relativeHeight="2043769856"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XL</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0437698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OqXm5zwAAAAUBAAAPAAAAAAAAAAEAIAAA&#10;ACIAAABkcnMvZG93bnJldi54bWxQSwECFAAUAAAACACHTuJAohfLxxUCAAAVBAAADgAAAAAAAAAB&#10;ACAAAAAeAQAAZHJzL2Uyb0RvYy54bWxQSwUGAAAAAAYABgBZAQAApQUAAAAA&#10;">
              <v:fill on="f" focussize="0,0"/>
              <v:stroke on="f"/>
              <v:imagedata o:title=""/>
              <o:lock v:ext="edit" aspectratio="f"/>
              <v:textbox inset="0mm,0mm,0mm,0mm" style="mso-fit-shape-to-text:t;">
                <w:txbxContent>
                  <w:p>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XL</w:t>
                    </w:r>
                    <w:r>
                      <w:rPr>
                        <w:rFonts w:hint="eastAsia"/>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overflowPunct w:val="0"/>
      <w:spacing w:line="200" w:lineRule="exact"/>
      <w:ind w:firstLine="400"/>
      <w:rPr>
        <w:sz w:val="20"/>
      </w:rPr>
    </w:pPr>
    <w:r>
      <w:rPr>
        <w:sz w:val="20"/>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LIV</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zql5uc8AAAAFAQAADwAAAAAAAAABACAAAAAi&#10;AAAAZHJzL2Rvd25yZXYueG1sUEsBAhQAFAAAAAgAh07iQPlbFFMTAgAAFQQAAA4AAAAAAAAAAQAg&#10;AAAAHgEAAGRycy9lMm9Eb2MueG1sUEsFBgAAAAAGAAYAWQEAAKMFAAAAAA==&#10;">
              <v:fill on="f" focussize="0,0"/>
              <v:stroke on="f"/>
              <v:imagedata o:title=""/>
              <o:lock v:ext="edit" aspectratio="f"/>
              <v:textbox inset="0mm,0mm,0mm,0mm" style="mso-fit-shape-to-text:t;">
                <w:txbxContent>
                  <w:p>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LIV</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1"/>
      </w:pBdr>
      <w:tabs>
        <w:tab w:val="left" w:pos="1678"/>
      </w:tabs>
      <w:wordWrap w:val="0"/>
      <w:ind w:right="26" w:firstLine="949" w:firstLineChars="450"/>
      <w:rPr>
        <w:b/>
        <w:sz w:val="21"/>
        <w:szCs w:val="21"/>
      </w:rPr>
    </w:pPr>
    <w:r>
      <w:rPr>
        <w:rFonts w:hint="eastAsia"/>
        <w:b/>
        <w:sz w:val="21"/>
        <w:szCs w:val="21"/>
      </w:rPr>
      <w:tab/>
    </w:r>
    <w:r>
      <w:rPr>
        <w:rFonts w:hint="eastAsia"/>
        <w:b/>
        <w:sz w:val="21"/>
        <w:szCs w:val="21"/>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1"/>
      </w:pBdr>
      <w:ind w:firstLine="360"/>
      <w:rPr>
        <w:rFonts w:ascii="仿宋_GB2312" w:eastAsia="仿宋_GB231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1"/>
      </w:pBdr>
      <w:ind w:firstLine="360"/>
      <w:rPr>
        <w:rFonts w:ascii="仿宋_GB2312" w:eastAsia="仿宋_GB231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59048B2"/>
    <w:multiLevelType w:val="singleLevel"/>
    <w:tmpl w:val="859048B2"/>
    <w:lvl w:ilvl="0" w:tentative="0">
      <w:start w:val="1"/>
      <w:numFmt w:val="decimal"/>
      <w:suff w:val="nothing"/>
      <w:lvlText w:val="（%1）"/>
      <w:lvlJc w:val="left"/>
    </w:lvl>
  </w:abstractNum>
  <w:abstractNum w:abstractNumId="1">
    <w:nsid w:val="8AEF0547"/>
    <w:multiLevelType w:val="singleLevel"/>
    <w:tmpl w:val="8AEF0547"/>
    <w:lvl w:ilvl="0" w:tentative="0">
      <w:start w:val="7"/>
      <w:numFmt w:val="decimal"/>
      <w:suff w:val="nothing"/>
      <w:lvlText w:val="%1、"/>
      <w:lvlJc w:val="left"/>
    </w:lvl>
  </w:abstractNum>
  <w:abstractNum w:abstractNumId="2">
    <w:nsid w:val="8C6A7CC1"/>
    <w:multiLevelType w:val="singleLevel"/>
    <w:tmpl w:val="8C6A7CC1"/>
    <w:lvl w:ilvl="0" w:tentative="0">
      <w:start w:val="1"/>
      <w:numFmt w:val="decimal"/>
      <w:suff w:val="nothing"/>
      <w:lvlText w:val="%1、"/>
      <w:lvlJc w:val="left"/>
    </w:lvl>
  </w:abstractNum>
  <w:abstractNum w:abstractNumId="3">
    <w:nsid w:val="CD0B2C2D"/>
    <w:multiLevelType w:val="singleLevel"/>
    <w:tmpl w:val="CD0B2C2D"/>
    <w:lvl w:ilvl="0" w:tentative="0">
      <w:start w:val="1"/>
      <w:numFmt w:val="decimal"/>
      <w:suff w:val="nothing"/>
      <w:lvlText w:val="%1、"/>
      <w:lvlJc w:val="left"/>
    </w:lvl>
  </w:abstractNum>
  <w:abstractNum w:abstractNumId="4">
    <w:nsid w:val="CE544A54"/>
    <w:multiLevelType w:val="singleLevel"/>
    <w:tmpl w:val="CE544A54"/>
    <w:lvl w:ilvl="0" w:tentative="0">
      <w:start w:val="2"/>
      <w:numFmt w:val="decimal"/>
      <w:suff w:val="nothing"/>
      <w:lvlText w:val="%1、"/>
      <w:lvlJc w:val="left"/>
    </w:lvl>
  </w:abstractNum>
  <w:abstractNum w:abstractNumId="5">
    <w:nsid w:val="043E6346"/>
    <w:multiLevelType w:val="multilevel"/>
    <w:tmpl w:val="043E6346"/>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6">
    <w:nsid w:val="34C42DC5"/>
    <w:multiLevelType w:val="singleLevel"/>
    <w:tmpl w:val="34C42DC5"/>
    <w:lvl w:ilvl="0" w:tentative="0">
      <w:start w:val="1"/>
      <w:numFmt w:val="decimal"/>
      <w:suff w:val="nothing"/>
      <w:lvlText w:val="（%1）"/>
      <w:lvlJc w:val="left"/>
    </w:lvl>
  </w:abstractNum>
  <w:abstractNum w:abstractNumId="7">
    <w:nsid w:val="4BF259F0"/>
    <w:multiLevelType w:val="multilevel"/>
    <w:tmpl w:val="4BF259F0"/>
    <w:lvl w:ilvl="0" w:tentative="0">
      <w:start w:val="1"/>
      <w:numFmt w:val="chineseCountingThousand"/>
      <w:lvlText w:val="第%1章"/>
      <w:lvlJc w:val="center"/>
      <w:pPr>
        <w:tabs>
          <w:tab w:val="left" w:pos="-426"/>
        </w:tabs>
        <w:ind w:left="0" w:firstLine="288"/>
      </w:pPr>
      <w:rPr>
        <w:rFonts w:hint="eastAsia"/>
        <w:sz w:val="30"/>
        <w:szCs w:val="30"/>
      </w:rPr>
    </w:lvl>
    <w:lvl w:ilvl="1" w:tentative="0">
      <w:start w:val="1"/>
      <w:numFmt w:val="decimal"/>
      <w:isLgl/>
      <w:lvlText w:val="%1.%2"/>
      <w:lvlJc w:val="left"/>
      <w:pPr>
        <w:tabs>
          <w:tab w:val="left" w:pos="141"/>
        </w:tabs>
        <w:ind w:left="141" w:hanging="141"/>
      </w:pPr>
      <w:rPr>
        <w:rFonts w:hint="eastAsia"/>
      </w:rPr>
    </w:lvl>
    <w:lvl w:ilvl="2" w:tentative="0">
      <w:start w:val="1"/>
      <w:numFmt w:val="decimal"/>
      <w:isLgl/>
      <w:lvlText w:val="%1.%2.%3"/>
      <w:lvlJc w:val="left"/>
      <w:pPr>
        <w:tabs>
          <w:tab w:val="left" w:pos="567"/>
        </w:tabs>
        <w:ind w:left="567" w:hanging="567"/>
      </w:pPr>
      <w:rPr>
        <w:rFonts w:hint="eastAsia"/>
      </w:rPr>
    </w:lvl>
    <w:lvl w:ilvl="3" w:tentative="0">
      <w:start w:val="1"/>
      <w:numFmt w:val="decimal"/>
      <w:pStyle w:val="47"/>
      <w:isLgl/>
      <w:lvlText w:val="%1.%2.%3.%4"/>
      <w:lvlJc w:val="left"/>
      <w:pPr>
        <w:tabs>
          <w:tab w:val="left" w:pos="1133"/>
        </w:tabs>
        <w:ind w:left="1133" w:hanging="708"/>
      </w:pPr>
      <w:rPr>
        <w:rFonts w:hint="eastAsia"/>
      </w:rPr>
    </w:lvl>
    <w:lvl w:ilvl="4" w:tentative="0">
      <w:start w:val="1"/>
      <w:numFmt w:val="decimal"/>
      <w:isLgl/>
      <w:lvlText w:val="%1.%2.%3.%4.%5"/>
      <w:lvlJc w:val="left"/>
      <w:pPr>
        <w:tabs>
          <w:tab w:val="left" w:pos="1700"/>
        </w:tabs>
        <w:ind w:left="1700" w:hanging="850"/>
      </w:pPr>
      <w:rPr>
        <w:rFonts w:hint="eastAsia"/>
      </w:rPr>
    </w:lvl>
    <w:lvl w:ilvl="5" w:tentative="0">
      <w:start w:val="1"/>
      <w:numFmt w:val="decimal"/>
      <w:lvlText w:val="%1.%2.%3.%4.%5.%6"/>
      <w:lvlJc w:val="left"/>
      <w:pPr>
        <w:tabs>
          <w:tab w:val="left" w:pos="2409"/>
        </w:tabs>
        <w:ind w:left="2409" w:hanging="1134"/>
      </w:pPr>
      <w:rPr>
        <w:rFonts w:hint="eastAsia"/>
      </w:rPr>
    </w:lvl>
    <w:lvl w:ilvl="6" w:tentative="0">
      <w:start w:val="1"/>
      <w:numFmt w:val="decimal"/>
      <w:lvlText w:val="%1.%2.%3.%4.%5.%6.%7"/>
      <w:lvlJc w:val="left"/>
      <w:pPr>
        <w:tabs>
          <w:tab w:val="left" w:pos="2976"/>
        </w:tabs>
        <w:ind w:left="2976" w:hanging="1276"/>
      </w:pPr>
      <w:rPr>
        <w:rFonts w:hint="eastAsia"/>
      </w:rPr>
    </w:lvl>
    <w:lvl w:ilvl="7" w:tentative="0">
      <w:start w:val="1"/>
      <w:numFmt w:val="decimal"/>
      <w:lvlText w:val="%1.%2.%3.%4.%5.%6.%7.%8"/>
      <w:lvlJc w:val="left"/>
      <w:pPr>
        <w:tabs>
          <w:tab w:val="left" w:pos="3543"/>
        </w:tabs>
        <w:ind w:left="3543" w:hanging="1418"/>
      </w:pPr>
      <w:rPr>
        <w:rFonts w:hint="eastAsia"/>
      </w:rPr>
    </w:lvl>
    <w:lvl w:ilvl="8" w:tentative="0">
      <w:start w:val="1"/>
      <w:numFmt w:val="decimal"/>
      <w:lvlText w:val="%1.%2.%3.%4.%5.%6.%7.%8.%9"/>
      <w:lvlJc w:val="left"/>
      <w:pPr>
        <w:tabs>
          <w:tab w:val="left" w:pos="4251"/>
        </w:tabs>
        <w:ind w:left="4251" w:hanging="1700"/>
      </w:pPr>
      <w:rPr>
        <w:rFonts w:hint="eastAsia"/>
      </w:rPr>
    </w:lvl>
  </w:abstractNum>
  <w:abstractNum w:abstractNumId="8">
    <w:nsid w:val="568F637C"/>
    <w:multiLevelType w:val="singleLevel"/>
    <w:tmpl w:val="568F637C"/>
    <w:lvl w:ilvl="0" w:tentative="0">
      <w:start w:val="1"/>
      <w:numFmt w:val="decimal"/>
      <w:suff w:val="nothing"/>
      <w:lvlText w:val="（%1）"/>
      <w:lvlJc w:val="left"/>
    </w:lvl>
  </w:abstractNum>
  <w:abstractNum w:abstractNumId="9">
    <w:nsid w:val="59897224"/>
    <w:multiLevelType w:val="singleLevel"/>
    <w:tmpl w:val="59897224"/>
    <w:lvl w:ilvl="0" w:tentative="0">
      <w:start w:val="1"/>
      <w:numFmt w:val="decimal"/>
      <w:suff w:val="nothing"/>
      <w:lvlText w:val="%1、"/>
      <w:lvlJc w:val="left"/>
    </w:lvl>
  </w:abstractNum>
  <w:abstractNum w:abstractNumId="10">
    <w:nsid w:val="6CEDAB75"/>
    <w:multiLevelType w:val="singleLevel"/>
    <w:tmpl w:val="6CEDAB75"/>
    <w:lvl w:ilvl="0" w:tentative="0">
      <w:start w:val="1"/>
      <w:numFmt w:val="decimal"/>
      <w:suff w:val="space"/>
      <w:lvlText w:val="第%1章"/>
      <w:lvlJc w:val="left"/>
    </w:lvl>
  </w:abstractNum>
  <w:abstractNum w:abstractNumId="11">
    <w:nsid w:val="7BEF7ABA"/>
    <w:multiLevelType w:val="singleLevel"/>
    <w:tmpl w:val="7BEF7ABA"/>
    <w:lvl w:ilvl="0" w:tentative="0">
      <w:start w:val="4"/>
      <w:numFmt w:val="decimal"/>
      <w:suff w:val="space"/>
      <w:lvlText w:val="第%1章"/>
      <w:lvlJc w:val="left"/>
    </w:lvl>
  </w:abstractNum>
  <w:num w:numId="1">
    <w:abstractNumId w:val="7"/>
  </w:num>
  <w:num w:numId="2">
    <w:abstractNumId w:val="10"/>
  </w:num>
  <w:num w:numId="3">
    <w:abstractNumId w:val="4"/>
  </w:num>
  <w:num w:numId="4">
    <w:abstractNumId w:val="1"/>
  </w:num>
  <w:num w:numId="5">
    <w:abstractNumId w:val="3"/>
  </w:num>
  <w:num w:numId="6">
    <w:abstractNumId w:val="0"/>
  </w:num>
  <w:num w:numId="7">
    <w:abstractNumId w:val="8"/>
  </w:num>
  <w:num w:numId="8">
    <w:abstractNumId w:val="6"/>
  </w:num>
  <w:num w:numId="9">
    <w:abstractNumId w:val="5"/>
  </w:num>
  <w:num w:numId="10">
    <w:abstractNumId w:val="11"/>
  </w:num>
  <w:num w:numId="11">
    <w:abstractNumId w:val="9"/>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172A27"/>
    <w:rsid w:val="001D66AE"/>
    <w:rsid w:val="002C0C3B"/>
    <w:rsid w:val="003A5B17"/>
    <w:rsid w:val="004C1859"/>
    <w:rsid w:val="00565C06"/>
    <w:rsid w:val="005B27E2"/>
    <w:rsid w:val="0086680E"/>
    <w:rsid w:val="0093340E"/>
    <w:rsid w:val="00AF15F5"/>
    <w:rsid w:val="00D16F00"/>
    <w:rsid w:val="00D47B6F"/>
    <w:rsid w:val="00E06BD1"/>
    <w:rsid w:val="00F23FE4"/>
    <w:rsid w:val="00FB096A"/>
    <w:rsid w:val="00FC12EF"/>
    <w:rsid w:val="01064EC8"/>
    <w:rsid w:val="01124D92"/>
    <w:rsid w:val="01604952"/>
    <w:rsid w:val="01653199"/>
    <w:rsid w:val="019A236D"/>
    <w:rsid w:val="01BD615B"/>
    <w:rsid w:val="01C45C27"/>
    <w:rsid w:val="01D35257"/>
    <w:rsid w:val="01E21133"/>
    <w:rsid w:val="0218265C"/>
    <w:rsid w:val="021F0293"/>
    <w:rsid w:val="028D392A"/>
    <w:rsid w:val="02E3714E"/>
    <w:rsid w:val="02EF7D43"/>
    <w:rsid w:val="038E65FA"/>
    <w:rsid w:val="03A36565"/>
    <w:rsid w:val="03A42A8F"/>
    <w:rsid w:val="03D61BBE"/>
    <w:rsid w:val="04040A51"/>
    <w:rsid w:val="04106F92"/>
    <w:rsid w:val="041A0CE2"/>
    <w:rsid w:val="044B152F"/>
    <w:rsid w:val="044B231B"/>
    <w:rsid w:val="04B04023"/>
    <w:rsid w:val="04FE5EA5"/>
    <w:rsid w:val="05386499"/>
    <w:rsid w:val="05472D69"/>
    <w:rsid w:val="059D7039"/>
    <w:rsid w:val="059F1860"/>
    <w:rsid w:val="05AC37EF"/>
    <w:rsid w:val="05B952C4"/>
    <w:rsid w:val="05DC6D7B"/>
    <w:rsid w:val="05E42135"/>
    <w:rsid w:val="061510BF"/>
    <w:rsid w:val="06346DF3"/>
    <w:rsid w:val="06746274"/>
    <w:rsid w:val="069D20DC"/>
    <w:rsid w:val="06B00405"/>
    <w:rsid w:val="06C474E3"/>
    <w:rsid w:val="06D57A17"/>
    <w:rsid w:val="06E13E6F"/>
    <w:rsid w:val="06F0356C"/>
    <w:rsid w:val="076D2E37"/>
    <w:rsid w:val="079A52FD"/>
    <w:rsid w:val="07E647C3"/>
    <w:rsid w:val="07EB248D"/>
    <w:rsid w:val="07F23FEE"/>
    <w:rsid w:val="08183E10"/>
    <w:rsid w:val="083D0CA8"/>
    <w:rsid w:val="0840456C"/>
    <w:rsid w:val="086F0B2D"/>
    <w:rsid w:val="08AB2148"/>
    <w:rsid w:val="08F45A11"/>
    <w:rsid w:val="08FA2A87"/>
    <w:rsid w:val="091C49DA"/>
    <w:rsid w:val="09687F08"/>
    <w:rsid w:val="0A000935"/>
    <w:rsid w:val="0A7C0658"/>
    <w:rsid w:val="0A9B64EB"/>
    <w:rsid w:val="0AE4701F"/>
    <w:rsid w:val="0B201333"/>
    <w:rsid w:val="0BA03C4E"/>
    <w:rsid w:val="0BA7085C"/>
    <w:rsid w:val="0BDA7E7D"/>
    <w:rsid w:val="0C044ECB"/>
    <w:rsid w:val="0C4E59FE"/>
    <w:rsid w:val="0C6F79F9"/>
    <w:rsid w:val="0CA3530C"/>
    <w:rsid w:val="0CAE18DC"/>
    <w:rsid w:val="0CB35F30"/>
    <w:rsid w:val="0CCF4D1A"/>
    <w:rsid w:val="0D3D6B0E"/>
    <w:rsid w:val="0D503B2F"/>
    <w:rsid w:val="0D840D45"/>
    <w:rsid w:val="0D970C78"/>
    <w:rsid w:val="0DDB3F6A"/>
    <w:rsid w:val="0E352D35"/>
    <w:rsid w:val="0E375FD2"/>
    <w:rsid w:val="0E714386"/>
    <w:rsid w:val="0E742B3E"/>
    <w:rsid w:val="0E8A3987"/>
    <w:rsid w:val="0EC926A5"/>
    <w:rsid w:val="0EFF33B6"/>
    <w:rsid w:val="0F2F3236"/>
    <w:rsid w:val="0F7D62FA"/>
    <w:rsid w:val="10635FBE"/>
    <w:rsid w:val="10B250FA"/>
    <w:rsid w:val="10D47B1D"/>
    <w:rsid w:val="110C5C43"/>
    <w:rsid w:val="114C5C89"/>
    <w:rsid w:val="11545792"/>
    <w:rsid w:val="11565043"/>
    <w:rsid w:val="11685344"/>
    <w:rsid w:val="1181604C"/>
    <w:rsid w:val="119D7DAF"/>
    <w:rsid w:val="11A1059F"/>
    <w:rsid w:val="11C83E7E"/>
    <w:rsid w:val="11E10B58"/>
    <w:rsid w:val="1207715F"/>
    <w:rsid w:val="120B013F"/>
    <w:rsid w:val="12255910"/>
    <w:rsid w:val="12725D16"/>
    <w:rsid w:val="12A77557"/>
    <w:rsid w:val="12D77642"/>
    <w:rsid w:val="12F00AAC"/>
    <w:rsid w:val="12F60211"/>
    <w:rsid w:val="130C094C"/>
    <w:rsid w:val="13287E4D"/>
    <w:rsid w:val="137E4C0F"/>
    <w:rsid w:val="13FA1CF4"/>
    <w:rsid w:val="1423215D"/>
    <w:rsid w:val="14641268"/>
    <w:rsid w:val="146B4909"/>
    <w:rsid w:val="147E397A"/>
    <w:rsid w:val="149026E4"/>
    <w:rsid w:val="14B6680C"/>
    <w:rsid w:val="14B70AE0"/>
    <w:rsid w:val="14BD4DF9"/>
    <w:rsid w:val="15303739"/>
    <w:rsid w:val="153C7C0C"/>
    <w:rsid w:val="15573226"/>
    <w:rsid w:val="155F1A53"/>
    <w:rsid w:val="156A05BC"/>
    <w:rsid w:val="15803E3F"/>
    <w:rsid w:val="158C1D1A"/>
    <w:rsid w:val="15EF600B"/>
    <w:rsid w:val="15FF324A"/>
    <w:rsid w:val="162F7FEB"/>
    <w:rsid w:val="163F2057"/>
    <w:rsid w:val="16794E5F"/>
    <w:rsid w:val="17454547"/>
    <w:rsid w:val="175F3CC3"/>
    <w:rsid w:val="17861FA6"/>
    <w:rsid w:val="17C014DE"/>
    <w:rsid w:val="18DC23A7"/>
    <w:rsid w:val="19053C3C"/>
    <w:rsid w:val="19473252"/>
    <w:rsid w:val="19515D05"/>
    <w:rsid w:val="197654B1"/>
    <w:rsid w:val="19AD54F4"/>
    <w:rsid w:val="19EF311B"/>
    <w:rsid w:val="19F02602"/>
    <w:rsid w:val="1A7333B8"/>
    <w:rsid w:val="1A8D3ACC"/>
    <w:rsid w:val="1AC13C24"/>
    <w:rsid w:val="1B3E5591"/>
    <w:rsid w:val="1B90668A"/>
    <w:rsid w:val="1BB0302F"/>
    <w:rsid w:val="1C28082C"/>
    <w:rsid w:val="1C37090A"/>
    <w:rsid w:val="1C732485"/>
    <w:rsid w:val="1CC848E3"/>
    <w:rsid w:val="1CE947D9"/>
    <w:rsid w:val="1CF204D4"/>
    <w:rsid w:val="1CF411AB"/>
    <w:rsid w:val="1D053DC9"/>
    <w:rsid w:val="1D5317DB"/>
    <w:rsid w:val="1D79241C"/>
    <w:rsid w:val="1D9D740C"/>
    <w:rsid w:val="1DC65CA8"/>
    <w:rsid w:val="1DF051CD"/>
    <w:rsid w:val="1E0514C3"/>
    <w:rsid w:val="1E1F36AF"/>
    <w:rsid w:val="1E617403"/>
    <w:rsid w:val="1E804491"/>
    <w:rsid w:val="1E8F66FB"/>
    <w:rsid w:val="1EEB4510"/>
    <w:rsid w:val="1EEC5C54"/>
    <w:rsid w:val="1EF70142"/>
    <w:rsid w:val="1F7A7C41"/>
    <w:rsid w:val="1F991B2B"/>
    <w:rsid w:val="1FA03F98"/>
    <w:rsid w:val="1FCD5E7F"/>
    <w:rsid w:val="206F4478"/>
    <w:rsid w:val="2072093F"/>
    <w:rsid w:val="209E7A89"/>
    <w:rsid w:val="20AF52EF"/>
    <w:rsid w:val="20CF1B03"/>
    <w:rsid w:val="20F1674B"/>
    <w:rsid w:val="21E1146D"/>
    <w:rsid w:val="223B65FF"/>
    <w:rsid w:val="225C1614"/>
    <w:rsid w:val="22637EAC"/>
    <w:rsid w:val="22787A3A"/>
    <w:rsid w:val="22B57063"/>
    <w:rsid w:val="22CC54C7"/>
    <w:rsid w:val="23244FFE"/>
    <w:rsid w:val="23333602"/>
    <w:rsid w:val="236A798E"/>
    <w:rsid w:val="237631A4"/>
    <w:rsid w:val="239C13B0"/>
    <w:rsid w:val="23F841F5"/>
    <w:rsid w:val="240D06DB"/>
    <w:rsid w:val="247823D1"/>
    <w:rsid w:val="249D21FF"/>
    <w:rsid w:val="24BD0477"/>
    <w:rsid w:val="24DD0A67"/>
    <w:rsid w:val="24E3148F"/>
    <w:rsid w:val="250B4EA2"/>
    <w:rsid w:val="25776B7C"/>
    <w:rsid w:val="25C53472"/>
    <w:rsid w:val="260A2F90"/>
    <w:rsid w:val="261849E0"/>
    <w:rsid w:val="2636349D"/>
    <w:rsid w:val="265B4377"/>
    <w:rsid w:val="268F3642"/>
    <w:rsid w:val="26E224F7"/>
    <w:rsid w:val="26F02538"/>
    <w:rsid w:val="26F16072"/>
    <w:rsid w:val="270E38A9"/>
    <w:rsid w:val="27244A42"/>
    <w:rsid w:val="274850C0"/>
    <w:rsid w:val="276C4043"/>
    <w:rsid w:val="27AB15A7"/>
    <w:rsid w:val="27CD7AD9"/>
    <w:rsid w:val="27D24F5E"/>
    <w:rsid w:val="27DE1B3B"/>
    <w:rsid w:val="280673B4"/>
    <w:rsid w:val="280A758E"/>
    <w:rsid w:val="282A156C"/>
    <w:rsid w:val="282D2045"/>
    <w:rsid w:val="285C4FDE"/>
    <w:rsid w:val="288F32DE"/>
    <w:rsid w:val="28C3577C"/>
    <w:rsid w:val="28DE43FE"/>
    <w:rsid w:val="292A11FB"/>
    <w:rsid w:val="29501EDB"/>
    <w:rsid w:val="2968565E"/>
    <w:rsid w:val="29A8465C"/>
    <w:rsid w:val="29D217B0"/>
    <w:rsid w:val="2A2563D0"/>
    <w:rsid w:val="2AB306C5"/>
    <w:rsid w:val="2AB731D6"/>
    <w:rsid w:val="2AC66B87"/>
    <w:rsid w:val="2AE9246F"/>
    <w:rsid w:val="2B0514CB"/>
    <w:rsid w:val="2B1E4603"/>
    <w:rsid w:val="2B352F07"/>
    <w:rsid w:val="2B4E6D67"/>
    <w:rsid w:val="2B9804B3"/>
    <w:rsid w:val="2B9F1762"/>
    <w:rsid w:val="2BC50752"/>
    <w:rsid w:val="2BCE1AAC"/>
    <w:rsid w:val="2BCE36AA"/>
    <w:rsid w:val="2BCF7E30"/>
    <w:rsid w:val="2BE230A7"/>
    <w:rsid w:val="2BE94521"/>
    <w:rsid w:val="2C0225EC"/>
    <w:rsid w:val="2C09495C"/>
    <w:rsid w:val="2C53745F"/>
    <w:rsid w:val="2C854A8B"/>
    <w:rsid w:val="2CB11707"/>
    <w:rsid w:val="2D32540F"/>
    <w:rsid w:val="2D455AEE"/>
    <w:rsid w:val="2D480A7C"/>
    <w:rsid w:val="2D535435"/>
    <w:rsid w:val="2D5F5421"/>
    <w:rsid w:val="2D762241"/>
    <w:rsid w:val="2DB247B5"/>
    <w:rsid w:val="2DEF1514"/>
    <w:rsid w:val="2DF244DF"/>
    <w:rsid w:val="2E217B02"/>
    <w:rsid w:val="2E596CDB"/>
    <w:rsid w:val="2E7436E3"/>
    <w:rsid w:val="2E7C0E1D"/>
    <w:rsid w:val="2E9E457F"/>
    <w:rsid w:val="2EF57C61"/>
    <w:rsid w:val="2F1E4C7D"/>
    <w:rsid w:val="2F5979B9"/>
    <w:rsid w:val="2F7B5D8C"/>
    <w:rsid w:val="2F8B459C"/>
    <w:rsid w:val="2FBF53C0"/>
    <w:rsid w:val="2FD8046E"/>
    <w:rsid w:val="2FD9686D"/>
    <w:rsid w:val="30184058"/>
    <w:rsid w:val="30223C88"/>
    <w:rsid w:val="3053242B"/>
    <w:rsid w:val="308C7CB2"/>
    <w:rsid w:val="30C6363A"/>
    <w:rsid w:val="30F86A7D"/>
    <w:rsid w:val="31110317"/>
    <w:rsid w:val="31427DEB"/>
    <w:rsid w:val="3144335D"/>
    <w:rsid w:val="315A43EB"/>
    <w:rsid w:val="315B5F9D"/>
    <w:rsid w:val="317E4927"/>
    <w:rsid w:val="31A26DDF"/>
    <w:rsid w:val="31B5561E"/>
    <w:rsid w:val="31C209E5"/>
    <w:rsid w:val="31D57E41"/>
    <w:rsid w:val="32080573"/>
    <w:rsid w:val="320A7E4C"/>
    <w:rsid w:val="32227F99"/>
    <w:rsid w:val="32306C6C"/>
    <w:rsid w:val="324E5CCB"/>
    <w:rsid w:val="32FF15EF"/>
    <w:rsid w:val="332E466D"/>
    <w:rsid w:val="334F2A22"/>
    <w:rsid w:val="33842E22"/>
    <w:rsid w:val="33903421"/>
    <w:rsid w:val="339D3A2B"/>
    <w:rsid w:val="33AA741F"/>
    <w:rsid w:val="33D05C6D"/>
    <w:rsid w:val="33E163C9"/>
    <w:rsid w:val="34075607"/>
    <w:rsid w:val="34577A48"/>
    <w:rsid w:val="34A56015"/>
    <w:rsid w:val="34B70047"/>
    <w:rsid w:val="34B74440"/>
    <w:rsid w:val="34F45749"/>
    <w:rsid w:val="352819A5"/>
    <w:rsid w:val="35687C0B"/>
    <w:rsid w:val="357909DA"/>
    <w:rsid w:val="35870ABA"/>
    <w:rsid w:val="362366F4"/>
    <w:rsid w:val="3653643B"/>
    <w:rsid w:val="365E2E16"/>
    <w:rsid w:val="36757716"/>
    <w:rsid w:val="368C365A"/>
    <w:rsid w:val="36AE4DA1"/>
    <w:rsid w:val="36BC6155"/>
    <w:rsid w:val="36BF2540"/>
    <w:rsid w:val="36FC10BE"/>
    <w:rsid w:val="370B4865"/>
    <w:rsid w:val="37486967"/>
    <w:rsid w:val="37500E80"/>
    <w:rsid w:val="37833451"/>
    <w:rsid w:val="37B33D77"/>
    <w:rsid w:val="37ED5412"/>
    <w:rsid w:val="37F07E73"/>
    <w:rsid w:val="37F604A3"/>
    <w:rsid w:val="380651B7"/>
    <w:rsid w:val="38487664"/>
    <w:rsid w:val="38710D24"/>
    <w:rsid w:val="388E100A"/>
    <w:rsid w:val="389503BE"/>
    <w:rsid w:val="389C05D9"/>
    <w:rsid w:val="38E8091E"/>
    <w:rsid w:val="3925097C"/>
    <w:rsid w:val="393C0365"/>
    <w:rsid w:val="39BD15F2"/>
    <w:rsid w:val="39C96ED5"/>
    <w:rsid w:val="3A202943"/>
    <w:rsid w:val="3A215A29"/>
    <w:rsid w:val="3A4C219F"/>
    <w:rsid w:val="3AE00286"/>
    <w:rsid w:val="3B48571C"/>
    <w:rsid w:val="3B6E14B1"/>
    <w:rsid w:val="3C3C6ECB"/>
    <w:rsid w:val="3C907A62"/>
    <w:rsid w:val="3CDB2F52"/>
    <w:rsid w:val="3CFD5373"/>
    <w:rsid w:val="3D1A1374"/>
    <w:rsid w:val="3D273BF4"/>
    <w:rsid w:val="3D2C25C1"/>
    <w:rsid w:val="3D4713A2"/>
    <w:rsid w:val="3D64783F"/>
    <w:rsid w:val="3D8273ED"/>
    <w:rsid w:val="3DA84DA8"/>
    <w:rsid w:val="3DAF2AD1"/>
    <w:rsid w:val="3DBC7B1F"/>
    <w:rsid w:val="3DEA345D"/>
    <w:rsid w:val="3E2913A9"/>
    <w:rsid w:val="3E2F63E3"/>
    <w:rsid w:val="3E464F7A"/>
    <w:rsid w:val="3E5872B5"/>
    <w:rsid w:val="3E6A7CD4"/>
    <w:rsid w:val="3EA61C6F"/>
    <w:rsid w:val="3EC2394F"/>
    <w:rsid w:val="3ED0706A"/>
    <w:rsid w:val="3EFC39EF"/>
    <w:rsid w:val="3F611D3E"/>
    <w:rsid w:val="3F6C63A7"/>
    <w:rsid w:val="3F77321F"/>
    <w:rsid w:val="3FE75A04"/>
    <w:rsid w:val="3FFA6837"/>
    <w:rsid w:val="401D1566"/>
    <w:rsid w:val="402129F0"/>
    <w:rsid w:val="406311E6"/>
    <w:rsid w:val="40711077"/>
    <w:rsid w:val="40A4487C"/>
    <w:rsid w:val="40B3025E"/>
    <w:rsid w:val="40DC3DF8"/>
    <w:rsid w:val="41793623"/>
    <w:rsid w:val="41895D14"/>
    <w:rsid w:val="419E27C8"/>
    <w:rsid w:val="41AC48FA"/>
    <w:rsid w:val="41B63870"/>
    <w:rsid w:val="41BA1AA7"/>
    <w:rsid w:val="41CB09D0"/>
    <w:rsid w:val="41CF4BF1"/>
    <w:rsid w:val="421B0478"/>
    <w:rsid w:val="42254B7E"/>
    <w:rsid w:val="42643CBA"/>
    <w:rsid w:val="428D4A83"/>
    <w:rsid w:val="428F45CB"/>
    <w:rsid w:val="429E179B"/>
    <w:rsid w:val="42EC5034"/>
    <w:rsid w:val="42F76611"/>
    <w:rsid w:val="42F83023"/>
    <w:rsid w:val="431C4962"/>
    <w:rsid w:val="43616337"/>
    <w:rsid w:val="43760DAD"/>
    <w:rsid w:val="43786A69"/>
    <w:rsid w:val="43836B41"/>
    <w:rsid w:val="43A90FF6"/>
    <w:rsid w:val="43C1365A"/>
    <w:rsid w:val="43D3191E"/>
    <w:rsid w:val="43D54BD3"/>
    <w:rsid w:val="440F73DE"/>
    <w:rsid w:val="444B00F0"/>
    <w:rsid w:val="448550D3"/>
    <w:rsid w:val="44871077"/>
    <w:rsid w:val="458307C8"/>
    <w:rsid w:val="45A24400"/>
    <w:rsid w:val="45B818E1"/>
    <w:rsid w:val="45CA354E"/>
    <w:rsid w:val="45CA509F"/>
    <w:rsid w:val="45FB7E7D"/>
    <w:rsid w:val="45FC0322"/>
    <w:rsid w:val="4619754F"/>
    <w:rsid w:val="46227A2D"/>
    <w:rsid w:val="46255597"/>
    <w:rsid w:val="462736F4"/>
    <w:rsid w:val="463C7D0E"/>
    <w:rsid w:val="46723224"/>
    <w:rsid w:val="46D957F7"/>
    <w:rsid w:val="46F05C2F"/>
    <w:rsid w:val="46F71BD0"/>
    <w:rsid w:val="470A1EF4"/>
    <w:rsid w:val="47233660"/>
    <w:rsid w:val="4741425B"/>
    <w:rsid w:val="474264A9"/>
    <w:rsid w:val="475407E1"/>
    <w:rsid w:val="47654334"/>
    <w:rsid w:val="476D096E"/>
    <w:rsid w:val="4771761A"/>
    <w:rsid w:val="48091D7A"/>
    <w:rsid w:val="480F4C09"/>
    <w:rsid w:val="48154E57"/>
    <w:rsid w:val="481B7F16"/>
    <w:rsid w:val="481E683B"/>
    <w:rsid w:val="485D0C4B"/>
    <w:rsid w:val="48750362"/>
    <w:rsid w:val="4890546D"/>
    <w:rsid w:val="48B271B7"/>
    <w:rsid w:val="48C913F2"/>
    <w:rsid w:val="48DC148E"/>
    <w:rsid w:val="48F1050B"/>
    <w:rsid w:val="490D216C"/>
    <w:rsid w:val="49B22899"/>
    <w:rsid w:val="4A01494B"/>
    <w:rsid w:val="4A227B8F"/>
    <w:rsid w:val="4A290D78"/>
    <w:rsid w:val="4AB42FA8"/>
    <w:rsid w:val="4AD46E70"/>
    <w:rsid w:val="4B197A3F"/>
    <w:rsid w:val="4B49554B"/>
    <w:rsid w:val="4B763B3C"/>
    <w:rsid w:val="4B887118"/>
    <w:rsid w:val="4C0F2CDB"/>
    <w:rsid w:val="4C162F70"/>
    <w:rsid w:val="4C266E98"/>
    <w:rsid w:val="4C4932EA"/>
    <w:rsid w:val="4C4F4958"/>
    <w:rsid w:val="4C5A0017"/>
    <w:rsid w:val="4C6C6CDA"/>
    <w:rsid w:val="4CA52C75"/>
    <w:rsid w:val="4D1D3524"/>
    <w:rsid w:val="4D4E4BDF"/>
    <w:rsid w:val="4D607848"/>
    <w:rsid w:val="4DC31693"/>
    <w:rsid w:val="4DCA7519"/>
    <w:rsid w:val="4E445644"/>
    <w:rsid w:val="4E656342"/>
    <w:rsid w:val="4E8A38F0"/>
    <w:rsid w:val="4E8E3FF1"/>
    <w:rsid w:val="4E941AF5"/>
    <w:rsid w:val="4F051837"/>
    <w:rsid w:val="4F2A6980"/>
    <w:rsid w:val="4F4E1651"/>
    <w:rsid w:val="4F9D297B"/>
    <w:rsid w:val="4FB02E14"/>
    <w:rsid w:val="4FBC3A1C"/>
    <w:rsid w:val="4FEA1A60"/>
    <w:rsid w:val="500B56A9"/>
    <w:rsid w:val="500E4399"/>
    <w:rsid w:val="50483D16"/>
    <w:rsid w:val="505F0ACF"/>
    <w:rsid w:val="50E93237"/>
    <w:rsid w:val="51052C65"/>
    <w:rsid w:val="51341A22"/>
    <w:rsid w:val="514B2501"/>
    <w:rsid w:val="51975F2E"/>
    <w:rsid w:val="51B07F1A"/>
    <w:rsid w:val="52026666"/>
    <w:rsid w:val="526F2A4D"/>
    <w:rsid w:val="5284046F"/>
    <w:rsid w:val="52883733"/>
    <w:rsid w:val="52E96CEF"/>
    <w:rsid w:val="535B0DD9"/>
    <w:rsid w:val="535B3C86"/>
    <w:rsid w:val="53813364"/>
    <w:rsid w:val="53954317"/>
    <w:rsid w:val="53B71725"/>
    <w:rsid w:val="53EB0D18"/>
    <w:rsid w:val="541251CA"/>
    <w:rsid w:val="542D0643"/>
    <w:rsid w:val="544A784D"/>
    <w:rsid w:val="545B6F89"/>
    <w:rsid w:val="54BB5D29"/>
    <w:rsid w:val="5501451E"/>
    <w:rsid w:val="550145AA"/>
    <w:rsid w:val="551D3B46"/>
    <w:rsid w:val="553E3022"/>
    <w:rsid w:val="555127D7"/>
    <w:rsid w:val="558A1DEC"/>
    <w:rsid w:val="55955641"/>
    <w:rsid w:val="559C1422"/>
    <w:rsid w:val="55EA1DFB"/>
    <w:rsid w:val="55EF0DAF"/>
    <w:rsid w:val="56336448"/>
    <w:rsid w:val="56433EF9"/>
    <w:rsid w:val="566B583D"/>
    <w:rsid w:val="56793B91"/>
    <w:rsid w:val="56920D16"/>
    <w:rsid w:val="56BC7F39"/>
    <w:rsid w:val="56D11E60"/>
    <w:rsid w:val="57775103"/>
    <w:rsid w:val="579A2E1C"/>
    <w:rsid w:val="57A75711"/>
    <w:rsid w:val="580A54FC"/>
    <w:rsid w:val="58100994"/>
    <w:rsid w:val="581F19DB"/>
    <w:rsid w:val="582606DD"/>
    <w:rsid w:val="58324BCA"/>
    <w:rsid w:val="58744F6C"/>
    <w:rsid w:val="589F6357"/>
    <w:rsid w:val="58D27CC4"/>
    <w:rsid w:val="58E639B9"/>
    <w:rsid w:val="594015B1"/>
    <w:rsid w:val="596430C4"/>
    <w:rsid w:val="596E0738"/>
    <w:rsid w:val="59824C83"/>
    <w:rsid w:val="598766E8"/>
    <w:rsid w:val="59AD4EC5"/>
    <w:rsid w:val="59B323B0"/>
    <w:rsid w:val="59E058D3"/>
    <w:rsid w:val="59E17C2B"/>
    <w:rsid w:val="5A2071E2"/>
    <w:rsid w:val="5AD559EC"/>
    <w:rsid w:val="5AE25362"/>
    <w:rsid w:val="5AE501D0"/>
    <w:rsid w:val="5B0B1430"/>
    <w:rsid w:val="5B4C24A9"/>
    <w:rsid w:val="5B680A73"/>
    <w:rsid w:val="5B7910F4"/>
    <w:rsid w:val="5B7C7A4D"/>
    <w:rsid w:val="5B866163"/>
    <w:rsid w:val="5B8E714C"/>
    <w:rsid w:val="5B8F6918"/>
    <w:rsid w:val="5B911FBB"/>
    <w:rsid w:val="5B9815B3"/>
    <w:rsid w:val="5BB365F8"/>
    <w:rsid w:val="5BBF1171"/>
    <w:rsid w:val="5BE62C1E"/>
    <w:rsid w:val="5BF83428"/>
    <w:rsid w:val="5BF869E1"/>
    <w:rsid w:val="5C567631"/>
    <w:rsid w:val="5C7E1995"/>
    <w:rsid w:val="5C801581"/>
    <w:rsid w:val="5C855524"/>
    <w:rsid w:val="5CB51568"/>
    <w:rsid w:val="5CE45745"/>
    <w:rsid w:val="5D254162"/>
    <w:rsid w:val="5D2A1B69"/>
    <w:rsid w:val="5D460741"/>
    <w:rsid w:val="5D925DE9"/>
    <w:rsid w:val="5DA81501"/>
    <w:rsid w:val="5DAF0C69"/>
    <w:rsid w:val="5DD62AFF"/>
    <w:rsid w:val="5DDF0A6D"/>
    <w:rsid w:val="5DE75660"/>
    <w:rsid w:val="5E4922D0"/>
    <w:rsid w:val="5E553A59"/>
    <w:rsid w:val="5E9008CE"/>
    <w:rsid w:val="5EAD2390"/>
    <w:rsid w:val="5F035F76"/>
    <w:rsid w:val="5F07392B"/>
    <w:rsid w:val="5F295CBF"/>
    <w:rsid w:val="5F627011"/>
    <w:rsid w:val="5F9220F5"/>
    <w:rsid w:val="5FAB0157"/>
    <w:rsid w:val="5FF44FB1"/>
    <w:rsid w:val="60030B9C"/>
    <w:rsid w:val="6024462F"/>
    <w:rsid w:val="60446FDF"/>
    <w:rsid w:val="60466466"/>
    <w:rsid w:val="609C1FFE"/>
    <w:rsid w:val="60A830D3"/>
    <w:rsid w:val="60AD40D6"/>
    <w:rsid w:val="6129087F"/>
    <w:rsid w:val="612A579F"/>
    <w:rsid w:val="61497065"/>
    <w:rsid w:val="616D637C"/>
    <w:rsid w:val="618F7A54"/>
    <w:rsid w:val="61BB7855"/>
    <w:rsid w:val="61CE062F"/>
    <w:rsid w:val="61EC4CE1"/>
    <w:rsid w:val="6262537D"/>
    <w:rsid w:val="6301217D"/>
    <w:rsid w:val="63302991"/>
    <w:rsid w:val="63946CDD"/>
    <w:rsid w:val="63C25241"/>
    <w:rsid w:val="644B7EE1"/>
    <w:rsid w:val="644D44BF"/>
    <w:rsid w:val="64552CB0"/>
    <w:rsid w:val="64626324"/>
    <w:rsid w:val="6473537E"/>
    <w:rsid w:val="647F3EE2"/>
    <w:rsid w:val="64A54B6F"/>
    <w:rsid w:val="64B832FB"/>
    <w:rsid w:val="657F4618"/>
    <w:rsid w:val="658D0FF7"/>
    <w:rsid w:val="65AF6748"/>
    <w:rsid w:val="65B05107"/>
    <w:rsid w:val="66124BD7"/>
    <w:rsid w:val="66457CCA"/>
    <w:rsid w:val="664D7F65"/>
    <w:rsid w:val="66602E14"/>
    <w:rsid w:val="669C50BB"/>
    <w:rsid w:val="66AE0FA8"/>
    <w:rsid w:val="66B61BA1"/>
    <w:rsid w:val="66DC31E0"/>
    <w:rsid w:val="66E955DD"/>
    <w:rsid w:val="6707535F"/>
    <w:rsid w:val="670F5928"/>
    <w:rsid w:val="67174659"/>
    <w:rsid w:val="672459DC"/>
    <w:rsid w:val="67496040"/>
    <w:rsid w:val="674F4402"/>
    <w:rsid w:val="67756D6E"/>
    <w:rsid w:val="67A63891"/>
    <w:rsid w:val="67A756C9"/>
    <w:rsid w:val="688B5011"/>
    <w:rsid w:val="68A54A3E"/>
    <w:rsid w:val="68B25560"/>
    <w:rsid w:val="68B34404"/>
    <w:rsid w:val="68ED09CE"/>
    <w:rsid w:val="690B62F2"/>
    <w:rsid w:val="692B4507"/>
    <w:rsid w:val="693E4656"/>
    <w:rsid w:val="6987768C"/>
    <w:rsid w:val="69E44430"/>
    <w:rsid w:val="6A3C433D"/>
    <w:rsid w:val="6A4A0D65"/>
    <w:rsid w:val="6A714E2A"/>
    <w:rsid w:val="6A9A6F82"/>
    <w:rsid w:val="6AF706FF"/>
    <w:rsid w:val="6B0E182E"/>
    <w:rsid w:val="6B12067D"/>
    <w:rsid w:val="6B5E39D4"/>
    <w:rsid w:val="6BD90A39"/>
    <w:rsid w:val="6BD955F6"/>
    <w:rsid w:val="6BE4663C"/>
    <w:rsid w:val="6C3E7BED"/>
    <w:rsid w:val="6C9C6D6A"/>
    <w:rsid w:val="6CE1437B"/>
    <w:rsid w:val="6D0236C8"/>
    <w:rsid w:val="6D3E39B4"/>
    <w:rsid w:val="6DA860AE"/>
    <w:rsid w:val="6E1B2F61"/>
    <w:rsid w:val="6E5F757F"/>
    <w:rsid w:val="6E9509CB"/>
    <w:rsid w:val="6EF40C8B"/>
    <w:rsid w:val="6F06576B"/>
    <w:rsid w:val="6F095469"/>
    <w:rsid w:val="6F1B191C"/>
    <w:rsid w:val="6F272049"/>
    <w:rsid w:val="6F4978E0"/>
    <w:rsid w:val="6F867105"/>
    <w:rsid w:val="6FBD2C56"/>
    <w:rsid w:val="6FF5211C"/>
    <w:rsid w:val="70192FF1"/>
    <w:rsid w:val="70A87364"/>
    <w:rsid w:val="70BD1AFA"/>
    <w:rsid w:val="70E60CFE"/>
    <w:rsid w:val="70FA352B"/>
    <w:rsid w:val="710373ED"/>
    <w:rsid w:val="712504CB"/>
    <w:rsid w:val="713629C1"/>
    <w:rsid w:val="715A0D44"/>
    <w:rsid w:val="719C15F3"/>
    <w:rsid w:val="71DB75F7"/>
    <w:rsid w:val="72090F4F"/>
    <w:rsid w:val="72115E82"/>
    <w:rsid w:val="7235647A"/>
    <w:rsid w:val="725F4A89"/>
    <w:rsid w:val="727053A9"/>
    <w:rsid w:val="72C061DA"/>
    <w:rsid w:val="72C30121"/>
    <w:rsid w:val="7301530B"/>
    <w:rsid w:val="730916B9"/>
    <w:rsid w:val="73203399"/>
    <w:rsid w:val="73AA484E"/>
    <w:rsid w:val="73F67AC3"/>
    <w:rsid w:val="7411000B"/>
    <w:rsid w:val="741E21BA"/>
    <w:rsid w:val="744B3D3D"/>
    <w:rsid w:val="74577E66"/>
    <w:rsid w:val="74610792"/>
    <w:rsid w:val="750876C3"/>
    <w:rsid w:val="751C734F"/>
    <w:rsid w:val="751C7C98"/>
    <w:rsid w:val="751E506D"/>
    <w:rsid w:val="758114B5"/>
    <w:rsid w:val="758670FF"/>
    <w:rsid w:val="75CD1A9D"/>
    <w:rsid w:val="75D57EB8"/>
    <w:rsid w:val="76722F7C"/>
    <w:rsid w:val="768E3579"/>
    <w:rsid w:val="76F22FA9"/>
    <w:rsid w:val="77772338"/>
    <w:rsid w:val="77854B5B"/>
    <w:rsid w:val="77901A72"/>
    <w:rsid w:val="779174E6"/>
    <w:rsid w:val="77B60264"/>
    <w:rsid w:val="780238A6"/>
    <w:rsid w:val="783A5967"/>
    <w:rsid w:val="78646BB9"/>
    <w:rsid w:val="786D6CD2"/>
    <w:rsid w:val="78794A78"/>
    <w:rsid w:val="78AB5216"/>
    <w:rsid w:val="78CA7873"/>
    <w:rsid w:val="79325AEC"/>
    <w:rsid w:val="793B245B"/>
    <w:rsid w:val="79720345"/>
    <w:rsid w:val="79C3687D"/>
    <w:rsid w:val="79D02DDA"/>
    <w:rsid w:val="7A080A7A"/>
    <w:rsid w:val="7A0D36FC"/>
    <w:rsid w:val="7A437DFA"/>
    <w:rsid w:val="7A4B0AFE"/>
    <w:rsid w:val="7A5D611C"/>
    <w:rsid w:val="7ABF2569"/>
    <w:rsid w:val="7AD2591E"/>
    <w:rsid w:val="7AEC64D8"/>
    <w:rsid w:val="7AEC7534"/>
    <w:rsid w:val="7B1A60C2"/>
    <w:rsid w:val="7B953ADD"/>
    <w:rsid w:val="7BA542D4"/>
    <w:rsid w:val="7BB95B41"/>
    <w:rsid w:val="7BBA7717"/>
    <w:rsid w:val="7BBF11A6"/>
    <w:rsid w:val="7C050E06"/>
    <w:rsid w:val="7C0F5DE2"/>
    <w:rsid w:val="7C163341"/>
    <w:rsid w:val="7C237653"/>
    <w:rsid w:val="7C2F141D"/>
    <w:rsid w:val="7C375C8F"/>
    <w:rsid w:val="7C3A5556"/>
    <w:rsid w:val="7C3F5631"/>
    <w:rsid w:val="7C653A17"/>
    <w:rsid w:val="7C7D5DEE"/>
    <w:rsid w:val="7C8A1DAD"/>
    <w:rsid w:val="7C976FE7"/>
    <w:rsid w:val="7CA53332"/>
    <w:rsid w:val="7CBF49DC"/>
    <w:rsid w:val="7CC6782B"/>
    <w:rsid w:val="7CD93E17"/>
    <w:rsid w:val="7D160F61"/>
    <w:rsid w:val="7D4F5B5B"/>
    <w:rsid w:val="7D672F4A"/>
    <w:rsid w:val="7D8546CF"/>
    <w:rsid w:val="7D8A3108"/>
    <w:rsid w:val="7DC47559"/>
    <w:rsid w:val="7DCC7D76"/>
    <w:rsid w:val="7DDA317F"/>
    <w:rsid w:val="7E3059B3"/>
    <w:rsid w:val="7E382D5D"/>
    <w:rsid w:val="7E486370"/>
    <w:rsid w:val="7E5C0619"/>
    <w:rsid w:val="7E5C1756"/>
    <w:rsid w:val="7E652665"/>
    <w:rsid w:val="7F5F39A8"/>
    <w:rsid w:val="7F984DAA"/>
    <w:rsid w:val="7FA07085"/>
    <w:rsid w:val="7FB32D21"/>
    <w:rsid w:val="7FC53E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1" w:semiHidden="0" w:name="heading 7"/>
    <w:lsdException w:qFormat="1" w:uiPriority="0" w:name="heading 8"/>
    <w:lsdException w:qFormat="1" w:uiPriority="1"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723"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39"/>
    <w:qFormat/>
    <w:uiPriority w:val="0"/>
    <w:pPr>
      <w:keepNext/>
      <w:keepLines/>
      <w:pageBreakBefore/>
      <w:spacing w:before="50" w:beforeLines="50" w:after="50" w:afterLines="50"/>
      <w:ind w:firstLine="0" w:firstLineChars="0"/>
      <w:jc w:val="center"/>
      <w:outlineLvl w:val="0"/>
    </w:pPr>
    <w:rPr>
      <w:rFonts w:ascii="Times New Roman" w:hAnsi="Times New Roman" w:eastAsia="宋体"/>
      <w:b/>
      <w:kern w:val="44"/>
      <w:sz w:val="36"/>
    </w:rPr>
  </w:style>
  <w:style w:type="paragraph" w:styleId="4">
    <w:name w:val="heading 2"/>
    <w:basedOn w:val="1"/>
    <w:next w:val="1"/>
    <w:link w:val="37"/>
    <w:unhideWhenUsed/>
    <w:qFormat/>
    <w:uiPriority w:val="0"/>
    <w:pPr>
      <w:keepNext/>
      <w:keepLines/>
      <w:spacing w:before="50" w:beforeLines="50" w:after="50" w:afterLines="50"/>
      <w:ind w:firstLine="0" w:firstLineChars="0"/>
      <w:outlineLvl w:val="1"/>
    </w:pPr>
    <w:rPr>
      <w:b/>
      <w:sz w:val="30"/>
    </w:rPr>
  </w:style>
  <w:style w:type="paragraph" w:styleId="5">
    <w:name w:val="heading 3"/>
    <w:basedOn w:val="1"/>
    <w:next w:val="1"/>
    <w:link w:val="38"/>
    <w:unhideWhenUsed/>
    <w:qFormat/>
    <w:uiPriority w:val="0"/>
    <w:pPr>
      <w:keepNext/>
      <w:keepLines/>
      <w:ind w:right="108" w:firstLine="0" w:firstLineChars="0"/>
      <w:jc w:val="left"/>
      <w:outlineLvl w:val="2"/>
    </w:pPr>
    <w:rPr>
      <w:rFonts w:cs="Times New Roman"/>
      <w:b/>
      <w:color w:val="000000"/>
      <w:sz w:val="28"/>
    </w:rPr>
  </w:style>
  <w:style w:type="paragraph" w:styleId="6">
    <w:name w:val="heading 4"/>
    <w:basedOn w:val="1"/>
    <w:next w:val="1"/>
    <w:unhideWhenUsed/>
    <w:qFormat/>
    <w:uiPriority w:val="0"/>
    <w:pPr>
      <w:keepNext/>
      <w:keepLines/>
      <w:ind w:firstLine="0" w:firstLineChars="0"/>
      <w:outlineLvl w:val="3"/>
    </w:pPr>
    <w:rPr>
      <w:b/>
    </w:rPr>
  </w:style>
  <w:style w:type="paragraph" w:styleId="7">
    <w:name w:val="heading 5"/>
    <w:basedOn w:val="1"/>
    <w:next w:val="1"/>
    <w:unhideWhenUsed/>
    <w:qFormat/>
    <w:uiPriority w:val="0"/>
    <w:pPr>
      <w:keepNext/>
      <w:keepLines/>
      <w:spacing w:line="240" w:lineRule="auto"/>
      <w:ind w:firstLine="0" w:firstLineChars="0"/>
      <w:outlineLvl w:val="4"/>
    </w:pPr>
    <w:rPr>
      <w:rFonts w:ascii="Times New Roman" w:hAnsi="Times New Roman" w:eastAsia="宋体"/>
      <w:sz w:val="24"/>
    </w:rPr>
  </w:style>
  <w:style w:type="paragraph" w:styleId="8">
    <w:name w:val="heading 6"/>
    <w:basedOn w:val="1"/>
    <w:next w:val="1"/>
    <w:unhideWhenUsed/>
    <w:qFormat/>
    <w:uiPriority w:val="0"/>
    <w:pPr>
      <w:keepNext/>
      <w:keepLines/>
      <w:spacing w:before="240" w:after="64" w:line="317" w:lineRule="auto"/>
      <w:outlineLvl w:val="5"/>
    </w:pPr>
    <w:rPr>
      <w:rFonts w:ascii="Arial" w:hAnsi="Arial" w:eastAsia="黑体"/>
      <w:b/>
    </w:rPr>
  </w:style>
  <w:style w:type="paragraph" w:styleId="9">
    <w:name w:val="heading 7"/>
    <w:basedOn w:val="1"/>
    <w:next w:val="1"/>
    <w:unhideWhenUsed/>
    <w:qFormat/>
    <w:uiPriority w:val="1"/>
    <w:pPr>
      <w:ind w:left="117"/>
      <w:outlineLvl w:val="6"/>
    </w:pPr>
    <w:rPr>
      <w:rFonts w:hint="eastAsia" w:ascii="宋体" w:hAnsi="宋体"/>
      <w:sz w:val="30"/>
    </w:rPr>
  </w:style>
  <w:style w:type="paragraph" w:styleId="10">
    <w:name w:val="heading 9"/>
    <w:basedOn w:val="1"/>
    <w:next w:val="1"/>
    <w:unhideWhenUsed/>
    <w:qFormat/>
    <w:uiPriority w:val="1"/>
    <w:pPr>
      <w:ind w:left="746" w:hanging="629"/>
      <w:outlineLvl w:val="8"/>
    </w:pPr>
    <w:rPr>
      <w:rFonts w:hint="eastAsia" w:ascii="宋体" w:hAnsi="宋体"/>
      <w:sz w:val="28"/>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2">
    <w:name w:val="Normal Indent"/>
    <w:basedOn w:val="1"/>
    <w:qFormat/>
    <w:uiPriority w:val="0"/>
    <w:pPr>
      <w:ind w:firstLine="420"/>
    </w:pPr>
  </w:style>
  <w:style w:type="paragraph" w:styleId="11">
    <w:name w:val="annotation text"/>
    <w:basedOn w:val="1"/>
    <w:link w:val="83"/>
    <w:qFormat/>
    <w:uiPriority w:val="0"/>
    <w:pPr>
      <w:jc w:val="left"/>
    </w:pPr>
  </w:style>
  <w:style w:type="paragraph" w:styleId="12">
    <w:name w:val="Body Text"/>
    <w:basedOn w:val="1"/>
    <w:qFormat/>
    <w:uiPriority w:val="0"/>
    <w:rPr>
      <w:rFonts w:cs="Times New Roman"/>
    </w:rPr>
  </w:style>
  <w:style w:type="paragraph" w:styleId="13">
    <w:name w:val="Body Text Indent"/>
    <w:basedOn w:val="1"/>
    <w:qFormat/>
    <w:uiPriority w:val="0"/>
    <w:pPr>
      <w:spacing w:line="460" w:lineRule="exact"/>
      <w:ind w:firstLine="482"/>
    </w:pPr>
  </w:style>
  <w:style w:type="paragraph" w:styleId="14">
    <w:name w:val="Plain Text"/>
    <w:basedOn w:val="1"/>
    <w:qFormat/>
    <w:uiPriority w:val="0"/>
    <w:pPr>
      <w:adjustRightInd w:val="0"/>
      <w:textAlignment w:val="baseline"/>
    </w:pPr>
    <w:rPr>
      <w:rFonts w:ascii="宋体" w:hAnsi="Courier New"/>
      <w:szCs w:val="21"/>
    </w:rPr>
  </w:style>
  <w:style w:type="paragraph" w:styleId="15">
    <w:name w:val="Date"/>
    <w:basedOn w:val="1"/>
    <w:next w:val="1"/>
    <w:qFormat/>
    <w:uiPriority w:val="0"/>
    <w:rPr>
      <w:rFonts w:ascii="宋体"/>
      <w:sz w:val="28"/>
      <w:szCs w:val="20"/>
    </w:rPr>
  </w:style>
  <w:style w:type="paragraph" w:styleId="16">
    <w:name w:val="Body Text Indent 2"/>
    <w:basedOn w:val="1"/>
    <w:qFormat/>
    <w:uiPriority w:val="0"/>
    <w:pPr>
      <w:tabs>
        <w:tab w:val="left" w:pos="1232"/>
      </w:tabs>
      <w:autoSpaceDE w:val="0"/>
      <w:autoSpaceDN w:val="0"/>
      <w:spacing w:line="360" w:lineRule="auto"/>
      <w:ind w:firstLine="510"/>
    </w:pPr>
    <w:rPr>
      <w:rFonts w:ascii="宋体" w:hAnsi="宋体"/>
      <w:sz w:val="24"/>
    </w:rPr>
  </w:style>
  <w:style w:type="paragraph" w:styleId="17">
    <w:name w:val="Balloon Text"/>
    <w:basedOn w:val="1"/>
    <w:link w:val="82"/>
    <w:qFormat/>
    <w:uiPriority w:val="0"/>
    <w:pPr>
      <w:spacing w:line="240" w:lineRule="auto"/>
    </w:pPr>
    <w:rPr>
      <w:sz w:val="18"/>
      <w:szCs w:val="18"/>
    </w:rPr>
  </w:style>
  <w:style w:type="paragraph" w:styleId="18">
    <w:name w:val="footer"/>
    <w:basedOn w:val="1"/>
    <w:qFormat/>
    <w:uiPriority w:val="0"/>
    <w:pPr>
      <w:tabs>
        <w:tab w:val="center" w:pos="4153"/>
        <w:tab w:val="right" w:pos="8306"/>
      </w:tabs>
      <w:snapToGrid w:val="0"/>
      <w:jc w:val="left"/>
    </w:pPr>
    <w:rPr>
      <w:sz w:val="18"/>
    </w:rPr>
  </w:style>
  <w:style w:type="paragraph" w:styleId="19">
    <w:name w:val="header"/>
    <w:basedOn w:val="1"/>
    <w:qFormat/>
    <w:uiPriority w:val="0"/>
    <w:pPr>
      <w:pBdr>
        <w:bottom w:val="single" w:color="auto" w:sz="6" w:space="1"/>
      </w:pBdr>
      <w:tabs>
        <w:tab w:val="center" w:pos="4153"/>
        <w:tab w:val="right" w:pos="8306"/>
      </w:tabs>
      <w:snapToGrid w:val="0"/>
      <w:jc w:val="center"/>
    </w:pPr>
    <w:rPr>
      <w:sz w:val="18"/>
    </w:rPr>
  </w:style>
  <w:style w:type="paragraph" w:styleId="20">
    <w:name w:val="toc 1"/>
    <w:basedOn w:val="1"/>
    <w:next w:val="1"/>
    <w:qFormat/>
    <w:uiPriority w:val="0"/>
  </w:style>
  <w:style w:type="paragraph" w:styleId="21">
    <w:name w:val="footnote text"/>
    <w:basedOn w:val="1"/>
    <w:semiHidden/>
    <w:uiPriority w:val="0"/>
    <w:pPr>
      <w:widowControl/>
      <w:tabs>
        <w:tab w:val="left" w:pos="709"/>
        <w:tab w:val="left" w:pos="1418"/>
      </w:tabs>
      <w:spacing w:after="240"/>
    </w:pPr>
    <w:rPr>
      <w:rFonts w:ascii="Arial" w:hAnsi="Arial"/>
      <w:kern w:val="0"/>
      <w:sz w:val="20"/>
      <w:szCs w:val="20"/>
      <w:lang w:val="en-AU" w:eastAsia="en-US"/>
    </w:rPr>
  </w:style>
  <w:style w:type="paragraph" w:styleId="22">
    <w:name w:val="toc 2"/>
    <w:basedOn w:val="1"/>
    <w:next w:val="1"/>
    <w:qFormat/>
    <w:uiPriority w:val="0"/>
    <w:pPr>
      <w:ind w:left="420" w:leftChars="200"/>
    </w:pPr>
  </w:style>
  <w:style w:type="paragraph" w:styleId="23">
    <w:name w:val="Body Text 2"/>
    <w:basedOn w:val="1"/>
    <w:semiHidden/>
    <w:qFormat/>
    <w:uiPriority w:val="0"/>
    <w:pPr>
      <w:spacing w:before="120" w:beforeLines="0" w:line="380" w:lineRule="exact"/>
    </w:pPr>
    <w:rPr>
      <w:rFonts w:eastAsia="楷体_GB2312"/>
      <w:sz w:val="28"/>
    </w:rPr>
  </w:style>
  <w:style w:type="paragraph" w:styleId="24">
    <w:name w:val="Normal (Web)"/>
    <w:basedOn w:val="1"/>
    <w:qFormat/>
    <w:uiPriority w:val="0"/>
    <w:pPr>
      <w:spacing w:before="100" w:beforeAutospacing="1" w:after="100" w:afterAutospacing="1"/>
      <w:jc w:val="left"/>
    </w:pPr>
    <w:rPr>
      <w:rFonts w:ascii="宋体" w:hAnsi="宋体"/>
      <w:kern w:val="0"/>
    </w:rPr>
  </w:style>
  <w:style w:type="paragraph" w:styleId="25">
    <w:name w:val="annotation subject"/>
    <w:basedOn w:val="11"/>
    <w:next w:val="11"/>
    <w:link w:val="84"/>
    <w:qFormat/>
    <w:uiPriority w:val="0"/>
    <w:rPr>
      <w:b/>
      <w:bCs/>
    </w:rPr>
  </w:style>
  <w:style w:type="table" w:styleId="27">
    <w:name w:val="Table Grid"/>
    <w:basedOn w:val="2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9">
    <w:name w:val="Strong"/>
    <w:basedOn w:val="28"/>
    <w:qFormat/>
    <w:uiPriority w:val="0"/>
    <w:rPr>
      <w:b/>
    </w:rPr>
  </w:style>
  <w:style w:type="character" w:styleId="30">
    <w:name w:val="page number"/>
    <w:basedOn w:val="28"/>
    <w:qFormat/>
    <w:uiPriority w:val="0"/>
  </w:style>
  <w:style w:type="character" w:styleId="31">
    <w:name w:val="Hyperlink"/>
    <w:basedOn w:val="28"/>
    <w:qFormat/>
    <w:uiPriority w:val="0"/>
    <w:rPr>
      <w:color w:val="0000FF"/>
      <w:u w:val="single"/>
    </w:rPr>
  </w:style>
  <w:style w:type="character" w:styleId="32">
    <w:name w:val="annotation reference"/>
    <w:basedOn w:val="28"/>
    <w:qFormat/>
    <w:uiPriority w:val="0"/>
    <w:rPr>
      <w:sz w:val="21"/>
      <w:szCs w:val="21"/>
    </w:rPr>
  </w:style>
  <w:style w:type="character" w:styleId="33">
    <w:name w:val="footnote reference"/>
    <w:basedOn w:val="28"/>
    <w:semiHidden/>
    <w:uiPriority w:val="0"/>
    <w:rPr>
      <w:vertAlign w:val="superscript"/>
    </w:rPr>
  </w:style>
  <w:style w:type="paragraph" w:customStyle="1" w:styleId="34">
    <w:name w:val="表格"/>
    <w:basedOn w:val="35"/>
    <w:next w:val="23"/>
    <w:qFormat/>
    <w:uiPriority w:val="0"/>
    <w:pPr>
      <w:spacing w:line="360" w:lineRule="exact"/>
      <w:jc w:val="center"/>
    </w:pPr>
    <w:rPr>
      <w:kern w:val="0"/>
    </w:rPr>
  </w:style>
  <w:style w:type="paragraph" w:customStyle="1" w:styleId="35">
    <w:name w:val="表头"/>
    <w:basedOn w:val="36"/>
    <w:next w:val="1"/>
    <w:qFormat/>
    <w:uiPriority w:val="0"/>
    <w:pPr>
      <w:keepNext w:val="0"/>
      <w:adjustRightInd w:val="0"/>
      <w:snapToGrid w:val="0"/>
      <w:spacing w:line="240" w:lineRule="auto"/>
      <w:contextualSpacing/>
      <w:outlineLvl w:val="9"/>
    </w:pPr>
    <w:rPr>
      <w:rFonts w:eastAsia="黑体" w:cs="Times New Roman"/>
      <w:smallCaps/>
      <w:spacing w:val="5"/>
      <w:szCs w:val="36"/>
    </w:rPr>
  </w:style>
  <w:style w:type="paragraph" w:customStyle="1" w:styleId="36">
    <w:name w:val="文本"/>
    <w:basedOn w:val="1"/>
    <w:qFormat/>
    <w:uiPriority w:val="0"/>
    <w:pPr>
      <w:adjustRightInd w:val="0"/>
      <w:snapToGrid w:val="0"/>
      <w:spacing w:line="360" w:lineRule="auto"/>
      <w:ind w:firstLine="960" w:firstLineChars="200"/>
    </w:pPr>
    <w:rPr>
      <w:rFonts w:ascii="Times New Roman" w:hAnsi="Times New Roman" w:eastAsia="宋体"/>
      <w:sz w:val="24"/>
    </w:rPr>
  </w:style>
  <w:style w:type="character" w:customStyle="1" w:styleId="37">
    <w:name w:val="标题 2 Char"/>
    <w:link w:val="4"/>
    <w:qFormat/>
    <w:uiPriority w:val="0"/>
    <w:rPr>
      <w:rFonts w:ascii="Times New Roman" w:hAnsi="Times New Roman" w:eastAsia="宋体"/>
      <w:b/>
      <w:sz w:val="30"/>
    </w:rPr>
  </w:style>
  <w:style w:type="character" w:customStyle="1" w:styleId="38">
    <w:name w:val="标题 3 Char"/>
    <w:link w:val="5"/>
    <w:qFormat/>
    <w:uiPriority w:val="0"/>
    <w:rPr>
      <w:rFonts w:cs="Times New Roman"/>
      <w:b/>
      <w:color w:val="000000"/>
      <w:sz w:val="28"/>
    </w:rPr>
  </w:style>
  <w:style w:type="character" w:customStyle="1" w:styleId="39">
    <w:name w:val="标题 1 Char"/>
    <w:link w:val="3"/>
    <w:qFormat/>
    <w:uiPriority w:val="0"/>
    <w:rPr>
      <w:rFonts w:ascii="Times New Roman" w:hAnsi="Times New Roman" w:eastAsia="宋体"/>
      <w:b/>
      <w:kern w:val="44"/>
      <w:sz w:val="36"/>
    </w:rPr>
  </w:style>
  <w:style w:type="paragraph" w:customStyle="1" w:styleId="40">
    <w:name w:val="标准文本 首行缩进:2 字符 行距1倍"/>
    <w:basedOn w:val="1"/>
    <w:qFormat/>
    <w:uiPriority w:val="0"/>
    <w:pPr>
      <w:adjustRightInd w:val="0"/>
      <w:snapToGrid w:val="0"/>
      <w:spacing w:line="480" w:lineRule="atLeast"/>
      <w:ind w:firstLine="480"/>
      <w:textAlignment w:val="center"/>
    </w:pPr>
    <w:rPr>
      <w:rFonts w:cs="宋体"/>
      <w:szCs w:val="20"/>
    </w:rPr>
  </w:style>
  <w:style w:type="paragraph" w:customStyle="1" w:styleId="41">
    <w:name w:val="正文缩进1"/>
    <w:basedOn w:val="1"/>
    <w:qFormat/>
    <w:uiPriority w:val="0"/>
    <w:pPr>
      <w:adjustRightInd w:val="0"/>
      <w:spacing w:line="460" w:lineRule="exact"/>
      <w:ind w:firstLine="420"/>
      <w:textAlignment w:val="baseline"/>
    </w:pPr>
    <w:rPr>
      <w:kern w:val="0"/>
    </w:rPr>
  </w:style>
  <w:style w:type="paragraph" w:customStyle="1" w:styleId="42">
    <w:name w:val="公正文"/>
    <w:basedOn w:val="2"/>
    <w:qFormat/>
    <w:uiPriority w:val="0"/>
    <w:pPr>
      <w:spacing w:line="355" w:lineRule="auto"/>
      <w:ind w:firstLine="200"/>
    </w:pPr>
    <w:rPr>
      <w:rFonts w:eastAsia="仿宋_GB2312"/>
      <w:sz w:val="28"/>
    </w:rPr>
  </w:style>
  <w:style w:type="paragraph" w:customStyle="1" w:styleId="43">
    <w:name w:val="表标题"/>
    <w:basedOn w:val="1"/>
    <w:next w:val="1"/>
    <w:qFormat/>
    <w:uiPriority w:val="0"/>
    <w:pPr>
      <w:spacing w:line="240" w:lineRule="auto"/>
      <w:ind w:firstLine="0" w:firstLineChars="0"/>
      <w:jc w:val="center"/>
    </w:pPr>
    <w:rPr>
      <w:rFonts w:eastAsia="黑体"/>
    </w:rPr>
  </w:style>
  <w:style w:type="paragraph" w:customStyle="1" w:styleId="44">
    <w:name w:val="表格五号"/>
    <w:basedOn w:val="1"/>
    <w:qFormat/>
    <w:uiPriority w:val="0"/>
    <w:pPr>
      <w:adjustRightInd w:val="0"/>
      <w:snapToGrid w:val="0"/>
      <w:spacing w:line="240" w:lineRule="auto"/>
      <w:ind w:firstLine="0" w:firstLineChars="0"/>
      <w:jc w:val="center"/>
    </w:pPr>
    <w:rPr>
      <w:sz w:val="21"/>
      <w:szCs w:val="21"/>
    </w:rPr>
  </w:style>
  <w:style w:type="paragraph" w:customStyle="1" w:styleId="45">
    <w:name w:val="表格5号"/>
    <w:basedOn w:val="1"/>
    <w:qFormat/>
    <w:uiPriority w:val="0"/>
    <w:pPr>
      <w:spacing w:line="240" w:lineRule="auto"/>
      <w:ind w:firstLine="0" w:firstLineChars="0"/>
      <w:jc w:val="center"/>
    </w:pPr>
    <w:rPr>
      <w:sz w:val="21"/>
    </w:rPr>
  </w:style>
  <w:style w:type="paragraph" w:customStyle="1" w:styleId="46">
    <w:name w:val="p0"/>
    <w:basedOn w:val="1"/>
    <w:qFormat/>
    <w:uiPriority w:val="0"/>
    <w:pPr>
      <w:widowControl/>
    </w:pPr>
    <w:rPr>
      <w:kern w:val="0"/>
      <w:szCs w:val="21"/>
    </w:rPr>
  </w:style>
  <w:style w:type="paragraph" w:customStyle="1" w:styleId="47">
    <w:name w:val="标题4"/>
    <w:basedOn w:val="1"/>
    <w:next w:val="2"/>
    <w:qFormat/>
    <w:uiPriority w:val="0"/>
    <w:pPr>
      <w:numPr>
        <w:ilvl w:val="3"/>
        <w:numId w:val="1"/>
      </w:numPr>
      <w:tabs>
        <w:tab w:val="clear" w:pos="1133"/>
      </w:tabs>
      <w:ind w:left="0" w:firstLine="0"/>
      <w:outlineLvl w:val="3"/>
    </w:pPr>
    <w:rPr>
      <w:b/>
    </w:rPr>
  </w:style>
  <w:style w:type="paragraph" w:customStyle="1" w:styleId="48">
    <w:name w:val="样式 小四 行距: 1.5 倍行距"/>
    <w:basedOn w:val="1"/>
    <w:link w:val="93"/>
    <w:qFormat/>
    <w:uiPriority w:val="0"/>
    <w:pPr>
      <w:ind w:firstLine="200"/>
    </w:pPr>
    <w:rPr>
      <w:rFonts w:cs="宋体"/>
    </w:rPr>
  </w:style>
  <w:style w:type="paragraph" w:customStyle="1" w:styleId="49">
    <w:name w:val="Table Paragraph"/>
    <w:basedOn w:val="1"/>
    <w:qFormat/>
    <w:uiPriority w:val="1"/>
  </w:style>
  <w:style w:type="paragraph" w:customStyle="1" w:styleId="50">
    <w:name w:val="正文文本缩进1"/>
    <w:basedOn w:val="1"/>
    <w:qFormat/>
    <w:uiPriority w:val="0"/>
    <w:pPr>
      <w:spacing w:line="420" w:lineRule="exact"/>
      <w:ind w:firstLine="425"/>
    </w:pPr>
    <w:rPr>
      <w:rFonts w:cs="Times New Roman"/>
      <w:szCs w:val="20"/>
    </w:rPr>
  </w:style>
  <w:style w:type="paragraph" w:customStyle="1" w:styleId="51">
    <w:name w:val="1-正文"/>
    <w:qFormat/>
    <w:uiPriority w:val="0"/>
    <w:pPr>
      <w:spacing w:line="360" w:lineRule="auto"/>
      <w:ind w:firstLine="560" w:firstLineChars="200"/>
    </w:pPr>
    <w:rPr>
      <w:rFonts w:ascii="宋体" w:hAnsi="宋体" w:eastAsia="宋体" w:cs="Times New Roman"/>
      <w:kern w:val="2"/>
      <w:sz w:val="28"/>
      <w:szCs w:val="28"/>
      <w:lang w:val="en-US" w:eastAsia="zh-CN" w:bidi="ar-SA"/>
    </w:rPr>
  </w:style>
  <w:style w:type="character" w:customStyle="1" w:styleId="52">
    <w:name w:val="text1"/>
    <w:qFormat/>
    <w:uiPriority w:val="0"/>
    <w:rPr>
      <w:sz w:val="21"/>
      <w:szCs w:val="21"/>
    </w:rPr>
  </w:style>
  <w:style w:type="paragraph" w:customStyle="1" w:styleId="53">
    <w:name w:val="中文报告书样式"/>
    <w:basedOn w:val="1"/>
    <w:qFormat/>
    <w:uiPriority w:val="0"/>
    <w:pPr>
      <w:adjustRightInd w:val="0"/>
      <w:snapToGrid w:val="0"/>
      <w:ind w:firstLine="480"/>
      <w:textAlignment w:val="baseline"/>
    </w:pPr>
    <w:rPr>
      <w:kern w:val="24"/>
    </w:rPr>
  </w:style>
  <w:style w:type="paragraph" w:customStyle="1" w:styleId="54">
    <w:name w:val="正文(首行缩进)"/>
    <w:basedOn w:val="1"/>
    <w:qFormat/>
    <w:uiPriority w:val="0"/>
    <w:pPr>
      <w:adjustRightInd w:val="0"/>
      <w:snapToGrid w:val="0"/>
      <w:ind w:firstLine="200"/>
    </w:pPr>
    <w:rPr>
      <w:snapToGrid w:val="0"/>
      <w:kern w:val="0"/>
    </w:rPr>
  </w:style>
  <w:style w:type="paragraph" w:customStyle="1" w:styleId="55">
    <w:name w:val="+正文"/>
    <w:basedOn w:val="1"/>
    <w:qFormat/>
    <w:uiPriority w:val="0"/>
    <w:pPr>
      <w:ind w:firstLine="200"/>
      <w:jc w:val="left"/>
    </w:pPr>
    <w:rPr>
      <w:szCs w:val="28"/>
    </w:rPr>
  </w:style>
  <w:style w:type="paragraph" w:styleId="56">
    <w:name w:val="List Paragraph"/>
    <w:basedOn w:val="1"/>
    <w:qFormat/>
    <w:uiPriority w:val="0"/>
    <w:pPr>
      <w:ind w:firstLine="420"/>
    </w:pPr>
    <w:rPr>
      <w:rFonts w:ascii="Calibri" w:hAnsi="Calibri"/>
      <w:szCs w:val="22"/>
    </w:rPr>
  </w:style>
  <w:style w:type="paragraph" w:customStyle="1" w:styleId="57">
    <w:name w:val="0-正文"/>
    <w:basedOn w:val="1"/>
    <w:qFormat/>
    <w:uiPriority w:val="0"/>
    <w:pPr>
      <w:spacing w:line="312" w:lineRule="auto"/>
      <w:ind w:firstLine="200"/>
    </w:pPr>
    <w:rPr>
      <w:spacing w:val="4"/>
      <w:sz w:val="28"/>
      <w:szCs w:val="28"/>
    </w:rPr>
  </w:style>
  <w:style w:type="paragraph" w:customStyle="1" w:styleId="58">
    <w:name w:val="报告正文"/>
    <w:qFormat/>
    <w:uiPriority w:val="0"/>
    <w:pPr>
      <w:spacing w:line="440" w:lineRule="exact"/>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59">
    <w:name w:val="填表文字"/>
    <w:basedOn w:val="1"/>
    <w:qFormat/>
    <w:uiPriority w:val="0"/>
    <w:pPr>
      <w:jc w:val="center"/>
    </w:pPr>
    <w:rPr>
      <w:rFonts w:cs="Times New Roman"/>
      <w:sz w:val="21"/>
      <w:szCs w:val="21"/>
    </w:rPr>
  </w:style>
  <w:style w:type="paragraph" w:customStyle="1" w:styleId="60">
    <w:name w:val="四级"/>
    <w:basedOn w:val="6"/>
    <w:qFormat/>
    <w:uiPriority w:val="0"/>
    <w:rPr>
      <w:rFonts w:ascii="宋体" w:hAnsi="宋体"/>
      <w:b w:val="0"/>
    </w:rPr>
  </w:style>
  <w:style w:type="paragraph" w:customStyle="1" w:styleId="61">
    <w:name w:val="公标题3"/>
    <w:basedOn w:val="1"/>
    <w:qFormat/>
    <w:uiPriority w:val="0"/>
    <w:pPr>
      <w:adjustRightInd w:val="0"/>
      <w:snapToGrid w:val="0"/>
      <w:spacing w:beforeLines="30" w:afterLines="30" w:line="355" w:lineRule="auto"/>
      <w:outlineLvl w:val="2"/>
    </w:pPr>
    <w:rPr>
      <w:rFonts w:ascii="Swis721 BT" w:hAnsi="Swis721 BT" w:eastAsia="黑体"/>
      <w:sz w:val="28"/>
    </w:rPr>
  </w:style>
  <w:style w:type="paragraph" w:customStyle="1" w:styleId="62">
    <w:name w:val="表格内容自定"/>
    <w:basedOn w:val="1"/>
    <w:qFormat/>
    <w:uiPriority w:val="0"/>
    <w:pPr>
      <w:spacing w:line="280" w:lineRule="exact"/>
      <w:jc w:val="center"/>
    </w:pPr>
    <w:rPr>
      <w:kern w:val="0"/>
      <w:sz w:val="18"/>
      <w:szCs w:val="21"/>
    </w:rPr>
  </w:style>
  <w:style w:type="character" w:customStyle="1" w:styleId="63">
    <w:name w:val="apple-converted-space"/>
    <w:basedOn w:val="28"/>
    <w:qFormat/>
    <w:uiPriority w:val="0"/>
  </w:style>
  <w:style w:type="paragraph" w:customStyle="1" w:styleId="64">
    <w:name w:val="正文1"/>
    <w:basedOn w:val="1"/>
    <w:qFormat/>
    <w:uiPriority w:val="0"/>
    <w:pPr>
      <w:adjustRightInd w:val="0"/>
      <w:snapToGrid w:val="0"/>
      <w:spacing w:beforeLines="30" w:afterLines="30"/>
      <w:ind w:left="-25" w:leftChars="-25" w:right="-25" w:rightChars="-25"/>
      <w:jc w:val="center"/>
      <w:textAlignment w:val="baseline"/>
    </w:pPr>
    <w:rPr>
      <w:rFonts w:ascii="宋体"/>
      <w:kern w:val="0"/>
    </w:rPr>
  </w:style>
  <w:style w:type="paragraph" w:customStyle="1" w:styleId="65">
    <w:name w:val="目录2222222"/>
    <w:basedOn w:val="4"/>
    <w:qFormat/>
    <w:uiPriority w:val="0"/>
    <w:pPr>
      <w:tabs>
        <w:tab w:val="left" w:pos="567"/>
      </w:tabs>
      <w:spacing w:before="260" w:after="260" w:line="440" w:lineRule="exact"/>
    </w:pPr>
    <w:rPr>
      <w:rFonts w:ascii="Arial" w:hAnsi="Arial" w:eastAsia="黑体"/>
      <w:sz w:val="32"/>
      <w:szCs w:val="32"/>
    </w:rPr>
  </w:style>
  <w:style w:type="paragraph" w:customStyle="1" w:styleId="66">
    <w:name w:val="Char"/>
    <w:basedOn w:val="1"/>
    <w:qFormat/>
    <w:uiPriority w:val="0"/>
  </w:style>
  <w:style w:type="paragraph" w:customStyle="1" w:styleId="67">
    <w:name w:val="1"/>
    <w:basedOn w:val="1"/>
    <w:next w:val="68"/>
    <w:qFormat/>
    <w:uiPriority w:val="0"/>
    <w:pPr>
      <w:widowControl/>
      <w:spacing w:line="460" w:lineRule="exact"/>
      <w:ind w:firstLine="640"/>
    </w:pPr>
    <w:rPr>
      <w:w w:val="90"/>
      <w:kern w:val="0"/>
      <w:sz w:val="28"/>
    </w:rPr>
  </w:style>
  <w:style w:type="paragraph" w:customStyle="1" w:styleId="68">
    <w:name w:val="正文文本缩进 31"/>
    <w:basedOn w:val="1"/>
    <w:qFormat/>
    <w:uiPriority w:val="0"/>
    <w:pPr>
      <w:spacing w:after="120"/>
      <w:ind w:left="420" w:leftChars="200"/>
    </w:pPr>
    <w:rPr>
      <w:sz w:val="16"/>
      <w:szCs w:val="16"/>
    </w:rPr>
  </w:style>
  <w:style w:type="paragraph" w:customStyle="1" w:styleId="69">
    <w:name w:val="列出段落1"/>
    <w:basedOn w:val="1"/>
    <w:qFormat/>
    <w:uiPriority w:val="0"/>
    <w:pPr>
      <w:spacing w:line="500" w:lineRule="exact"/>
      <w:ind w:firstLine="420"/>
    </w:pPr>
  </w:style>
  <w:style w:type="paragraph" w:customStyle="1" w:styleId="70">
    <w:name w:val="样式4"/>
    <w:basedOn w:val="12"/>
    <w:qFormat/>
    <w:uiPriority w:val="0"/>
    <w:pPr>
      <w:tabs>
        <w:tab w:val="left" w:pos="900"/>
      </w:tabs>
      <w:ind w:firstLine="480"/>
    </w:pPr>
    <w:rPr>
      <w:color w:val="000000"/>
    </w:rPr>
  </w:style>
  <w:style w:type="paragraph" w:customStyle="1" w:styleId="71">
    <w:name w:val="纯文本1"/>
    <w:basedOn w:val="1"/>
    <w:qFormat/>
    <w:uiPriority w:val="0"/>
    <w:rPr>
      <w:rFonts w:ascii="宋体" w:hAnsi="Courier New"/>
      <w:szCs w:val="21"/>
    </w:rPr>
  </w:style>
  <w:style w:type="paragraph" w:customStyle="1" w:styleId="72">
    <w:name w:val="a"/>
    <w:basedOn w:val="73"/>
    <w:qFormat/>
    <w:uiPriority w:val="0"/>
    <w:pPr>
      <w:pageBreakBefore/>
      <w:spacing w:before="240" w:beforeLines="0" w:after="240" w:afterLines="0" w:line="500" w:lineRule="exact"/>
      <w:ind w:right="210" w:rightChars="100"/>
      <w:outlineLvl w:val="0"/>
    </w:pPr>
    <w:rPr>
      <w:rFonts w:ascii="Arial" w:hAnsi="Arial" w:eastAsia="宋体" w:cs="Arial"/>
    </w:rPr>
  </w:style>
  <w:style w:type="paragraph" w:customStyle="1" w:styleId="73">
    <w:name w:val="章"/>
    <w:basedOn w:val="1"/>
    <w:qFormat/>
    <w:uiPriority w:val="0"/>
    <w:pPr>
      <w:spacing w:beforeLines="100" w:afterLines="50" w:line="600" w:lineRule="exact"/>
      <w:jc w:val="center"/>
    </w:pPr>
    <w:rPr>
      <w:rFonts w:ascii="黑体" w:eastAsia="黑体"/>
      <w:b/>
      <w:bCs/>
      <w:sz w:val="36"/>
      <w:szCs w:val="36"/>
    </w:rPr>
  </w:style>
  <w:style w:type="paragraph" w:customStyle="1" w:styleId="74">
    <w:name w:val="c"/>
    <w:basedOn w:val="3"/>
    <w:qFormat/>
    <w:uiPriority w:val="0"/>
    <w:pPr>
      <w:spacing w:before="200" w:after="160" w:line="440" w:lineRule="exact"/>
    </w:pPr>
    <w:rPr>
      <w:bCs/>
      <w:sz w:val="24"/>
      <w:szCs w:val="44"/>
    </w:rPr>
  </w:style>
  <w:style w:type="paragraph" w:customStyle="1" w:styleId="75">
    <w:name w:val="样式321131"/>
    <w:basedOn w:val="12"/>
    <w:qFormat/>
    <w:uiPriority w:val="0"/>
    <w:pPr>
      <w:spacing w:line="420" w:lineRule="exact"/>
      <w:ind w:firstLine="200"/>
    </w:pPr>
    <w:rPr>
      <w:szCs w:val="28"/>
    </w:rPr>
  </w:style>
  <w:style w:type="paragraph" w:customStyle="1" w:styleId="76">
    <w:name w:val="font5"/>
    <w:basedOn w:val="1"/>
    <w:qFormat/>
    <w:uiPriority w:val="0"/>
    <w:pPr>
      <w:widowControl/>
      <w:adjustRightInd w:val="0"/>
      <w:snapToGrid w:val="0"/>
      <w:spacing w:line="336" w:lineRule="auto"/>
      <w:ind w:firstLine="480"/>
    </w:pPr>
    <w:rPr>
      <w:bCs/>
      <w:kern w:val="44"/>
      <w:szCs w:val="18"/>
    </w:rPr>
  </w:style>
  <w:style w:type="paragraph" w:customStyle="1" w:styleId="77">
    <w:name w:val="图表名"/>
    <w:basedOn w:val="1"/>
    <w:next w:val="1"/>
    <w:qFormat/>
    <w:uiPriority w:val="0"/>
    <w:pPr>
      <w:widowControl/>
      <w:adjustRightInd w:val="0"/>
      <w:snapToGrid w:val="0"/>
      <w:spacing w:before="120" w:after="120"/>
      <w:jc w:val="center"/>
    </w:pPr>
    <w:rPr>
      <w:rFonts w:eastAsia="黑体"/>
      <w:b/>
      <w:kern w:val="0"/>
      <w:szCs w:val="21"/>
    </w:rPr>
  </w:style>
  <w:style w:type="paragraph" w:customStyle="1" w:styleId="78">
    <w:name w:val="WPSOffice手动目录 1"/>
    <w:qFormat/>
    <w:uiPriority w:val="0"/>
    <w:rPr>
      <w:rFonts w:ascii="Times New Roman" w:hAnsi="Times New Roman" w:eastAsia="宋体" w:cs="Times New Roman"/>
      <w:lang w:val="en-US" w:eastAsia="zh-CN" w:bidi="ar-SA"/>
    </w:rPr>
  </w:style>
  <w:style w:type="paragraph" w:customStyle="1" w:styleId="79">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80">
    <w:name w:val="TABLE"/>
    <w:basedOn w:val="1"/>
    <w:qFormat/>
    <w:uiPriority w:val="0"/>
    <w:rPr>
      <w:rFonts w:ascii="黑体" w:eastAsia="黑体"/>
    </w:rPr>
  </w:style>
  <w:style w:type="paragraph" w:customStyle="1" w:styleId="81">
    <w:name w:val="Default"/>
    <w:unhideWhenUsed/>
    <w:qFormat/>
    <w:uiPriority w:val="99"/>
    <w:pPr>
      <w:widowControl w:val="0"/>
      <w:autoSpaceDE w:val="0"/>
      <w:autoSpaceDN w:val="0"/>
      <w:adjustRightInd w:val="0"/>
    </w:pPr>
    <w:rPr>
      <w:rFonts w:hint="eastAsia" w:ascii="宋体t....." w:hAnsi="宋体t....." w:eastAsia="宋体t....." w:cs="Times New Roman"/>
      <w:color w:val="000000"/>
      <w:sz w:val="24"/>
      <w:lang w:val="en-US" w:eastAsia="zh-CN" w:bidi="ar-SA"/>
    </w:rPr>
  </w:style>
  <w:style w:type="character" w:customStyle="1" w:styleId="82">
    <w:name w:val="批注框文本 Char"/>
    <w:basedOn w:val="28"/>
    <w:link w:val="17"/>
    <w:qFormat/>
    <w:uiPriority w:val="0"/>
    <w:rPr>
      <w:rFonts w:cs="Times New Roman"/>
      <w:kern w:val="2"/>
      <w:sz w:val="18"/>
      <w:szCs w:val="18"/>
    </w:rPr>
  </w:style>
  <w:style w:type="character" w:customStyle="1" w:styleId="83">
    <w:name w:val="批注文字 Char"/>
    <w:basedOn w:val="28"/>
    <w:link w:val="11"/>
    <w:qFormat/>
    <w:uiPriority w:val="0"/>
    <w:rPr>
      <w:rFonts w:cs="Times New Roman"/>
      <w:kern w:val="2"/>
      <w:sz w:val="24"/>
      <w:szCs w:val="24"/>
    </w:rPr>
  </w:style>
  <w:style w:type="character" w:customStyle="1" w:styleId="84">
    <w:name w:val="批注主题 Char"/>
    <w:basedOn w:val="83"/>
    <w:link w:val="25"/>
    <w:qFormat/>
    <w:uiPriority w:val="0"/>
    <w:rPr>
      <w:rFonts w:cs="Times New Roman"/>
      <w:b/>
      <w:bCs/>
      <w:kern w:val="2"/>
      <w:sz w:val="24"/>
      <w:szCs w:val="24"/>
    </w:rPr>
  </w:style>
  <w:style w:type="paragraph" w:customStyle="1" w:styleId="85">
    <w:name w:val="表格（大）"/>
    <w:basedOn w:val="1"/>
    <w:next w:val="1"/>
    <w:qFormat/>
    <w:uiPriority w:val="0"/>
    <w:pPr>
      <w:spacing w:before="100" w:beforeAutospacing="1" w:after="100" w:afterAutospacing="1"/>
      <w:jc w:val="center"/>
    </w:pPr>
    <w:rPr>
      <w:rFonts w:ascii="仿宋_GB2312" w:hAnsi="仿宋_GB2312" w:eastAsia="仿宋_GB2312"/>
      <w:position w:val="-10"/>
      <w:sz w:val="24"/>
      <w:szCs w:val="28"/>
    </w:rPr>
  </w:style>
  <w:style w:type="paragraph" w:customStyle="1" w:styleId="86">
    <w:name w:val="表格内容"/>
    <w:basedOn w:val="1"/>
    <w:qFormat/>
    <w:uiPriority w:val="0"/>
    <w:pPr>
      <w:overflowPunct w:val="0"/>
      <w:adjustRightInd w:val="0"/>
      <w:spacing w:before="40" w:after="60" w:line="200" w:lineRule="atLeast"/>
      <w:textAlignment w:val="baseline"/>
    </w:pPr>
    <w:rPr>
      <w:rFonts w:ascii="Arial" w:hAnsi="Arial" w:eastAsia="仿宋_GB2312"/>
      <w:kern w:val="0"/>
      <w:sz w:val="24"/>
    </w:rPr>
  </w:style>
  <w:style w:type="paragraph" w:customStyle="1" w:styleId="87">
    <w:name w:val="cl-正文"/>
    <w:qFormat/>
    <w:uiPriority w:val="0"/>
    <w:pPr>
      <w:widowControl w:val="0"/>
      <w:spacing w:line="360" w:lineRule="auto"/>
      <w:ind w:firstLine="200" w:firstLineChars="200"/>
      <w:jc w:val="both"/>
    </w:pPr>
    <w:rPr>
      <w:rFonts w:ascii="Calibri" w:hAnsi="Calibri" w:eastAsia="宋体" w:cs="Times New Roman"/>
      <w:kern w:val="2"/>
      <w:sz w:val="28"/>
      <w:szCs w:val="28"/>
      <w:lang w:val="en-US" w:eastAsia="zh-CN" w:bidi="ar-SA"/>
    </w:rPr>
  </w:style>
  <w:style w:type="paragraph" w:customStyle="1" w:styleId="88">
    <w:name w:val="表格文字"/>
    <w:basedOn w:val="1"/>
    <w:qFormat/>
    <w:uiPriority w:val="0"/>
    <w:pPr>
      <w:jc w:val="center"/>
    </w:pPr>
    <w:rPr>
      <w:rFonts w:ascii="宋体" w:hAnsi="Courier New" w:cs="Courier New"/>
      <w:szCs w:val="21"/>
    </w:rPr>
  </w:style>
  <w:style w:type="paragraph" w:customStyle="1" w:styleId="89">
    <w:name w:val="图表标题"/>
    <w:basedOn w:val="1"/>
    <w:qFormat/>
    <w:uiPriority w:val="0"/>
    <w:pPr>
      <w:spacing w:line="240" w:lineRule="auto"/>
      <w:ind w:firstLine="0" w:firstLineChars="0"/>
      <w:jc w:val="center"/>
    </w:pPr>
    <w:rPr>
      <w:rFonts w:eastAsia="黑体"/>
    </w:rPr>
  </w:style>
  <w:style w:type="table" w:customStyle="1" w:styleId="90">
    <w:name w:val="网格型1"/>
    <w:basedOn w:val="26"/>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91">
    <w:name w:val="正文01"/>
    <w:basedOn w:val="1"/>
    <w:qFormat/>
    <w:uiPriority w:val="0"/>
    <w:pPr>
      <w:spacing w:before="60" w:line="460" w:lineRule="exact"/>
      <w:ind w:firstLine="200" w:firstLineChars="200"/>
    </w:pPr>
    <w:rPr>
      <w:sz w:val="24"/>
      <w:szCs w:val="20"/>
    </w:rPr>
  </w:style>
  <w:style w:type="character" w:customStyle="1" w:styleId="92">
    <w:name w:val="样式 四号"/>
    <w:basedOn w:val="28"/>
    <w:uiPriority w:val="0"/>
    <w:rPr>
      <w:rFonts w:ascii="Tahoma" w:hAnsi="Tahoma" w:eastAsia="仿宋_GB2312"/>
      <w:kern w:val="2"/>
      <w:sz w:val="28"/>
      <w:lang w:val="en-US" w:eastAsia="zh-CN" w:bidi="ar-SA"/>
    </w:rPr>
  </w:style>
  <w:style w:type="character" w:customStyle="1" w:styleId="93">
    <w:name w:val="样式 小四 行距: 1.5 倍行距 Char"/>
    <w:link w:val="48"/>
    <w:uiPriority w:val="0"/>
    <w:rPr>
      <w:rFonts w:cs="宋体"/>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9" Type="http://schemas.openxmlformats.org/officeDocument/2006/relationships/fontTable" Target="fontTable.xml"/><Relationship Id="rId78" Type="http://schemas.openxmlformats.org/officeDocument/2006/relationships/customXml" Target="../customXml/item2.xml"/><Relationship Id="rId77" Type="http://schemas.openxmlformats.org/officeDocument/2006/relationships/numbering" Target="numbering.xml"/><Relationship Id="rId76" Type="http://schemas.openxmlformats.org/officeDocument/2006/relationships/customXml" Target="../customXml/item1.xml"/><Relationship Id="rId75" Type="http://schemas.openxmlformats.org/officeDocument/2006/relationships/image" Target="media/image56.png"/><Relationship Id="rId74" Type="http://schemas.openxmlformats.org/officeDocument/2006/relationships/image" Target="media/image55.wmf"/><Relationship Id="rId73" Type="http://schemas.openxmlformats.org/officeDocument/2006/relationships/oleObject" Target="embeddings/oleObject7.bin"/><Relationship Id="rId72" Type="http://schemas.openxmlformats.org/officeDocument/2006/relationships/image" Target="media/image54.wmf"/><Relationship Id="rId71" Type="http://schemas.openxmlformats.org/officeDocument/2006/relationships/oleObject" Target="embeddings/oleObject6.bin"/><Relationship Id="rId70" Type="http://schemas.openxmlformats.org/officeDocument/2006/relationships/image" Target="media/image53.wmf"/><Relationship Id="rId7" Type="http://schemas.openxmlformats.org/officeDocument/2006/relationships/footer" Target="footer2.xml"/><Relationship Id="rId69" Type="http://schemas.openxmlformats.org/officeDocument/2006/relationships/oleObject" Target="embeddings/oleObject5.bin"/><Relationship Id="rId68" Type="http://schemas.openxmlformats.org/officeDocument/2006/relationships/image" Target="media/image52.wmf"/><Relationship Id="rId67" Type="http://schemas.openxmlformats.org/officeDocument/2006/relationships/oleObject" Target="embeddings/oleObject4.bin"/><Relationship Id="rId66" Type="http://schemas.openxmlformats.org/officeDocument/2006/relationships/image" Target="media/image51.wmf"/><Relationship Id="rId65" Type="http://schemas.openxmlformats.org/officeDocument/2006/relationships/oleObject" Target="embeddings/oleObject3.bin"/><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1.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jpeg"/><Relationship Id="rId54" Type="http://schemas.openxmlformats.org/officeDocument/2006/relationships/image" Target="media/image40.jpe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header" Target="header3.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jpeg"/><Relationship Id="rId44" Type="http://schemas.openxmlformats.org/officeDocument/2006/relationships/image" Target="media/image30.jpe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jpeg"/><Relationship Id="rId40" Type="http://schemas.openxmlformats.org/officeDocument/2006/relationships/image" Target="media/image26.png"/><Relationship Id="rId4" Type="http://schemas.openxmlformats.org/officeDocument/2006/relationships/header" Target="header2.xml"/><Relationship Id="rId39" Type="http://schemas.openxmlformats.org/officeDocument/2006/relationships/image" Target="media/image25.jpeg"/><Relationship Id="rId38" Type="http://schemas.openxmlformats.org/officeDocument/2006/relationships/image" Target="media/image24.jpeg"/><Relationship Id="rId37" Type="http://schemas.openxmlformats.org/officeDocument/2006/relationships/image" Target="media/image23.jpeg"/><Relationship Id="rId36" Type="http://schemas.openxmlformats.org/officeDocument/2006/relationships/image" Target="media/image22.jpeg"/><Relationship Id="rId35" Type="http://schemas.openxmlformats.org/officeDocument/2006/relationships/image" Target="media/image21.jpeg"/><Relationship Id="rId34" Type="http://schemas.openxmlformats.org/officeDocument/2006/relationships/image" Target="media/image20.jpeg"/><Relationship Id="rId33" Type="http://schemas.openxmlformats.org/officeDocument/2006/relationships/image" Target="media/image19.jpeg"/><Relationship Id="rId32" Type="http://schemas.openxmlformats.org/officeDocument/2006/relationships/image" Target="media/image18.png"/><Relationship Id="rId31" Type="http://schemas.openxmlformats.org/officeDocument/2006/relationships/image" Target="media/image17.jpeg"/><Relationship Id="rId30" Type="http://schemas.openxmlformats.org/officeDocument/2006/relationships/image" Target="media/image16.jpeg"/><Relationship Id="rId3" Type="http://schemas.openxmlformats.org/officeDocument/2006/relationships/header" Target="header1.xml"/><Relationship Id="rId29" Type="http://schemas.openxmlformats.org/officeDocument/2006/relationships/image" Target="media/image15.jpeg"/><Relationship Id="rId28" Type="http://schemas.openxmlformats.org/officeDocument/2006/relationships/image" Target="media/image14.png"/><Relationship Id="rId27" Type="http://schemas.openxmlformats.org/officeDocument/2006/relationships/image" Target="media/image13.emf"/><Relationship Id="rId26" Type="http://schemas.openxmlformats.org/officeDocument/2006/relationships/oleObject" Target="embeddings/oleObject2.bin"/><Relationship Id="rId25" Type="http://schemas.openxmlformats.org/officeDocument/2006/relationships/image" Target="media/image12.png"/><Relationship Id="rId24" Type="http://schemas.openxmlformats.org/officeDocument/2006/relationships/image" Target="media/image11.wmf"/><Relationship Id="rId23" Type="http://schemas.openxmlformats.org/officeDocument/2006/relationships/oleObject" Target="embeddings/oleObject1.bin"/><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jpeg"/><Relationship Id="rId17" Type="http://schemas.openxmlformats.org/officeDocument/2006/relationships/image" Target="media/image5.jpeg"/><Relationship Id="rId16" Type="http://schemas.microsoft.com/office/2007/relationships/hdphoto" Target="media/image4.png"/><Relationship Id="rId15" Type="http://schemas.openxmlformats.org/officeDocument/2006/relationships/image" Target="media/image3.png"/><Relationship Id="rId14" Type="http://schemas.openxmlformats.org/officeDocument/2006/relationships/image" Target="media/image2.jpe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header" Target="header4.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rgbClr val="FFFFFF"/>
        </a:solidFill>
        <a:ln w="9525">
          <a:noFill/>
        </a:ln>
      </a:spPr>
      <a:bodyPr upright="1"/>
      <a:lst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E432D5D-B0CA-4669-9740-02459D25AE00}">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169</Pages>
  <Words>92937</Words>
  <Characters>115557</Characters>
  <Lines>945</Lines>
  <Paragraphs>266</Paragraphs>
  <TotalTime>11</TotalTime>
  <ScaleCrop>false</ScaleCrop>
  <LinksUpToDate>false</LinksUpToDate>
  <CharactersWithSpaces>118826</CharactersWithSpaces>
  <Application>WPS Office_11.1.0.9662_F1E327BC-269C-435d-A152-05C5408002CA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2018-01-25T14:39:00Z</dcterms:created>
  <dc:creator>wgg</dc:creator>
  <cp:lastModifiedBy>0</cp:lastModifiedBy>
  <cp:lastPrinted>2018-09-01T09:08:00Z</cp:lastPrinted>
  <dcterms:modified xsi:type="dcterms:W3CDTF">2020-06-08T05:59:38Z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2052-11.1.0.9662</vt:lpwstr>
  </property>
</Properties>
</file>